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4762500" cy="6667500"/>
            <wp:docPr id="1" name="Picture 1"/>
            <wp:cNvGraphicFramePr>
              <a:graphicFrameLocks noChangeAspect="1"/>
            </wp:cNvGraphicFramePr>
            <a:graphic>
              <a:graphicData uri="http://schemas.openxmlformats.org/drawingml/2006/picture">
                <pic:pic>
                  <pic:nvPicPr>
                    <pic:cNvPr id="0" name="Image00005.jpg"/>
                    <pic:cNvPicPr/>
                  </pic:nvPicPr>
                  <pic:blipFill>
                    <a:blip r:embed="rId9"/>
                    <a:stretch>
                      <a:fillRect/>
                    </a:stretch>
                  </pic:blipFill>
                  <pic:spPr>
                    <a:xfrm>
                      <a:off x="0" y="0"/>
                      <a:ext cx="4762500" cy="6667500"/>
                    </a:xfrm>
                    <a:prstGeom prst="rect"/>
                  </pic:spPr>
                </pic:pic>
              </a:graphicData>
            </a:graphic>
          </wp:inline>
        </w:drawing>
      </w:r>
    </w:p>
    <w:p>
      <w:pPr>
        <w:pStyle w:val="Heading1"/>
      </w:pPr>
      <w:r>
        <w:rPr>
          <w:rFonts w:ascii="Calibri" w:hAnsi="Calibri"/>
          <w:b/>
          <w:i w:val="0"/>
          <w:sz w:val="40"/>
        </w:rPr>
        <w:t>Quản trị công ty</w:t>
      </w:r>
    </w:p>
    <w:p>
      <w:pPr>
        <w:pStyle w:val="Heading1"/>
      </w:pPr>
      <w:r>
        <w:rPr>
          <w:rFonts w:ascii="Calibri" w:hAnsi="Calibri"/>
          <w:b/>
          <w:i w:val="0"/>
          <w:sz w:val="40"/>
        </w:rPr>
        <w:t>Quản trị công ty</w:t>
      </w:r>
    </w:p>
    <w:p>
      <w:pPr>
        <w:pStyle w:val="Heading2"/>
      </w:pPr>
      <w:r>
        <w:rPr>
          <w:rFonts w:ascii="Calibri" w:hAnsi="Calibri"/>
          <w:b/>
          <w:i w:val="0"/>
          <w:sz w:val="32"/>
        </w:rPr>
        <w:t>Các tình huống và tài liệu</w:t>
      </w:r>
    </w:p>
    <w:p>
      <w:pPr>
        <w:spacing w:after="80"/>
      </w:pPr>
      <w:r>
        <w:rPr>
          <w:b/>
          <w:i w:val="0"/>
        </w:rPr>
        <w:t>ẤN BẢN THỨ HAI</w:t>
      </w:r>
    </w:p>
    <w:p>
      <w:pPr>
        <w:spacing w:after="80"/>
      </w:pPr>
      <w:r>
        <w:rPr>
          <w:b/>
          <w:i w:val="0"/>
        </w:rPr>
        <w:t>J. Robert Brown, Jr.</w:t>
      </w:r>
    </w:p>
    <w:p>
      <w:pPr>
        <w:spacing w:after="80"/>
      </w:pPr>
      <w:r>
        <w:rPr>
          <w:b/>
          <w:i w:val="0"/>
        </w:rPr>
        <w:t>Lisa L. Casey</w:t>
      </w:r>
    </w:p>
    <w:p>
      <w:pPr>
        <w:jc w:val="center"/>
      </w:pPr>
      <w:r>
        <w:drawing>
          <wp:inline xmlns:a="http://schemas.openxmlformats.org/drawingml/2006/main" xmlns:pic="http://schemas.openxmlformats.org/drawingml/2006/picture">
            <wp:extent cx="2133600" cy="1057275"/>
            <wp:docPr id="2" name="Picture 2"/>
            <wp:cNvGraphicFramePr>
              <a:graphicFrameLocks noChangeAspect="1"/>
            </wp:cNvGraphicFramePr>
            <a:graphic>
              <a:graphicData uri="http://schemas.openxmlformats.org/drawingml/2006/picture">
                <pic:pic>
                  <pic:nvPicPr>
                    <pic:cNvPr id="0" name="Image00000.jpg"/>
                    <pic:cNvPicPr/>
                  </pic:nvPicPr>
                  <pic:blipFill>
                    <a:blip r:embed="rId10"/>
                    <a:stretch>
                      <a:fillRect/>
                    </a:stretch>
                  </pic:blipFill>
                  <pic:spPr>
                    <a:xfrm>
                      <a:off x="0" y="0"/>
                      <a:ext cx="2133600" cy="1057275"/>
                    </a:xfrm>
                    <a:prstGeom prst="rect"/>
                  </pic:spPr>
                </pic:pic>
              </a:graphicData>
            </a:graphic>
          </wp:inline>
        </w:drawing>
      </w:r>
    </w:p>
    <w:p>
      <w:pPr>
        <w:spacing w:after="80"/>
      </w:pPr>
      <w:r>
        <w:rPr>
          <w:b w:val="0"/>
          <w:i w:val="0"/>
        </w:rPr>
        <w:t>Bản quyền © 2016</w:t>
      </w:r>
    </w:p>
    <w:p>
      <w:pPr>
        <w:spacing w:after="80"/>
      </w:pPr>
      <w:r>
        <w:rPr>
          <w:b w:val="0"/>
          <w:i w:val="0"/>
        </w:rPr>
        <w:t>Carolina Academic Press, LLC</w:t>
      </w:r>
    </w:p>
    <w:p>
      <w:pPr>
        <w:spacing w:after="80"/>
      </w:pPr>
      <w:r>
        <w:rPr>
          <w:b w:val="0"/>
          <w:i w:val="0"/>
        </w:rPr>
        <w:t>Bảo lưu mọi quyền</w:t>
      </w:r>
    </w:p>
    <w:p>
      <w:pPr>
        <w:spacing w:after="80"/>
      </w:pPr>
      <w:r>
        <w:rPr>
          <w:b w:val="0"/>
          <w:i w:val="0"/>
        </w:rPr>
        <w:t>ISBN 978-1-5221-0097-3</w:t>
      </w:r>
    </w:p>
    <w:p>
      <w:pPr>
        <w:spacing w:after="80"/>
      </w:pPr>
      <w:r>
        <w:rPr>
          <w:b w:val="0"/>
          <w:i w:val="0"/>
        </w:rPr>
        <w:t>ISBN sách điện tử 978-1-5221-0099-7</w:t>
      </w:r>
    </w:p>
    <w:p>
      <w:pPr>
        <w:spacing w:after="80"/>
      </w:pPr>
      <w:r>
        <w:rPr>
          <w:b w:val="0"/>
          <w:i w:val="0"/>
        </w:rPr>
        <w:t>LCCN 2016944757</w:t>
      </w:r>
    </w:p>
    <w:p>
      <w:pPr>
        <w:spacing w:after="80"/>
      </w:pPr>
      <w:r>
        <w:rPr>
          <w:b w:val="0"/>
          <w:i w:val="0"/>
        </w:rPr>
        <w:t>Carolina Academic Press, LLC</w:t>
      </w:r>
    </w:p>
    <w:p>
      <w:pPr>
        <w:spacing w:after="80"/>
      </w:pPr>
      <w:r>
        <w:rPr>
          <w:b w:val="0"/>
          <w:i w:val="0"/>
        </w:rPr>
        <w:t>700 Kent Street</w:t>
      </w:r>
    </w:p>
    <w:p>
      <w:pPr>
        <w:spacing w:after="80"/>
      </w:pPr>
      <w:r>
        <w:rPr>
          <w:b w:val="0"/>
          <w:i w:val="0"/>
        </w:rPr>
        <w:t>Durham, North Carolina 27701</w:t>
      </w:r>
    </w:p>
    <w:p>
      <w:pPr>
        <w:spacing w:after="80"/>
      </w:pPr>
      <w:r>
        <w:rPr>
          <w:b w:val="0"/>
          <w:i w:val="0"/>
        </w:rPr>
        <w:t>Điện thoại (919) 489-7486</w:t>
      </w:r>
    </w:p>
    <w:p>
      <w:pPr>
        <w:spacing w:after="80"/>
      </w:pPr>
      <w:r>
        <w:rPr>
          <w:b w:val="0"/>
          <w:i w:val="0"/>
        </w:rPr>
        <w:t>Fax (919) 493-5668</w:t>
      </w:r>
    </w:p>
    <w:p>
      <w:pPr>
        <w:spacing w:after="80"/>
      </w:pPr>
      <w:r>
        <w:rPr>
          <w:b w:val="0"/>
          <w:i w:val="0"/>
        </w:rPr>
        <w:t>www.cap-press.com</w:t>
      </w:r>
    </w:p>
    <w:p>
      <w:pPr>
        <w:spacing w:after="80"/>
      </w:pPr>
      <w:r>
        <w:rPr>
          <w:b w:val="0"/>
          <w:i w:val="0"/>
        </w:rPr>
        <w:t>In tại Hoa Kỳ</w:t>
      </w:r>
    </w:p>
    <w:p>
      <w:pPr>
        <w:spacing w:after="80"/>
      </w:pPr>
      <w:r>
        <w:rPr>
          <w:b w:val="0"/>
          <w:i/>
        </w:rPr>
        <w:t>Gửi các con và các cháu của gia đình Brown và Lee,</w:t>
      </w:r>
    </w:p>
    <w:p>
      <w:pPr>
        <w:spacing w:after="80"/>
      </w:pPr>
      <w:r>
        <w:rPr>
          <w:b w:val="0"/>
          <w:i/>
        </w:rPr>
        <w:t>Tessa, Beth, Ryan, Josh, Zoey, và Emerson,</w:t>
      </w:r>
    </w:p>
    <w:p>
      <w:pPr>
        <w:spacing w:after="80"/>
      </w:pPr>
      <w:r>
        <w:rPr>
          <w:b w:val="0"/>
          <w:i/>
        </w:rPr>
        <w:t>mỗi người đều độc đáo và phi thường theo cách riêng của mình.</w:t>
      </w:r>
    </w:p>
    <w:p>
      <w:pPr>
        <w:spacing w:after="80"/>
      </w:pPr>
      <w:r>
        <w:rPr>
          <w:b w:val="0"/>
          <w:i/>
        </w:rPr>
        <w:t>JRB</w:t>
      </w:r>
    </w:p>
    <w:p>
      <w:pPr>
        <w:spacing w:after="80"/>
      </w:pPr>
      <w:r>
        <w:rPr>
          <w:b w:val="0"/>
          <w:i/>
        </w:rPr>
        <w:t>Gửi Bố và Mẹ, những người thầy đầu tiên và quan trọng nhất của con:</w:t>
      </w:r>
    </w:p>
    <w:p>
      <w:pPr>
        <w:spacing w:after="80"/>
      </w:pPr>
      <w:r>
        <w:rPr>
          <w:b w:val="0"/>
          <w:i/>
        </w:rPr>
        <w:t>bố mẹ đã hun đúc cả trái tim lẫn khối óc của con;</w:t>
      </w:r>
    </w:p>
    <w:p>
      <w:pPr>
        <w:spacing w:after="80"/>
      </w:pPr>
      <w:r>
        <w:rPr>
          <w:b w:val="0"/>
          <w:i/>
        </w:rPr>
        <w:t>Gửi Sean, Caitlin, Jillian và Kristen: các con mang đến cho mẹ niềm vui khôn tả; và</w:t>
      </w:r>
    </w:p>
    <w:p>
      <w:pPr>
        <w:spacing w:after="80"/>
      </w:pPr>
      <w:r>
        <w:rPr>
          <w:b w:val="0"/>
          <w:i/>
        </w:rPr>
        <w:t>Gửi Brian: thật sự không có từ ngữ nào đủ để diễn tả tình yêu và lòng biết ơn của em.</w:t>
      </w:r>
    </w:p>
    <w:p>
      <w:pPr>
        <w:spacing w:after="80"/>
      </w:pPr>
      <w:r>
        <w:rPr>
          <w:b w:val="0"/>
          <w:i/>
        </w:rPr>
        <w:t>LLC</w:t>
      </w:r>
    </w:p>
    <w:p>
      <w:pPr>
        <w:pStyle w:val="Heading1"/>
      </w:pPr>
      <w:r>
        <w:rPr>
          <w:rFonts w:ascii="Calibri" w:hAnsi="Calibri"/>
          <w:b/>
          <w:i w:val="0"/>
          <w:sz w:val="40"/>
        </w:rPr>
        <w:t>Mục lục</w:t>
      </w:r>
    </w:p>
    <w:p>
      <w:pPr>
        <w:spacing w:after="80"/>
      </w:pPr>
      <w:r>
        <w:rPr>
          <w:b w:val="0"/>
          <w:i w:val="0"/>
        </w:rPr>
        <w:t>Bảng án lệ</w:t>
      </w:r>
    </w:p>
    <w:p>
      <w:pPr>
        <w:spacing w:after="80"/>
      </w:pPr>
      <w:r>
        <w:rPr>
          <w:b w:val="0"/>
          <w:i w:val="0"/>
        </w:rPr>
        <w:t>Lời nói đầu</w:t>
      </w:r>
    </w:p>
    <w:p>
      <w:pPr>
        <w:spacing w:after="80"/>
      </w:pPr>
      <w:r>
        <w:rPr>
          <w:b/>
          <w:i w:val="0"/>
        </w:rPr>
        <w:t>Chương 1 · Giới thiệu về Quản trị Công ty</w:t>
      </w:r>
    </w:p>
    <w:p>
      <w:pPr>
        <w:spacing w:after="80"/>
      </w:pPr>
      <w:r>
        <w:rPr>
          <w:b w:val="0"/>
          <w:i w:val="0"/>
        </w:rPr>
        <w:t>I. Quản trị công ty là gì?</w:t>
      </w:r>
    </w:p>
    <w:p>
      <w:pPr>
        <w:spacing w:after="80"/>
      </w:pPr>
      <w:r>
        <w:rPr>
          <w:b w:val="0"/>
          <w:i w:val="0"/>
        </w:rPr>
        <w:t>II. Ai là ai trong quản trị công ty</w:t>
      </w:r>
    </w:p>
    <w:p>
      <w:pPr>
        <w:spacing w:after="80"/>
      </w:pPr>
      <w:r>
        <w:rPr>
          <w:b w:val="0"/>
          <w:i w:val="0"/>
        </w:rPr>
        <w:t>A. Hội đồng quản trị</w:t>
      </w:r>
    </w:p>
    <w:p>
      <w:pPr>
        <w:spacing w:after="80"/>
      </w:pPr>
      <w:r>
        <w:rPr>
          <w:b w:val="0"/>
          <w:i w:val="0"/>
        </w:rPr>
        <w:t>B. Các giám đốc điều hành</w:t>
      </w:r>
    </w:p>
    <w:p>
      <w:pPr>
        <w:spacing w:after="80"/>
      </w:pPr>
      <w:r>
        <w:rPr>
          <w:b w:val="0"/>
          <w:i w:val="0"/>
        </w:rPr>
        <w:t>C. Cổ đông</w:t>
      </w:r>
    </w:p>
    <w:p>
      <w:pPr>
        <w:spacing w:after="80"/>
      </w:pPr>
      <w:r>
        <w:rPr>
          <w:b w:val="0"/>
          <w:i w:val="0"/>
        </w:rPr>
        <w:t>D. Các bên liên quan của công ty</w:t>
      </w:r>
    </w:p>
    <w:p>
      <w:pPr>
        <w:spacing w:after="80"/>
      </w:pPr>
      <w:r>
        <w:rPr>
          <w:b w:val="0"/>
          <w:i w:val="0"/>
        </w:rPr>
        <w:t>E. Các cố vấn — Người gác cổng và chuyên gia quản trị</w:t>
      </w:r>
    </w:p>
    <w:p>
      <w:pPr>
        <w:spacing w:after="80"/>
      </w:pPr>
      <w:r>
        <w:rPr>
          <w:b w:val="0"/>
          <w:i w:val="0"/>
        </w:rPr>
        <w:t>III. Câu đố muôn thuở của quản trị công ty</w:t>
      </w:r>
    </w:p>
    <w:p>
      <w:pPr>
        <w:spacing w:after="80"/>
      </w:pPr>
      <w:r>
        <w:rPr>
          <w:b w:val="0"/>
          <w:i w:val="0"/>
        </w:rPr>
        <w:t>IV. Cuộc cách mạng quản trị công ty</w:t>
      </w:r>
    </w:p>
    <w:p>
      <w:pPr>
        <w:spacing w:after="80"/>
      </w:pPr>
      <w:r>
        <w:rPr>
          <w:b w:val="0"/>
          <w:i w:val="0"/>
        </w:rPr>
        <w:t xml:space="preserve">Brian R. Cheffins, </w:t>
      </w:r>
      <w:r>
        <w:rPr>
          <w:b w:val="0"/>
          <w:i/>
        </w:rPr>
        <w:t>Quản trị công ty có “thất bại” trong cuộc khủng hoảng thị trường chứng khoán năm 2008 không? Trường hợp của S&amp;P 500</w:t>
      </w:r>
    </w:p>
    <w:p>
      <w:pPr>
        <w:spacing w:after="80"/>
      </w:pPr>
      <w:r>
        <w:rPr>
          <w:b/>
          <w:i w:val="0"/>
        </w:rPr>
        <w:t>Chương 2 · Quản trị công ty, sự phụ thuộc lối mòn và các nguồn quy định</w:t>
      </w:r>
    </w:p>
    <w:p>
      <w:pPr>
        <w:spacing w:after="80"/>
      </w:pPr>
      <w:r>
        <w:rPr>
          <w:b w:val="0"/>
          <w:i w:val="0"/>
        </w:rPr>
        <w:t>I. Quy định của bang</w:t>
      </w:r>
    </w:p>
    <w:p>
      <w:pPr>
        <w:spacing w:after="80"/>
      </w:pPr>
      <w:r>
        <w:rPr>
          <w:b w:val="0"/>
          <w:i w:val="0"/>
        </w:rPr>
        <w:t>A. Học thuyết về các vấn đề nội bộ</w:t>
      </w:r>
    </w:p>
    <w:p>
      <w:pPr>
        <w:spacing w:after="80"/>
      </w:pPr>
      <w:r>
        <w:rPr>
          <w:b w:val="0"/>
          <w:i w:val="0"/>
        </w:rPr>
        <w:t xml:space="preserve">Faith Stevelman, </w:t>
      </w:r>
      <w:r>
        <w:rPr>
          <w:b w:val="0"/>
          <w:i/>
        </w:rPr>
        <w:t>Cạnh tranh quy định, lựa chọn diễn đàn và lợi ích của Delaware trong luật công ty</w:t>
      </w:r>
    </w:p>
    <w:p>
      <w:pPr>
        <w:spacing w:after="80"/>
      </w:pPr>
      <w:r>
        <w:rPr>
          <w:b w:val="0"/>
          <w:i/>
        </w:rPr>
        <w:t>Trong vụ kiện phái sinh BP P.L.C.</w:t>
      </w:r>
    </w:p>
    <w:p>
      <w:pPr>
        <w:spacing w:after="80"/>
      </w:pPr>
      <w:r>
        <w:rPr>
          <w:b w:val="0"/>
          <w:i/>
        </w:rPr>
        <w:t>Wilson kiện Louisiana-Pacific Resources, Inc.</w:t>
      </w:r>
    </w:p>
    <w:p>
      <w:pPr>
        <w:spacing w:after="80"/>
      </w:pPr>
      <w:r>
        <w:rPr>
          <w:b w:val="0"/>
          <w:i/>
        </w:rPr>
        <w:t>VantagePoint Venture Partners v. Examen, Inc.</w:t>
      </w:r>
    </w:p>
    <w:p>
      <w:pPr>
        <w:spacing w:after="80"/>
      </w:pPr>
      <w:r>
        <w:rPr>
          <w:b w:val="0"/>
          <w:i w:val="0"/>
        </w:rPr>
        <w:t>B. Cuộc đua xuống đáy hay lên đỉnh?</w:t>
      </w:r>
    </w:p>
    <w:p>
      <w:pPr>
        <w:spacing w:after="80"/>
      </w:pPr>
      <w:r>
        <w:rPr>
          <w:b w:val="0"/>
          <w:i w:val="0"/>
        </w:rPr>
        <w:t xml:space="preserve">Renee M. Jones, </w:t>
      </w:r>
      <w:r>
        <w:rPr>
          <w:b w:val="0"/>
          <w:i/>
        </w:rPr>
        <w:t>Suy nghĩ lại về chủ nghĩa liên bang trong doanh nghiệp thời kỳ cải cách doanh nghiệp</w:t>
      </w:r>
    </w:p>
    <w:p>
      <w:pPr>
        <w:spacing w:after="80"/>
      </w:pPr>
      <w:r>
        <w:rPr>
          <w:b w:val="0"/>
          <w:i w:val="0"/>
        </w:rPr>
        <w:t xml:space="preserve">J. Robert Brown, Jr., </w:t>
      </w:r>
      <w:r>
        <w:rPr>
          <w:b w:val="0"/>
          <w:i/>
        </w:rPr>
        <w:t>Sự không liên quan của luật doanh nghiệp bang trong quản trị các công ty đại chúng</w:t>
      </w:r>
    </w:p>
    <w:p>
      <w:pPr>
        <w:spacing w:after="80"/>
      </w:pPr>
      <w:r>
        <w:rPr>
          <w:b w:val="0"/>
          <w:i w:val="0"/>
        </w:rPr>
        <w:t xml:space="preserve">J. Robert Brown, Jr. &amp; Sandeep Gopalan, </w:t>
      </w:r>
      <w:r>
        <w:rPr>
          <w:b w:val="0"/>
          <w:i/>
        </w:rPr>
        <w:t>Chỉ chọn tham gia: Những người theo thuyết hợp đồng, các điều khoản miễn trừ trách nhiệm và cuộc đua xuống đáy</w:t>
      </w:r>
    </w:p>
    <w:p>
      <w:pPr>
        <w:spacing w:after="80"/>
      </w:pPr>
      <w:r>
        <w:rPr>
          <w:b w:val="0"/>
          <w:i w:val="0"/>
        </w:rPr>
        <w:t>II. SEC và quản trị doanh nghiệp</w:t>
      </w:r>
    </w:p>
    <w:p>
      <w:pPr>
        <w:spacing w:after="80"/>
      </w:pPr>
      <w:r>
        <w:rPr>
          <w:b w:val="0"/>
          <w:i w:val="0"/>
        </w:rPr>
        <w:t>A. Đôi nét lịch sử</w:t>
      </w:r>
    </w:p>
    <w:p>
      <w:pPr>
        <w:spacing w:after="80"/>
      </w:pPr>
      <w:r>
        <w:rPr>
          <w:b w:val="0"/>
          <w:i w:val="0"/>
        </w:rPr>
        <w:t xml:space="preserve">Bevis Longstreth, </w:t>
      </w:r>
      <w:r>
        <w:rPr>
          <w:b w:val="0"/>
          <w:i/>
        </w:rPr>
        <w:t>Đánh giá sách: SEC sau năm mươi năm: Đánh giá quá khứ và tương lai của nó</w:t>
      </w:r>
    </w:p>
    <w:p>
      <w:pPr>
        <w:spacing w:after="80"/>
      </w:pPr>
      <w:r>
        <w:rPr>
          <w:b w:val="0"/>
          <w:i/>
        </w:rPr>
        <w:t>SEC v. Blinder, Robinson &amp; Co.</w:t>
      </w:r>
    </w:p>
    <w:p>
      <w:pPr>
        <w:spacing w:after="80"/>
      </w:pPr>
      <w:r>
        <w:rPr>
          <w:b w:val="0"/>
          <w:i w:val="0"/>
        </w:rPr>
        <w:t xml:space="preserve">J. Robert Brown, Jr., </w:t>
      </w:r>
      <w:r>
        <w:rPr>
          <w:b w:val="0"/>
          <w:i/>
        </w:rPr>
        <w:t>Sự chính trị hóa quản trị doanh nghiệp: Quyền tùy nghi quan liêu, SEC và việc cổ đông phê chuẩn kiểm toán viên</w:t>
      </w:r>
    </w:p>
    <w:p>
      <w:pPr>
        <w:spacing w:after="80"/>
      </w:pPr>
      <w:r>
        <w:rPr>
          <w:b w:val="0"/>
          <w:i w:val="0"/>
        </w:rPr>
        <w:t>B. Thẩm quyền ban hành quy định</w:t>
      </w:r>
    </w:p>
    <w:p>
      <w:pPr>
        <w:spacing w:after="80"/>
      </w:pPr>
      <w:r>
        <w:rPr>
          <w:b w:val="0"/>
          <w:i/>
        </w:rPr>
        <w:t>The Business Roundtable v. Securities and Exchange Commission</w:t>
      </w:r>
    </w:p>
    <w:p>
      <w:pPr>
        <w:spacing w:after="80"/>
      </w:pPr>
      <w:r>
        <w:rPr>
          <w:b w:val="0"/>
          <w:i w:val="0"/>
        </w:rPr>
        <w:t>C. Thẩm quyền thực thi</w:t>
      </w:r>
    </w:p>
    <w:p>
      <w:pPr>
        <w:spacing w:after="80"/>
      </w:pPr>
      <w:r>
        <w:rPr>
          <w:b w:val="0"/>
          <w:i/>
        </w:rPr>
        <w:t>In re W. R. Grace &amp; Co.</w:t>
      </w:r>
    </w:p>
    <w:p>
      <w:pPr>
        <w:spacing w:after="80"/>
      </w:pPr>
      <w:r>
        <w:rPr>
          <w:b w:val="0"/>
          <w:i w:val="0"/>
        </w:rPr>
        <w:t>III. Vai trò của các sở giao dịch chứng khoán và tự quản</w:t>
      </w:r>
    </w:p>
    <w:p>
      <w:pPr>
        <w:spacing w:after="80"/>
      </w:pPr>
      <w:r>
        <w:rPr>
          <w:b w:val="0"/>
          <w:i w:val="0"/>
        </w:rPr>
        <w:t>A. Thêm một chút lịch sử</w:t>
      </w:r>
    </w:p>
    <w:p>
      <w:pPr>
        <w:spacing w:after="80"/>
      </w:pPr>
      <w:r>
        <w:rPr>
          <w:b w:val="0"/>
          <w:i w:val="0"/>
        </w:rPr>
        <w:t xml:space="preserve">Roberta S. Karmel, </w:t>
      </w:r>
      <w:r>
        <w:rPr>
          <w:b w:val="0"/>
          <w:i/>
        </w:rPr>
        <w:t>Tương lai của các yêu cầu niêm yết về quản trị công ty</w:t>
      </w:r>
    </w:p>
    <w:p>
      <w:pPr>
        <w:spacing w:after="80"/>
      </w:pPr>
      <w:r>
        <w:rPr>
          <w:b w:val="0"/>
          <w:i w:val="0"/>
        </w:rPr>
        <w:t>B. Phi tương hỗ hóa</w:t>
      </w:r>
    </w:p>
    <w:p>
      <w:pPr>
        <w:spacing w:after="80"/>
      </w:pPr>
      <w:r>
        <w:rPr>
          <w:b w:val="0"/>
          <w:i w:val="0"/>
        </w:rPr>
        <w:t>Exchange Act Release No. 53382</w:t>
      </w:r>
    </w:p>
    <w:p>
      <w:pPr>
        <w:spacing w:after="80"/>
      </w:pPr>
      <w:r>
        <w:rPr>
          <w:b w:val="0"/>
          <w:i w:val="0"/>
        </w:rPr>
        <w:t>Exchange Act Release No. 75991</w:t>
      </w:r>
    </w:p>
    <w:p>
      <w:pPr>
        <w:spacing w:after="80"/>
      </w:pPr>
      <w:r>
        <w:rPr>
          <w:b w:val="0"/>
          <w:i w:val="0"/>
        </w:rPr>
        <w:t>C. Thực thi các quy tắc và tiêu chuẩn của sàn giao dịch</w:t>
      </w:r>
    </w:p>
    <w:p>
      <w:pPr>
        <w:spacing w:after="80"/>
      </w:pPr>
      <w:r>
        <w:rPr>
          <w:b w:val="0"/>
          <w:i/>
        </w:rPr>
        <w:t>Fog Cutter Capital Group Inc. kiện Ủy ban Chứng khoán và Giao dịch</w:t>
      </w:r>
    </w:p>
    <w:p>
      <w:pPr>
        <w:spacing w:after="80"/>
      </w:pPr>
      <w:r>
        <w:rPr>
          <w:b w:val="0"/>
          <w:i w:val="0"/>
        </w:rPr>
        <w:t>Exchange Act Release No. 50699</w:t>
      </w:r>
    </w:p>
    <w:p>
      <w:pPr>
        <w:spacing w:after="80"/>
      </w:pPr>
      <w:r>
        <w:rPr>
          <w:b w:val="0"/>
          <w:i/>
        </w:rPr>
        <w:t>Hệ thống Hưu trí Công cộng California kiện Sở Giao dịch Chứng khoán New York, Inc.</w:t>
      </w:r>
    </w:p>
    <w:p>
      <w:pPr>
        <w:spacing w:after="80"/>
      </w:pPr>
      <w:r>
        <w:rPr>
          <w:b w:val="0"/>
          <w:i/>
        </w:rPr>
        <w:t>Weissman kiện Hiệp hội Các nhà Môi giới Chứng khoán Quốc gia, Inc.</w:t>
      </w:r>
    </w:p>
    <w:p>
      <w:pPr>
        <w:spacing w:after="80"/>
      </w:pPr>
      <w:r>
        <w:rPr>
          <w:b w:val="0"/>
          <w:i/>
        </w:rPr>
        <w:t>Vụ kiện chứng khoán và phái sinh IPO của Facebook, Inc.</w:t>
      </w:r>
    </w:p>
    <w:p>
      <w:pPr>
        <w:spacing w:after="80"/>
      </w:pPr>
      <w:r>
        <w:rPr>
          <w:b w:val="0"/>
          <w:i w:val="0"/>
        </w:rPr>
        <w:t>D. Các phương án thay thế về cấu trúc</w:t>
      </w:r>
    </w:p>
    <w:p>
      <w:pPr>
        <w:spacing w:after="80"/>
      </w:pPr>
      <w:r>
        <w:rPr>
          <w:b w:val="0"/>
          <w:i/>
        </w:rPr>
        <w:t>Quỹ Doanh nghiệp Tự do kiện Ban Giám sát Kế toán Công ty Đại chúng</w:t>
      </w:r>
    </w:p>
    <w:p>
      <w:pPr>
        <w:spacing w:after="80"/>
      </w:pPr>
      <w:r>
        <w:rPr>
          <w:b w:val="0"/>
          <w:i w:val="0"/>
        </w:rPr>
        <w:t>IV. Cạnh tranh quy định: Delaware đấu với SEC</w:t>
      </w:r>
    </w:p>
    <w:p>
      <w:pPr>
        <w:spacing w:after="80"/>
      </w:pPr>
      <w:r>
        <w:rPr>
          <w:b/>
          <w:i w:val="0"/>
        </w:rPr>
        <w:t>Chương 3 · Hội đồng quản trị công ty đại chúng</w:t>
      </w:r>
    </w:p>
    <w:p>
      <w:pPr>
        <w:spacing w:after="80"/>
      </w:pPr>
      <w:r>
        <w:rPr>
          <w:b w:val="0"/>
          <w:i w:val="0"/>
        </w:rPr>
        <w:t>I. Tại sao cần có hội đồng quản trị?</w:t>
      </w:r>
    </w:p>
    <w:p>
      <w:pPr>
        <w:spacing w:after="80"/>
      </w:pPr>
      <w:r>
        <w:rPr>
          <w:b w:val="0"/>
          <w:i w:val="0"/>
        </w:rPr>
        <w:t xml:space="preserve">Stephen M. Bainbridge, </w:t>
      </w:r>
      <w:r>
        <w:rPr>
          <w:b w:val="0"/>
          <w:i/>
        </w:rPr>
        <w:t>Tại sao cần có hội đồng quản trị? Ra quyết định tập thể trong quản trị công ty</w:t>
      </w:r>
    </w:p>
    <w:p>
      <w:pPr>
        <w:spacing w:after="80"/>
      </w:pPr>
      <w:r>
        <w:rPr>
          <w:b w:val="0"/>
          <w:i w:val="0"/>
        </w:rPr>
        <w:t>II. Vai trò của Hội đồng quản trị trong Công ty đại chúng</w:t>
      </w:r>
    </w:p>
    <w:p>
      <w:pPr>
        <w:spacing w:after="80"/>
      </w:pPr>
      <w:r>
        <w:rPr>
          <w:b w:val="0"/>
          <w:i w:val="0"/>
        </w:rPr>
        <w:t xml:space="preserve">Elizabeth A. Nowicki, </w:t>
      </w:r>
      <w:r>
        <w:rPr>
          <w:b w:val="0"/>
          <w:i/>
        </w:rPr>
        <w:t>Sự thiếu chú ý của giám đốc và việc bảo vệ giám đốc theo Mục 102(b)(7) của Luật Công ty Đại cương Delaware: Đề xuất cải cách lập pháp</w:t>
      </w:r>
    </w:p>
    <w:p>
      <w:pPr>
        <w:spacing w:after="80"/>
      </w:pPr>
      <w:r>
        <w:rPr>
          <w:b w:val="0"/>
          <w:i w:val="0"/>
        </w:rPr>
        <w:t>Báo cáo của Lực lượng Đặc nhiệm thuộc Ủy ban Quản trị Công ty của Phân ban Luật Kinh doanh thuộc ABA về việc Phân định Vai trò và Trách nhiệm Quản trị</w:t>
      </w:r>
    </w:p>
    <w:p>
      <w:pPr>
        <w:spacing w:after="80"/>
      </w:pPr>
      <w:r>
        <w:rPr>
          <w:b w:val="0"/>
          <w:i w:val="0"/>
        </w:rPr>
        <w:t xml:space="preserve">J. Robert Brown, Jr., </w:t>
      </w:r>
      <w:r>
        <w:rPr>
          <w:b w:val="0"/>
          <w:i/>
        </w:rPr>
        <w:t>Việc giải huyền thoại hóa Hội đồng quản trị</w:t>
      </w:r>
    </w:p>
    <w:p>
      <w:pPr>
        <w:spacing w:after="80"/>
      </w:pPr>
      <w:r>
        <w:rPr>
          <w:b w:val="0"/>
          <w:i w:val="0"/>
        </w:rPr>
        <w:t>III. Giám đốc độc lập</w:t>
      </w:r>
    </w:p>
    <w:p>
      <w:pPr>
        <w:spacing w:after="80"/>
      </w:pPr>
      <w:r>
        <w:rPr>
          <w:b w:val="0"/>
          <w:i w:val="0"/>
        </w:rPr>
        <w:t xml:space="preserve">Jeffrey N. Gordon, </w:t>
      </w:r>
      <w:r>
        <w:rPr>
          <w:b w:val="0"/>
          <w:i/>
        </w:rPr>
        <w:t>Sự trỗi dậy của các giám đốc độc lập tại Hoa Kỳ, 1950–2005: Về giá trị cổ đông và giá cổ phiếu trên thị trường</w:t>
      </w:r>
    </w:p>
    <w:p>
      <w:pPr>
        <w:spacing w:after="80"/>
      </w:pPr>
      <w:r>
        <w:rPr>
          <w:b w:val="0"/>
          <w:i/>
        </w:rPr>
        <w:t>Hampshire Group, Ltd. kiện Kuttner</w:t>
      </w:r>
    </w:p>
    <w:p>
      <w:pPr>
        <w:spacing w:after="80"/>
      </w:pPr>
      <w:r>
        <w:rPr>
          <w:b w:val="0"/>
          <w:i w:val="0"/>
        </w:rPr>
        <w:t>IV. Quy mô, cơ cấu và vai trò lãnh đạo của Hội đồng quản trị</w:t>
      </w:r>
    </w:p>
    <w:p>
      <w:pPr>
        <w:spacing w:after="80"/>
      </w:pPr>
      <w:r>
        <w:rPr>
          <w:b w:val="0"/>
          <w:i w:val="0"/>
        </w:rPr>
        <w:t>Cải tiến Công bố Thông tin Ủy quyền</w:t>
      </w:r>
    </w:p>
    <w:p>
      <w:pPr>
        <w:spacing w:after="80"/>
      </w:pPr>
      <w:r>
        <w:rPr>
          <w:b w:val="0"/>
          <w:i w:val="0"/>
        </w:rPr>
        <w:t>V. Các ủy ban của Hội đồng quản trị</w:t>
      </w:r>
    </w:p>
    <w:p>
      <w:pPr>
        <w:spacing w:after="80"/>
      </w:pPr>
      <w:r>
        <w:rPr>
          <w:b w:val="0"/>
          <w:i w:val="0"/>
        </w:rPr>
        <w:t>VI. Lựa chọn giám đốc</w:t>
      </w:r>
    </w:p>
    <w:p>
      <w:pPr>
        <w:spacing w:after="80"/>
      </w:pPr>
      <w:r>
        <w:rPr>
          <w:b w:val="0"/>
          <w:i w:val="0"/>
        </w:rPr>
        <w:t xml:space="preserve">Michael E. Murphy, </w:t>
      </w:r>
      <w:r>
        <w:rPr>
          <w:b w:val="0"/>
          <w:i/>
        </w:rPr>
        <w:t>Quy trình đề cử cho Hội đồng quản trị công ty: Phân tích ra quyết định</w:t>
      </w:r>
    </w:p>
    <w:p>
      <w:pPr>
        <w:spacing w:after="80"/>
      </w:pPr>
      <w:r>
        <w:rPr>
          <w:b w:val="0"/>
          <w:i w:val="0"/>
        </w:rPr>
        <w:t>VII. Thù lao của giám đốc</w:t>
      </w:r>
    </w:p>
    <w:p>
      <w:pPr>
        <w:spacing w:after="80"/>
      </w:pPr>
      <w:r>
        <w:rPr>
          <w:b w:val="0"/>
          <w:i w:val="0"/>
        </w:rPr>
        <w:t>VIII. Đa dạng trong Hội đồng quản trị</w:t>
      </w:r>
    </w:p>
    <w:p>
      <w:pPr>
        <w:spacing w:after="80"/>
      </w:pPr>
      <w:r>
        <w:rPr>
          <w:b w:val="0"/>
          <w:i w:val="0"/>
        </w:rPr>
        <w:t xml:space="preserve">Renée B. Adams &amp; Daniel Ferreira, </w:t>
      </w:r>
      <w:r>
        <w:rPr>
          <w:b w:val="0"/>
          <w:i/>
        </w:rPr>
        <w:t>Phụ nữ trong phòng họp Hội đồng quản trị và tác động của họ đối với quản trị và hiệu quả hoạt động</w:t>
      </w:r>
    </w:p>
    <w:p>
      <w:pPr>
        <w:spacing w:after="80"/>
      </w:pPr>
      <w:r>
        <w:rPr>
          <w:b w:val="0"/>
          <w:i w:val="0"/>
        </w:rPr>
        <w:t xml:space="preserve">Lisa M. Fairfax, </w:t>
      </w:r>
      <w:r>
        <w:rPr>
          <w:b w:val="0"/>
          <w:i/>
        </w:rPr>
        <w:t>Đa dạng Hội đồng quản trị nhìn lại: Lý do mới, câu chuyện cũ?</w:t>
      </w:r>
    </w:p>
    <w:p>
      <w:pPr>
        <w:spacing w:after="80"/>
      </w:pPr>
      <w:r>
        <w:rPr>
          <w:b w:val="0"/>
          <w:i w:val="0"/>
        </w:rPr>
        <w:t>IX. Nhiệm kỳ của Giám đốc</w:t>
      </w:r>
    </w:p>
    <w:p>
      <w:pPr>
        <w:spacing w:after="80"/>
      </w:pPr>
      <w:r>
        <w:rPr>
          <w:b/>
          <w:i w:val="0"/>
        </w:rPr>
        <w:t>Chương 4 · Nghĩa vụ của Người đại diện theo pháp luật trong công ty</w:t>
      </w:r>
    </w:p>
    <w:p>
      <w:pPr>
        <w:spacing w:after="80"/>
      </w:pPr>
      <w:r>
        <w:rPr>
          <w:b w:val="0"/>
          <w:i w:val="0"/>
        </w:rPr>
        <w:t>I. Nghĩa vụ cẩn trọng và Quy tắc Phán đoán Kinh doanh</w:t>
      </w:r>
    </w:p>
    <w:p>
      <w:pPr>
        <w:spacing w:after="80"/>
      </w:pPr>
      <w:r>
        <w:rPr>
          <w:b w:val="0"/>
          <w:i/>
        </w:rPr>
        <w:t>Joy v. North</w:t>
      </w:r>
    </w:p>
    <w:p>
      <w:pPr>
        <w:spacing w:after="80"/>
      </w:pPr>
      <w:r>
        <w:rPr>
          <w:b w:val="0"/>
          <w:i w:val="0"/>
        </w:rPr>
        <w:t>II. Cẩn trọng về Quy trình và Quy tắc Phán đoán Kinh doanh</w:t>
      </w:r>
    </w:p>
    <w:p>
      <w:pPr>
        <w:spacing w:after="80"/>
      </w:pPr>
      <w:r>
        <w:rPr>
          <w:b w:val="0"/>
          <w:i/>
        </w:rPr>
        <w:t>Smith v. Van Gorkom</w:t>
      </w:r>
    </w:p>
    <w:p>
      <w:pPr>
        <w:spacing w:after="80"/>
      </w:pPr>
      <w:r>
        <w:rPr>
          <w:b w:val="0"/>
          <w:i w:val="0"/>
        </w:rPr>
        <w:t xml:space="preserve">III. Sau </w:t>
      </w:r>
      <w:r>
        <w:rPr>
          <w:b w:val="0"/>
          <w:i/>
        </w:rPr>
        <w:t>Smith v. Van Gorkom</w:t>
      </w:r>
    </w:p>
    <w:p>
      <w:pPr>
        <w:spacing w:after="80"/>
      </w:pPr>
      <w:r>
        <w:rPr>
          <w:b w:val="0"/>
          <w:i/>
        </w:rPr>
        <w:t>Malpiede v. Townson</w:t>
      </w:r>
    </w:p>
    <w:p>
      <w:pPr>
        <w:spacing w:after="80"/>
      </w:pPr>
      <w:r>
        <w:rPr>
          <w:b w:val="0"/>
          <w:i w:val="0"/>
        </w:rPr>
        <w:t xml:space="preserve">J. Robert Brown, Jr. &amp; Sandeep Gopalan, </w:t>
      </w:r>
      <w:r>
        <w:rPr>
          <w:b w:val="0"/>
          <w:i/>
        </w:rPr>
        <w:t>Opting Only In: Contractarians, Waiver of Liability Provisions, and the Race to the Bottom</w:t>
      </w:r>
    </w:p>
    <w:p>
      <w:pPr>
        <w:spacing w:after="80"/>
      </w:pPr>
      <w:r>
        <w:rPr>
          <w:b w:val="0"/>
          <w:i w:val="0"/>
        </w:rPr>
        <w:t>IV. Giám sát của Giám đốc và Nghĩa vụ Theo dõi</w:t>
      </w:r>
    </w:p>
    <w:p>
      <w:pPr>
        <w:spacing w:after="80"/>
      </w:pPr>
      <w:r>
        <w:rPr>
          <w:b w:val="0"/>
          <w:i/>
        </w:rPr>
        <w:t>In re Caremark Int'l Inc. Deriv. Litig.</w:t>
      </w:r>
    </w:p>
    <w:p>
      <w:pPr>
        <w:spacing w:after="80"/>
      </w:pPr>
      <w:r>
        <w:rPr>
          <w:b w:val="0"/>
          <w:i/>
        </w:rPr>
        <w:t>Stone v. Ritter</w:t>
      </w:r>
    </w:p>
    <w:p>
      <w:pPr>
        <w:spacing w:after="80"/>
      </w:pPr>
      <w:r>
        <w:rPr>
          <w:b w:val="0"/>
          <w:i/>
        </w:rPr>
        <w:t>Rich v. Chong</w:t>
      </w:r>
    </w:p>
    <w:p>
      <w:pPr>
        <w:spacing w:after="80"/>
      </w:pPr>
      <w:r>
        <w:rPr>
          <w:b w:val="0"/>
          <w:i w:val="0"/>
        </w:rPr>
        <w:t xml:space="preserve">V. Khiếu nại theo </w:t>
      </w:r>
      <w:r>
        <w:rPr>
          <w:b w:val="0"/>
          <w:i/>
        </w:rPr>
        <w:t>Caremark</w:t>
      </w:r>
      <w:r>
        <w:rPr>
          <w:b w:val="0"/>
          <w:i w:val="0"/>
        </w:rPr>
        <w:t xml:space="preserve"> và Quản lý Rủi ro</w:t>
      </w:r>
    </w:p>
    <w:p>
      <w:pPr>
        <w:spacing w:after="80"/>
      </w:pPr>
      <w:r>
        <w:rPr>
          <w:b w:val="0"/>
          <w:i/>
        </w:rPr>
        <w:t>In re Citigroup Inc. Shareholder Deriv. Litig.</w:t>
      </w:r>
    </w:p>
    <w:p>
      <w:pPr>
        <w:spacing w:after="80"/>
      </w:pPr>
      <w:r>
        <w:rPr>
          <w:b w:val="0"/>
          <w:i w:val="0"/>
        </w:rPr>
        <w:t>VI. Nghĩa vụ Công bố Thông tin</w:t>
      </w:r>
    </w:p>
    <w:p>
      <w:pPr>
        <w:spacing w:after="80"/>
      </w:pPr>
      <w:r>
        <w:rPr>
          <w:b w:val="0"/>
          <w:i/>
        </w:rPr>
        <w:t>Malone v. Brincat</w:t>
      </w:r>
    </w:p>
    <w:p>
      <w:pPr>
        <w:spacing w:after="80"/>
      </w:pPr>
      <w:r>
        <w:rPr>
          <w:b/>
          <w:i w:val="0"/>
        </w:rPr>
        <w:t>Chương 5 · Nghĩa vụ trung thành</w:t>
      </w:r>
    </w:p>
    <w:p>
      <w:pPr>
        <w:spacing w:after="80"/>
      </w:pPr>
      <w:r>
        <w:rPr>
          <w:b w:val="0"/>
          <w:i w:val="0"/>
        </w:rPr>
        <w:t>I. Giao dịch tự lợi</w:t>
      </w:r>
    </w:p>
    <w:p>
      <w:pPr>
        <w:spacing w:after="80"/>
      </w:pPr>
      <w:r>
        <w:rPr>
          <w:b w:val="0"/>
          <w:i w:val="0"/>
        </w:rPr>
        <w:t xml:space="preserve">Harold Marsh, Jr., </w:t>
      </w:r>
      <w:r>
        <w:rPr>
          <w:b w:val="0"/>
          <w:i/>
        </w:rPr>
        <w:t>Are Directors Trustees? Conflict of Interest and Corporate Morality</w:t>
      </w:r>
    </w:p>
    <w:p>
      <w:pPr>
        <w:spacing w:after="80"/>
      </w:pPr>
      <w:r>
        <w:rPr>
          <w:b w:val="0"/>
          <w:i/>
        </w:rPr>
        <w:t>Fliegler v. Lawrence</w:t>
      </w:r>
    </w:p>
    <w:p>
      <w:pPr>
        <w:spacing w:after="80"/>
      </w:pPr>
      <w:r>
        <w:rPr>
          <w:b w:val="0"/>
          <w:i/>
        </w:rPr>
        <w:t>Benihana of Tokyo, Inc. v. Benihana, Inc.</w:t>
      </w:r>
    </w:p>
    <w:p>
      <w:pPr>
        <w:spacing w:after="80"/>
      </w:pPr>
      <w:r>
        <w:rPr>
          <w:b w:val="0"/>
          <w:i/>
        </w:rPr>
        <w:t>Pfeffer v. Redstone</w:t>
      </w:r>
    </w:p>
    <w:p>
      <w:pPr>
        <w:spacing w:after="80"/>
      </w:pPr>
      <w:r>
        <w:rPr>
          <w:b w:val="0"/>
          <w:i w:val="0"/>
        </w:rPr>
        <w:t xml:space="preserve">J. Robert Brown, Jr., </w:t>
      </w:r>
      <w:r>
        <w:rPr>
          <w:b w:val="0"/>
          <w:i/>
        </w:rPr>
        <w:t>Disloyalty Without Limits: “Independent” Directors and the Elimination of the Duty of Loyalty</w:t>
      </w:r>
    </w:p>
    <w:p>
      <w:pPr>
        <w:spacing w:after="80"/>
      </w:pPr>
      <w:r>
        <w:rPr>
          <w:b w:val="0"/>
          <w:i/>
        </w:rPr>
        <w:t>CDX Liquidating Trust v. Venrock Assoc.</w:t>
      </w:r>
    </w:p>
    <w:p>
      <w:pPr>
        <w:spacing w:after="80"/>
      </w:pPr>
      <w:r>
        <w:rPr>
          <w:b w:val="0"/>
          <w:i w:val="0"/>
        </w:rPr>
        <w:t>II. Chiếm đoạt cơ hội của công ty</w:t>
      </w:r>
    </w:p>
    <w:p>
      <w:pPr>
        <w:spacing w:after="80"/>
      </w:pPr>
      <w:r>
        <w:rPr>
          <w:b w:val="0"/>
          <w:i/>
        </w:rPr>
        <w:t>Broz v. Cellular Information Systems Inc.</w:t>
      </w:r>
    </w:p>
    <w:p>
      <w:pPr>
        <w:spacing w:after="80"/>
      </w:pPr>
      <w:r>
        <w:rPr>
          <w:b w:val="0"/>
          <w:i/>
        </w:rPr>
        <w:t>AngioScore, Inc. v. Trireme Medical, Inc.</w:t>
      </w:r>
    </w:p>
    <w:p>
      <w:pPr>
        <w:spacing w:after="80"/>
      </w:pPr>
      <w:r>
        <w:rPr>
          <w:b w:val="0"/>
          <w:i/>
        </w:rPr>
        <w:t>Orman v. Cullman</w:t>
      </w:r>
    </w:p>
    <w:p>
      <w:pPr>
        <w:spacing w:after="80"/>
      </w:pPr>
      <w:r>
        <w:rPr>
          <w:b w:val="0"/>
          <w:i w:val="0"/>
        </w:rPr>
        <w:t>III. Cạnh tranh với công ty</w:t>
      </w:r>
    </w:p>
    <w:p>
      <w:pPr>
        <w:spacing w:after="80"/>
      </w:pPr>
      <w:r>
        <w:rPr>
          <w:b w:val="0"/>
          <w:i/>
        </w:rPr>
        <w:t>Riggs Inv. Mgmt. Corp. v. Columbia Partners, L.L.C.</w:t>
      </w:r>
    </w:p>
    <w:p>
      <w:pPr>
        <w:spacing w:after="80"/>
      </w:pPr>
      <w:r>
        <w:rPr>
          <w:b/>
          <w:i w:val="0"/>
        </w:rPr>
        <w:t>Chương 6 · Thù lao điều hành</w:t>
      </w:r>
    </w:p>
    <w:p>
      <w:pPr>
        <w:spacing w:after="80"/>
      </w:pPr>
      <w:r>
        <w:rPr>
          <w:b w:val="0"/>
          <w:i w:val="0"/>
        </w:rPr>
        <w:t>I. Vấn đề thù lao ban điều hành có phải là chuyện mới không?</w:t>
      </w:r>
    </w:p>
    <w:p>
      <w:pPr>
        <w:spacing w:after="80"/>
      </w:pPr>
      <w:r>
        <w:rPr>
          <w:b w:val="0"/>
          <w:i w:val="0"/>
        </w:rPr>
        <w:t>A. Đôi nét lịch sử</w:t>
      </w:r>
    </w:p>
    <w:p>
      <w:pPr>
        <w:spacing w:after="80"/>
      </w:pPr>
      <w:r>
        <w:rPr>
          <w:b w:val="0"/>
          <w:i w:val="0"/>
        </w:rPr>
        <w:t xml:space="preserve">Harwell Wells, </w:t>
      </w:r>
      <w:r>
        <w:rPr>
          <w:b w:val="0"/>
          <w:i/>
        </w:rPr>
        <w:t>“Không ai có thể đáng giá 1.000.000 đô-la một năm”: Cuộc chiến về thù lao ban điều hành ở nước Mỹ thập niên 1930</w:t>
      </w:r>
    </w:p>
    <w:p>
      <w:pPr>
        <w:spacing w:after="80"/>
      </w:pPr>
      <w:r>
        <w:rPr>
          <w:b w:val="0"/>
          <w:i w:val="0"/>
        </w:rPr>
        <w:t>B. Thù lao và thị trường: Một cuộc tranh luận</w:t>
      </w:r>
    </w:p>
    <w:p>
      <w:pPr>
        <w:spacing w:after="80"/>
      </w:pPr>
      <w:r>
        <w:rPr>
          <w:b w:val="0"/>
          <w:i/>
        </w:rPr>
        <w:t>Jones v. Harris Associates, L.P.</w:t>
      </w:r>
    </w:p>
    <w:p>
      <w:pPr>
        <w:spacing w:after="80"/>
      </w:pPr>
      <w:r>
        <w:rPr>
          <w:b w:val="0"/>
          <w:i/>
        </w:rPr>
        <w:t>Jones v. Harris Associates, L.P.</w:t>
      </w:r>
    </w:p>
    <w:p>
      <w:pPr>
        <w:spacing w:after="80"/>
      </w:pPr>
      <w:r>
        <w:rPr>
          <w:b w:val="0"/>
          <w:i/>
        </w:rPr>
        <w:t>Jones v. Harris Associates, L.P.</w:t>
      </w:r>
    </w:p>
    <w:p>
      <w:pPr>
        <w:spacing w:after="80"/>
      </w:pPr>
      <w:r>
        <w:rPr>
          <w:b w:val="0"/>
          <w:i w:val="0"/>
        </w:rPr>
        <w:t>C. Bàn thêm về các vấn đề cơ cấu</w:t>
      </w:r>
    </w:p>
    <w:p>
      <w:pPr>
        <w:spacing w:after="80"/>
      </w:pPr>
      <w:r>
        <w:rPr>
          <w:b w:val="0"/>
          <w:i w:val="0"/>
        </w:rPr>
        <w:t xml:space="preserve">Richard A. Posner, </w:t>
      </w:r>
      <w:r>
        <w:rPr>
          <w:b w:val="0"/>
          <w:i/>
        </w:rPr>
        <w:t>Tiểu luận: Các CEO Mỹ có được trả lương quá cao không, và nếu có thì cần làm gì, nếu có, về điều đó?</w:t>
      </w:r>
    </w:p>
    <w:p>
      <w:pPr>
        <w:spacing w:after="80"/>
      </w:pPr>
      <w:r>
        <w:rPr>
          <w:b w:val="0"/>
          <w:i w:val="0"/>
        </w:rPr>
        <w:t>II. Nghĩa vụ tín thác và tiêu chuẩn xem xét</w:t>
      </w:r>
    </w:p>
    <w:p>
      <w:pPr>
        <w:spacing w:after="80"/>
      </w:pPr>
      <w:r>
        <w:rPr>
          <w:b w:val="0"/>
          <w:i w:val="0"/>
        </w:rPr>
        <w:t>A. Công bằng tuyệt đối</w:t>
      </w:r>
    </w:p>
    <w:p>
      <w:pPr>
        <w:spacing w:after="80"/>
      </w:pPr>
      <w:r>
        <w:rPr>
          <w:b w:val="0"/>
          <w:i/>
        </w:rPr>
        <w:t>Julian v. Eastern States Construction Service, Inc.</w:t>
      </w:r>
    </w:p>
    <w:p>
      <w:pPr>
        <w:spacing w:after="80"/>
      </w:pPr>
      <w:r>
        <w:rPr>
          <w:b w:val="0"/>
          <w:i/>
        </w:rPr>
        <w:t>CALMA v. Templeton</w:t>
      </w:r>
    </w:p>
    <w:p>
      <w:pPr>
        <w:spacing w:after="80"/>
      </w:pPr>
      <w:r>
        <w:rPr>
          <w:b w:val="0"/>
          <w:i w:val="0"/>
        </w:rPr>
        <w:t>B. Nghĩa vụ cẩn trọng</w:t>
      </w:r>
    </w:p>
    <w:p>
      <w:pPr>
        <w:spacing w:after="80"/>
      </w:pPr>
      <w:r>
        <w:rPr>
          <w:b w:val="0"/>
          <w:i/>
        </w:rPr>
        <w:t>Brehm v. Eisner</w:t>
      </w:r>
    </w:p>
    <w:p>
      <w:pPr>
        <w:spacing w:after="80"/>
      </w:pPr>
      <w:r>
        <w:rPr>
          <w:b w:val="0"/>
          <w:i/>
        </w:rPr>
        <w:t>In re the Walt Disney Co. Derivative Litigation</w:t>
      </w:r>
    </w:p>
    <w:p>
      <w:pPr>
        <w:spacing w:after="80"/>
      </w:pPr>
      <w:r>
        <w:rPr>
          <w:b w:val="0"/>
          <w:i w:val="0"/>
        </w:rPr>
        <w:t xml:space="preserve">J. Robert Brown, Jr., </w:t>
      </w:r>
      <w:r>
        <w:rPr>
          <w:b w:val="0"/>
          <w:i/>
        </w:rPr>
        <w:t>Trả lại sự công bằng cho Thù lao Điều hành</w:t>
      </w:r>
    </w:p>
    <w:p>
      <w:pPr>
        <w:spacing w:after="80"/>
      </w:pPr>
      <w:r>
        <w:rPr>
          <w:b w:val="0"/>
          <w:i w:val="0"/>
        </w:rPr>
        <w:t>C. Van an toàn của sự Lãng phí</w:t>
      </w:r>
    </w:p>
    <w:p>
      <w:pPr>
        <w:spacing w:after="80"/>
      </w:pPr>
      <w:r>
        <w:rPr>
          <w:b w:val="0"/>
          <w:i/>
        </w:rPr>
        <w:t>Brehm v. Eisner</w:t>
      </w:r>
    </w:p>
    <w:p>
      <w:pPr>
        <w:spacing w:after="80"/>
      </w:pPr>
      <w:r>
        <w:rPr>
          <w:b w:val="0"/>
          <w:i/>
        </w:rPr>
        <w:t>In re InfoUSA</w:t>
      </w:r>
    </w:p>
    <w:p>
      <w:pPr>
        <w:spacing w:after="80"/>
      </w:pPr>
      <w:r>
        <w:rPr>
          <w:b w:val="0"/>
          <w:i w:val="0"/>
        </w:rPr>
        <w:t>III. Thù lao và SEC</w:t>
      </w:r>
    </w:p>
    <w:p>
      <w:pPr>
        <w:spacing w:after="80"/>
      </w:pPr>
      <w:r>
        <w:rPr>
          <w:b w:val="0"/>
          <w:i w:val="0"/>
        </w:rPr>
        <w:t>A. Thù lao và Công bố thông tin</w:t>
      </w:r>
    </w:p>
    <w:p>
      <w:pPr>
        <w:spacing w:after="80"/>
      </w:pPr>
      <w:r>
        <w:rPr>
          <w:b w:val="0"/>
          <w:i w:val="0"/>
        </w:rPr>
        <w:t>Công bố Thù lao Điều hành và Người có Liên quan</w:t>
      </w:r>
    </w:p>
    <w:p>
      <w:pPr>
        <w:spacing w:after="80"/>
      </w:pPr>
      <w:r>
        <w:rPr>
          <w:b w:val="0"/>
          <w:i/>
        </w:rPr>
        <w:t>Trong vấn đề của Musclepharm Corporation</w:t>
      </w:r>
    </w:p>
    <w:p>
      <w:pPr>
        <w:spacing w:after="80"/>
      </w:pPr>
      <w:r>
        <w:rPr>
          <w:b w:val="0"/>
          <w:i w:val="0"/>
        </w:rPr>
        <w:t xml:space="preserve">Jennifer S. Martin, </w:t>
      </w:r>
      <w:r>
        <w:rPr>
          <w:b w:val="0"/>
          <w:i/>
        </w:rPr>
        <w:t>Ngôi nhà của Chuột và Hơn thế nữa: Đánh giá Những nỗ lực của SEC nhằm Điều chỉnh Thù lao Điều hành</w:t>
      </w:r>
    </w:p>
    <w:p>
      <w:pPr>
        <w:spacing w:after="80"/>
      </w:pPr>
      <w:r>
        <w:rPr>
          <w:b w:val="0"/>
          <w:i w:val="0"/>
        </w:rPr>
        <w:t>B. Công bố thông tin và Những thay đổi Thực chất trong Hành vi</w:t>
      </w:r>
    </w:p>
    <w:p>
      <w:pPr>
        <w:spacing w:after="80"/>
      </w:pPr>
      <w:r>
        <w:rPr>
          <w:b w:val="0"/>
          <w:i w:val="0"/>
        </w:rPr>
        <w:t>Công bố Thù lao Điều hành và Người có Liên quan</w:t>
      </w:r>
    </w:p>
    <w:p>
      <w:pPr>
        <w:spacing w:after="80"/>
      </w:pPr>
      <w:r>
        <w:rPr>
          <w:b w:val="0"/>
          <w:i w:val="0"/>
        </w:rPr>
        <w:t>Công bố Tỷ lệ Thù lao</w:t>
      </w:r>
    </w:p>
    <w:p>
      <w:pPr>
        <w:spacing w:after="80"/>
      </w:pPr>
      <w:r>
        <w:rPr>
          <w:b w:val="0"/>
          <w:i w:val="0"/>
        </w:rPr>
        <w:t>C. Điều chỉnh Thực chất đối với Thù lao</w:t>
      </w:r>
    </w:p>
    <w:p>
      <w:pPr>
        <w:spacing w:after="80"/>
      </w:pPr>
      <w:r>
        <w:rPr>
          <w:b w:val="0"/>
          <w:i/>
        </w:rPr>
        <w:t>SEC v. Jenkins</w:t>
      </w:r>
    </w:p>
    <w:p>
      <w:pPr>
        <w:spacing w:after="80"/>
      </w:pPr>
      <w:r>
        <w:rPr>
          <w:b w:val="0"/>
          <w:i w:val="0"/>
        </w:rPr>
        <w:t>D. Sửa chữa Quy trình</w:t>
      </w:r>
    </w:p>
    <w:p>
      <w:pPr>
        <w:spacing w:after="80"/>
      </w:pPr>
      <w:r>
        <w:rPr>
          <w:b w:val="0"/>
          <w:i w:val="0"/>
        </w:rPr>
        <w:t>Tiêu chuẩn Niêm yết cho Ủy ban Thù lao</w:t>
      </w:r>
    </w:p>
    <w:p>
      <w:pPr>
        <w:spacing w:after="80"/>
      </w:pPr>
      <w:r>
        <w:rPr>
          <w:b w:val="0"/>
          <w:i w:val="0"/>
        </w:rPr>
        <w:t>E. Các thông lệ và biện pháp khắc phục về thù lao</w:t>
      </w:r>
    </w:p>
    <w:p>
      <w:pPr>
        <w:spacing w:after="80"/>
      </w:pPr>
      <w:r>
        <w:rPr>
          <w:b w:val="0"/>
          <w:i/>
        </w:rPr>
        <w:t>SEC v. Bank of America</w:t>
      </w:r>
    </w:p>
    <w:p>
      <w:pPr>
        <w:spacing w:after="80"/>
      </w:pPr>
      <w:r>
        <w:rPr>
          <w:b w:val="0"/>
          <w:i w:val="0"/>
        </w:rPr>
        <w:t>IV. "Say on Pay" và tăng cường vai trò của cổ đông trong quá trình trả thù lao</w:t>
      </w:r>
    </w:p>
    <w:p>
      <w:pPr>
        <w:spacing w:after="80"/>
      </w:pPr>
      <w:r>
        <w:rPr>
          <w:b w:val="0"/>
          <w:i w:val="0"/>
        </w:rPr>
        <w:t>Cổ đông phê duyệt thù lao cho ban điều hành và thù lao "dù vàng" (golden parachute)</w:t>
      </w:r>
    </w:p>
    <w:p>
      <w:pPr>
        <w:spacing w:after="80"/>
      </w:pPr>
      <w:r>
        <w:rPr>
          <w:b w:val="0"/>
          <w:i/>
        </w:rPr>
        <w:t>NECA-IBEW Pension Fund v. Cox</w:t>
      </w:r>
    </w:p>
    <w:p>
      <w:pPr>
        <w:spacing w:after="80"/>
      </w:pPr>
      <w:r>
        <w:rPr>
          <w:b w:val="0"/>
          <w:i w:val="0"/>
        </w:rPr>
        <w:t>V. Định hướng tương lai của thù lao cho ban điều hành</w:t>
      </w:r>
    </w:p>
    <w:p>
      <w:pPr>
        <w:spacing w:after="80"/>
      </w:pPr>
      <w:r>
        <w:rPr>
          <w:b/>
          <w:i w:val="0"/>
        </w:rPr>
        <w:t>Chương 7 · Vai trò của cổ đông trong quá trình quản trị</w:t>
      </w:r>
    </w:p>
    <w:p>
      <w:pPr>
        <w:spacing w:after="80"/>
      </w:pPr>
      <w:r>
        <w:rPr>
          <w:b w:val="0"/>
          <w:i w:val="0"/>
        </w:rPr>
        <w:t>I. Sự tách biệt giữa quyền sở hữu và quyền kiểm soát</w:t>
      </w:r>
    </w:p>
    <w:p>
      <w:pPr>
        <w:spacing w:after="80"/>
      </w:pPr>
      <w:r>
        <w:rPr>
          <w:b w:val="0"/>
          <w:i w:val="0"/>
        </w:rPr>
        <w:t>A. Sự trỗi dậy của các nhà đầu tư tổ chức</w:t>
      </w:r>
    </w:p>
    <w:p>
      <w:pPr>
        <w:spacing w:after="80"/>
      </w:pPr>
      <w:r>
        <w:rPr>
          <w:b w:val="0"/>
          <w:i w:val="0"/>
        </w:rPr>
        <w:t xml:space="preserve">Iman Anabtawi &amp; Lynn Stout, </w:t>
      </w:r>
      <w:r>
        <w:rPr>
          <w:b w:val="0"/>
          <w:i/>
        </w:rPr>
        <w:t>Nghĩa vụ ủy thác đối với cổ đông hoạt động tích cực</w:t>
      </w:r>
    </w:p>
    <w:p>
      <w:pPr>
        <w:spacing w:after="80"/>
      </w:pPr>
      <w:r>
        <w:rPr>
          <w:b w:val="0"/>
          <w:i w:val="0"/>
        </w:rPr>
        <w:t>B. Các loại nhà đầu tư tổ chức</w:t>
      </w:r>
    </w:p>
    <w:p>
      <w:pPr>
        <w:spacing w:after="80"/>
      </w:pPr>
      <w:r>
        <w:rPr>
          <w:b w:val="0"/>
          <w:i w:val="0"/>
        </w:rPr>
        <w:t>K. A. D. Camara, Phân loại nhà đầu tư tổ chức</w:t>
      </w:r>
    </w:p>
    <w:p>
      <w:pPr>
        <w:spacing w:after="80"/>
      </w:pPr>
      <w:r>
        <w:rPr>
          <w:b w:val="0"/>
          <w:i/>
        </w:rPr>
        <w:t>In re INTECH Investment Management LLC</w:t>
      </w:r>
    </w:p>
    <w:p>
      <w:pPr>
        <w:spacing w:after="80"/>
      </w:pPr>
      <w:r>
        <w:rPr>
          <w:b w:val="0"/>
          <w:i w:val="0"/>
        </w:rPr>
        <w:t xml:space="preserve">Jennifer S. Taub, </w:t>
      </w:r>
      <w:r>
        <w:rPr>
          <w:b w:val="0"/>
          <w:i/>
        </w:rPr>
        <w:t>Có khả năng nhưng không sẵn lòng: Sự thất bại của các cố vấn quỹ tương hỗ trong việc đấu tranh cho quyền của cổ đông</w:t>
      </w:r>
    </w:p>
    <w:p>
      <w:pPr>
        <w:spacing w:after="80"/>
      </w:pPr>
      <w:r>
        <w:rPr>
          <w:b w:val="0"/>
          <w:i w:val="0"/>
        </w:rPr>
        <w:t xml:space="preserve">George W. Dent, Jr., </w:t>
      </w:r>
      <w:r>
        <w:rPr>
          <w:b w:val="0"/>
          <w:i/>
        </w:rPr>
        <w:t>Sự thống nhất thiết yếu của cổ đông và huyền thoại về chủ nghĩa ngắn hạn của nhà đầu tư</w:t>
      </w:r>
    </w:p>
    <w:p>
      <w:pPr>
        <w:spacing w:after="80"/>
      </w:pPr>
      <w:r>
        <w:rPr>
          <w:b w:val="0"/>
          <w:i w:val="0"/>
        </w:rPr>
        <w:t>C. Vai trò của các công ty tư vấn đại diện (proxy advisory firms)</w:t>
      </w:r>
    </w:p>
    <w:p>
      <w:pPr>
        <w:spacing w:after="80"/>
      </w:pPr>
      <w:r>
        <w:rPr>
          <w:b w:val="0"/>
          <w:i w:val="0"/>
        </w:rPr>
        <w:t>Concept Release về Hệ thống Ủy quyền của Hoa Kỳ</w:t>
      </w:r>
    </w:p>
    <w:p>
      <w:pPr>
        <w:spacing w:after="80"/>
      </w:pPr>
      <w:r>
        <w:rPr>
          <w:b w:val="0"/>
          <w:i w:val="0"/>
        </w:rPr>
        <w:t>II. Bỏ phiếu theo Đa số so với Bỏ phiếu theo Số nhiều</w:t>
      </w:r>
    </w:p>
    <w:p>
      <w:pPr>
        <w:spacing w:after="80"/>
      </w:pPr>
      <w:r>
        <w:rPr>
          <w:b w:val="0"/>
          <w:i/>
        </w:rPr>
        <w:t>City of Westland Police &amp; Fire Retirement System v. Axcelis Technologies, Inc.</w:t>
      </w:r>
    </w:p>
    <w:p>
      <w:pPr>
        <w:spacing w:after="80"/>
      </w:pPr>
      <w:r>
        <w:rPr>
          <w:b w:val="0"/>
          <w:i w:val="0"/>
        </w:rPr>
        <w:t xml:space="preserve">William K. Sjostrom, Jr. &amp; Young Sang Kim, </w:t>
      </w:r>
      <w:r>
        <w:rPr>
          <w:b w:val="0"/>
          <w:i/>
        </w:rPr>
        <w:t>Bỏ phiếu theo Đa số để Bầu chọn Giám đốc</w:t>
      </w:r>
    </w:p>
    <w:p>
      <w:pPr>
        <w:spacing w:after="80"/>
      </w:pPr>
      <w:r>
        <w:rPr>
          <w:b w:val="0"/>
          <w:i w:val="0"/>
        </w:rPr>
        <w:t>III. Đề xuất của Cổ đông</w:t>
      </w:r>
    </w:p>
    <w:p>
      <w:pPr>
        <w:spacing w:after="80"/>
      </w:pPr>
      <w:r>
        <w:rPr>
          <w:b w:val="0"/>
          <w:i w:val="0"/>
        </w:rPr>
        <w:t>A. Loại trừ Hoạt động Kinh doanh Thông thường và Ngoại lệ vì Lợi ích Công chúng</w:t>
      </w:r>
    </w:p>
    <w:p>
      <w:pPr>
        <w:spacing w:after="80"/>
      </w:pPr>
      <w:r>
        <w:rPr>
          <w:b w:val="0"/>
          <w:i w:val="0"/>
        </w:rPr>
        <w:t>Thông qua các Sửa đổi Liên quan đến Đề xuất của Người nắm giữ Chứng khoán</w:t>
      </w:r>
    </w:p>
    <w:p>
      <w:pPr>
        <w:spacing w:after="80"/>
      </w:pPr>
      <w:r>
        <w:rPr>
          <w:b w:val="0"/>
          <w:i w:val="0"/>
        </w:rPr>
        <w:t>Cracker Barrel Old Country Store, Inc.</w:t>
      </w:r>
    </w:p>
    <w:p>
      <w:pPr>
        <w:spacing w:after="80"/>
      </w:pPr>
      <w:r>
        <w:rPr>
          <w:b w:val="0"/>
          <w:i w:val="0"/>
        </w:rPr>
        <w:t>Các Sửa đổi đối với Quy định về Đề xuất của Cổ đông</w:t>
      </w:r>
    </w:p>
    <w:p>
      <w:pPr>
        <w:spacing w:after="80"/>
      </w:pPr>
      <w:r>
        <w:rPr>
          <w:b w:val="0"/>
          <w:i/>
        </w:rPr>
        <w:t>Trinity Wall Street v. Wal-Mart Stores, Inc.</w:t>
      </w:r>
    </w:p>
    <w:p>
      <w:pPr>
        <w:spacing w:after="80"/>
      </w:pPr>
      <w:r>
        <w:rPr>
          <w:b w:val="0"/>
          <w:i w:val="0"/>
        </w:rPr>
        <w:t>IV. Cơ chế Bỏ phiếu</w:t>
      </w:r>
    </w:p>
    <w:p>
      <w:pPr>
        <w:spacing w:after="80"/>
      </w:pPr>
      <w:r>
        <w:rPr>
          <w:b w:val="0"/>
          <w:i w:val="0"/>
        </w:rPr>
        <w:t>A. Vấn đề Sở hữu Hưởng lợi</w:t>
      </w:r>
    </w:p>
    <w:p>
      <w:pPr>
        <w:spacing w:after="80"/>
      </w:pPr>
      <w:r>
        <w:rPr>
          <w:b w:val="0"/>
          <w:i/>
        </w:rPr>
        <w:t>Crown EMAK Partners, LLC v. Kurz</w:t>
      </w:r>
    </w:p>
    <w:p>
      <w:pPr>
        <w:spacing w:after="80"/>
      </w:pPr>
      <w:r>
        <w:rPr>
          <w:b w:val="0"/>
          <w:i w:val="0"/>
        </w:rPr>
        <w:t>Concept Release về Hệ thống Ủy quyền của Hoa Kỳ</w:t>
      </w:r>
    </w:p>
    <w:p>
      <w:pPr>
        <w:spacing w:after="80"/>
      </w:pPr>
      <w:r>
        <w:rPr>
          <w:b w:val="0"/>
          <w:i w:val="0"/>
        </w:rPr>
        <w:t>B. Vấn đề Bỏ phiếu Vượt quá</w:t>
      </w:r>
    </w:p>
    <w:p>
      <w:pPr>
        <w:spacing w:after="80"/>
      </w:pPr>
      <w:r>
        <w:rPr>
          <w:b w:val="0"/>
          <w:i/>
        </w:rPr>
        <w:t>Seidman and Associates, L.L.C v. G.A. Financial, Inc.</w:t>
      </w:r>
    </w:p>
    <w:p>
      <w:pPr>
        <w:spacing w:after="80"/>
      </w:pPr>
      <w:r>
        <w:rPr>
          <w:b w:val="0"/>
          <w:i w:val="0"/>
        </w:rPr>
        <w:t>C. Vấn đề cổ phần không có hướng dẫn</w:t>
      </w:r>
    </w:p>
    <w:p>
      <w:pPr>
        <w:spacing w:after="80"/>
      </w:pPr>
      <w:r>
        <w:rPr>
          <w:b w:val="0"/>
          <w:i w:val="0"/>
        </w:rPr>
        <w:t>Exchange Act Release No. 60215</w:t>
      </w:r>
    </w:p>
    <w:p>
      <w:pPr>
        <w:spacing w:after="80"/>
      </w:pPr>
      <w:r>
        <w:rPr>
          <w:b w:val="0"/>
          <w:i w:val="0"/>
        </w:rPr>
        <w:t>D. Vấn đề bỏ phiếu rỗng</w:t>
      </w:r>
    </w:p>
    <w:p>
      <w:pPr>
        <w:spacing w:after="80"/>
      </w:pPr>
      <w:r>
        <w:rPr>
          <w:b w:val="0"/>
          <w:i w:val="0"/>
        </w:rPr>
        <w:t>V. Quyền của cổ đông và nghĩa vụ ủy thác của Hội đồng quản trị</w:t>
      </w:r>
    </w:p>
    <w:p>
      <w:pPr>
        <w:spacing w:after="80"/>
      </w:pPr>
      <w:r>
        <w:rPr>
          <w:b w:val="0"/>
          <w:i w:val="0"/>
        </w:rPr>
        <w:t>A. Can thiệp vào quyền bầu cử</w:t>
      </w:r>
    </w:p>
    <w:p>
      <w:pPr>
        <w:spacing w:after="80"/>
      </w:pPr>
      <w:r>
        <w:rPr>
          <w:b w:val="0"/>
          <w:i/>
        </w:rPr>
        <w:t>Blasius Industries, Inc. v. Atlas Corp.</w:t>
      </w:r>
    </w:p>
    <w:p>
      <w:pPr>
        <w:spacing w:after="80"/>
      </w:pPr>
      <w:r>
        <w:rPr>
          <w:b w:val="0"/>
          <w:i/>
        </w:rPr>
        <w:t>Mercier v. Inter-Tel (Delaware), Inc.</w:t>
      </w:r>
    </w:p>
    <w:p>
      <w:pPr>
        <w:spacing w:after="80"/>
      </w:pPr>
      <w:r>
        <w:rPr>
          <w:b w:val="0"/>
          <w:i w:val="0"/>
        </w:rPr>
        <w:t>B. Mua phiếu bầu</w:t>
      </w:r>
    </w:p>
    <w:p>
      <w:pPr>
        <w:spacing w:after="80"/>
      </w:pPr>
      <w:r>
        <w:rPr>
          <w:b w:val="0"/>
          <w:i/>
        </w:rPr>
        <w:t>Schreiber v. Carney</w:t>
      </w:r>
    </w:p>
    <w:p>
      <w:pPr>
        <w:spacing w:after="80"/>
      </w:pPr>
      <w:r>
        <w:rPr>
          <w:b w:val="0"/>
          <w:i/>
        </w:rPr>
        <w:t>Hewlett v. Hewlett-Packard Co.</w:t>
      </w:r>
    </w:p>
    <w:p>
      <w:pPr>
        <w:spacing w:after="80"/>
      </w:pPr>
      <w:r>
        <w:rPr>
          <w:b w:val="0"/>
          <w:i/>
        </w:rPr>
        <w:t>Hewlett v. Hewlett-Packard Co.</w:t>
      </w:r>
    </w:p>
    <w:p>
      <w:pPr>
        <w:spacing w:after="80"/>
      </w:pPr>
      <w:r>
        <w:rPr>
          <w:b/>
          <w:i w:val="0"/>
        </w:rPr>
        <w:t>Chương 8 · Thị trường kiểm soát công ty: Chào mua thâu tóm thù địch và tranh chấp ủy quyền</w:t>
      </w:r>
    </w:p>
    <w:p>
      <w:pPr>
        <w:spacing w:after="80"/>
      </w:pPr>
      <w:r>
        <w:rPr>
          <w:b w:val="0"/>
          <w:i w:val="0"/>
        </w:rPr>
        <w:t>I. Chào mua thâu tóm thù địch</w:t>
      </w:r>
    </w:p>
    <w:p>
      <w:pPr>
        <w:spacing w:after="80"/>
      </w:pPr>
      <w:r>
        <w:rPr>
          <w:b w:val="0"/>
          <w:i w:val="0"/>
        </w:rPr>
        <w:t>A. Quy định liên bang về chào mua thâu tóm</w:t>
      </w:r>
    </w:p>
    <w:p>
      <w:pPr>
        <w:spacing w:after="80"/>
      </w:pPr>
      <w:r>
        <w:rPr>
          <w:b w:val="0"/>
          <w:i w:val="0"/>
        </w:rPr>
        <w:t xml:space="preserve">Steven M. Davidoff, </w:t>
      </w:r>
      <w:r>
        <w:rPr>
          <w:b w:val="0"/>
          <w:i/>
        </w:rPr>
        <w:t>The SEC and the Failure of Federal Takeover Regulation</w:t>
      </w:r>
    </w:p>
    <w:p>
      <w:pPr>
        <w:spacing w:after="80"/>
      </w:pPr>
      <w:r>
        <w:rPr>
          <w:b w:val="0"/>
          <w:i w:val="0"/>
        </w:rPr>
        <w:t>B. Mục 13(d) và chào mua thâu tóm dần dần</w:t>
      </w:r>
    </w:p>
    <w:p>
      <w:pPr>
        <w:spacing w:after="80"/>
      </w:pPr>
      <w:r>
        <w:rPr>
          <w:b w:val="0"/>
          <w:i/>
        </w:rPr>
        <w:t>Rondeau kiện Mosinee Paper Corp.</w:t>
      </w:r>
    </w:p>
    <w:p>
      <w:pPr>
        <w:spacing w:after="80"/>
      </w:pPr>
      <w:r>
        <w:rPr>
          <w:b w:val="0"/>
          <w:i w:val="0"/>
        </w:rPr>
        <w:t>C. Quy định nội dung về các đề nghị mua lại</w:t>
      </w:r>
    </w:p>
    <w:p>
      <w:pPr>
        <w:spacing w:after="80"/>
      </w:pPr>
      <w:r>
        <w:rPr>
          <w:b w:val="0"/>
          <w:i/>
        </w:rPr>
        <w:t>Allergan, Inc. kiện Valeant Pharmaceuticals International, Inc.</w:t>
      </w:r>
    </w:p>
    <w:p>
      <w:pPr>
        <w:spacing w:after="80"/>
      </w:pPr>
      <w:r>
        <w:rPr>
          <w:b w:val="0"/>
          <w:i w:val="0"/>
        </w:rPr>
        <w:t>II. Luật tiểu bang và việc điều chỉnh các chiến thuật phòng ngự</w:t>
      </w:r>
    </w:p>
    <w:p>
      <w:pPr>
        <w:spacing w:after="80"/>
      </w:pPr>
      <w:r>
        <w:rPr>
          <w:b w:val="0"/>
          <w:i w:val="0"/>
        </w:rPr>
        <w:t>A. Các đạo luật chống thâu tóm</w:t>
      </w:r>
    </w:p>
    <w:p>
      <w:pPr>
        <w:spacing w:after="80"/>
      </w:pPr>
      <w:r>
        <w:rPr>
          <w:b w:val="0"/>
          <w:i/>
        </w:rPr>
        <w:t>CTS Corp. kiện Dynamics Corp. of America</w:t>
      </w:r>
    </w:p>
    <w:p>
      <w:pPr>
        <w:spacing w:after="80"/>
      </w:pPr>
      <w:r>
        <w:rPr>
          <w:b w:val="0"/>
          <w:i w:val="0"/>
        </w:rPr>
        <w:t>B. Vai trò của hội đồng quản trị công ty mục tiêu trong các thương vụ thâu tóm thù địch</w:t>
      </w:r>
    </w:p>
    <w:p>
      <w:pPr>
        <w:spacing w:after="80"/>
      </w:pPr>
      <w:r>
        <w:rPr>
          <w:b w:val="0"/>
          <w:i w:val="0"/>
        </w:rPr>
        <w:t xml:space="preserve">Frank H. Easterbrook &amp; Daniel R. Fischel, </w:t>
      </w:r>
      <w:r>
        <w:rPr>
          <w:b w:val="0"/>
          <w:i/>
        </w:rPr>
        <w:t>Vai trò thích hợp của ban điều hành công ty mục tiêu khi phản ứng trước một đề nghị mua lại</w:t>
      </w:r>
    </w:p>
    <w:p>
      <w:pPr>
        <w:spacing w:after="80"/>
      </w:pPr>
      <w:r>
        <w:rPr>
          <w:b w:val="0"/>
          <w:i w:val="0"/>
        </w:rPr>
        <w:t xml:space="preserve">Martin Lipton, </w:t>
      </w:r>
      <w:r>
        <w:rPr>
          <w:b w:val="0"/>
          <w:i/>
        </w:rPr>
        <w:t>Các đề nghị thâu tóm trong phòng họp hội đồng quản trị công ty mục tiêu</w:t>
      </w:r>
    </w:p>
    <w:p>
      <w:pPr>
        <w:spacing w:after="80"/>
      </w:pPr>
      <w:r>
        <w:rPr>
          <w:b w:val="0"/>
          <w:i/>
        </w:rPr>
        <w:t>Unocal Corp. kiện Mesa Petroleum Co.</w:t>
      </w:r>
    </w:p>
    <w:p>
      <w:pPr>
        <w:spacing w:after="80"/>
      </w:pPr>
      <w:r>
        <w:rPr>
          <w:b w:val="0"/>
          <w:i/>
        </w:rPr>
        <w:t>Paramount Communications, Inc. kiện Time Inc.</w:t>
      </w:r>
    </w:p>
    <w:p>
      <w:pPr>
        <w:spacing w:after="80"/>
      </w:pPr>
      <w:r>
        <w:rPr>
          <w:b w:val="0"/>
          <w:i w:val="0"/>
        </w:rPr>
        <w:t>C. Sức mạnh của viên thuốc độc</w:t>
      </w:r>
    </w:p>
    <w:p>
      <w:pPr>
        <w:spacing w:after="80"/>
      </w:pPr>
      <w:r>
        <w:rPr>
          <w:b w:val="0"/>
          <w:i w:val="0"/>
        </w:rPr>
        <w:t xml:space="preserve">Julian Velasco, </w:t>
      </w:r>
      <w:r>
        <w:rPr>
          <w:b w:val="0"/>
          <w:i/>
        </w:rPr>
        <w:t>Cứ làm thôi: Một liều thuốc giải cho viên thuốc độc</w:t>
      </w:r>
    </w:p>
    <w:p>
      <w:pPr>
        <w:spacing w:after="80"/>
      </w:pPr>
      <w:r>
        <w:rPr>
          <w:b w:val="0"/>
          <w:i/>
        </w:rPr>
        <w:t>Air Products and Chemicals, Inc. kiện Airgas, Inc.</w:t>
      </w:r>
    </w:p>
    <w:p>
      <w:pPr>
        <w:spacing w:after="80"/>
      </w:pPr>
      <w:r>
        <w:rPr>
          <w:b w:val="0"/>
          <w:i w:val="0"/>
        </w:rPr>
        <w:t xml:space="preserve">Joseph A. Grundfest, </w:t>
      </w:r>
      <w:r>
        <w:rPr>
          <w:b w:val="0"/>
          <w:i/>
        </w:rPr>
        <w:t>Chỉ cần bỏ phiếu "Không": Một chiến lược tối giản để đối phó với những kẻ man rợ trong nội bộ</w:t>
      </w:r>
    </w:p>
    <w:p>
      <w:pPr>
        <w:spacing w:after="80"/>
      </w:pPr>
      <w:r>
        <w:rPr>
          <w:b w:val="0"/>
          <w:i w:val="0"/>
        </w:rPr>
        <w:t>III. Các cuộc tranh chấp ủy quyền</w:t>
      </w:r>
    </w:p>
    <w:p>
      <w:pPr>
        <w:spacing w:after="80"/>
      </w:pPr>
      <w:r>
        <w:rPr>
          <w:b w:val="0"/>
          <w:i w:val="0"/>
        </w:rPr>
        <w:t>A. Các cuộc tranh chấp ủy quyền và chủ nghĩa hoạt động của cổ đông</w:t>
      </w:r>
    </w:p>
    <w:p>
      <w:pPr>
        <w:spacing w:after="80"/>
      </w:pPr>
      <w:r>
        <w:rPr>
          <w:b w:val="0"/>
          <w:i w:val="0"/>
        </w:rPr>
        <w:t xml:space="preserve">John C. Coffee, Jr. &amp; Darius Palia, </w:t>
      </w:r>
      <w:r>
        <w:rPr>
          <w:b w:val="0"/>
          <w:i/>
        </w:rPr>
        <w:t>The Wolf at the Door: The Impact of Hedge Fund Activism on Corporate Governance</w:t>
      </w:r>
    </w:p>
    <w:p>
      <w:pPr>
        <w:spacing w:after="80"/>
      </w:pPr>
      <w:r>
        <w:rPr>
          <w:b w:val="0"/>
          <w:i w:val="0"/>
        </w:rPr>
        <w:t>Một cuộc tranh luận: Tác động dài hạn so với ngắn hạn của các cổ đông hoạt động</w:t>
      </w:r>
    </w:p>
    <w:p>
      <w:pPr>
        <w:spacing w:after="80"/>
      </w:pPr>
      <w:r>
        <w:rPr>
          <w:b w:val="0"/>
          <w:i w:val="0"/>
        </w:rPr>
        <w:t xml:space="preserve">Lucian A. Bebchuk, Alon Brav &amp; Wei Jiang, </w:t>
      </w:r>
      <w:r>
        <w:rPr>
          <w:b w:val="0"/>
          <w:i/>
        </w:rPr>
        <w:t>The Long-Term Effects of Hedge Fund Activism</w:t>
      </w:r>
    </w:p>
    <w:p>
      <w:pPr>
        <w:spacing w:after="80"/>
      </w:pPr>
      <w:r>
        <w:rPr>
          <w:b w:val="0"/>
          <w:i w:val="0"/>
        </w:rPr>
        <w:t xml:space="preserve">John C. Coffee, Jr. &amp; Darius Palia, </w:t>
      </w:r>
      <w:r>
        <w:rPr>
          <w:b w:val="0"/>
          <w:i/>
        </w:rPr>
        <w:t>The Wolf at the Door: The Impact of Hedge Fund Activism on Corporate Governance</w:t>
      </w:r>
    </w:p>
    <w:p>
      <w:pPr>
        <w:spacing w:after="80"/>
      </w:pPr>
      <w:r>
        <w:rPr>
          <w:b w:val="0"/>
          <w:i w:val="0"/>
        </w:rPr>
        <w:t>B. Các cuộc tranh chấp ủy quyền và luật tiểu bang</w:t>
      </w:r>
    </w:p>
    <w:p>
      <w:pPr>
        <w:spacing w:after="80"/>
      </w:pPr>
      <w:r>
        <w:rPr>
          <w:b w:val="0"/>
          <w:i w:val="0"/>
        </w:rPr>
        <w:t xml:space="preserve">Lucian Arye Bebchuk, John C. Coates IV &amp; Guhan Subramanian, </w:t>
      </w:r>
      <w:r>
        <w:rPr>
          <w:b w:val="0"/>
          <w:i/>
        </w:rPr>
        <w:t>The Powerful Antitakeover Force of Staggered Boards: Theory, Evidence, and Policy</w:t>
      </w:r>
    </w:p>
    <w:p>
      <w:pPr>
        <w:spacing w:after="80"/>
      </w:pPr>
      <w:r>
        <w:rPr>
          <w:b w:val="0"/>
          <w:i/>
        </w:rPr>
        <w:t>Portnoy v. Cryo-Cell International</w:t>
      </w:r>
    </w:p>
    <w:p>
      <w:pPr>
        <w:spacing w:after="80"/>
      </w:pPr>
      <w:r>
        <w:rPr>
          <w:b w:val="0"/>
          <w:i w:val="0"/>
        </w:rPr>
        <w:t>C. Các cuộc tranh chấp ủy quyền và kết quả bỏ phiếu tạm thời</w:t>
      </w:r>
    </w:p>
    <w:p>
      <w:pPr>
        <w:spacing w:after="80"/>
      </w:pPr>
      <w:r>
        <w:rPr>
          <w:b w:val="0"/>
          <w:i/>
        </w:rPr>
        <w:t>Red Oak Fund, L.P. v. Digirad Corporation</w:t>
      </w:r>
    </w:p>
    <w:p>
      <w:pPr>
        <w:spacing w:after="80"/>
      </w:pPr>
      <w:r>
        <w:rPr>
          <w:b w:val="0"/>
          <w:i w:val="0"/>
        </w:rPr>
        <w:t>D. Các cuộc tranh chấp ủy quyền và thuốc độc (poison pills)</w:t>
      </w:r>
    </w:p>
    <w:p>
      <w:pPr>
        <w:spacing w:after="80"/>
      </w:pPr>
      <w:r>
        <w:rPr>
          <w:b w:val="0"/>
          <w:i/>
        </w:rPr>
        <w:t>Unitrin Inc. v. American General Corp.</w:t>
      </w:r>
    </w:p>
    <w:p>
      <w:pPr>
        <w:spacing w:after="80"/>
      </w:pPr>
      <w:r>
        <w:rPr>
          <w:b w:val="0"/>
          <w:i/>
        </w:rPr>
        <w:t>Yucaipa American Alliance Fund II, LP v. Riggio</w:t>
      </w:r>
    </w:p>
    <w:p>
      <w:pPr>
        <w:spacing w:after="80"/>
      </w:pPr>
      <w:r>
        <w:rPr>
          <w:b w:val="0"/>
          <w:i/>
        </w:rPr>
        <w:t>Selectica, Inc. v. Versata Enterprises, Inc.</w:t>
      </w:r>
    </w:p>
    <w:p>
      <w:pPr>
        <w:spacing w:after="80"/>
      </w:pPr>
      <w:r>
        <w:rPr>
          <w:b w:val="0"/>
          <w:i/>
        </w:rPr>
        <w:t>Third Point LLC v. Ruprecht</w:t>
      </w:r>
    </w:p>
    <w:p>
      <w:pPr>
        <w:spacing w:after="80"/>
      </w:pPr>
      <w:r>
        <w:rPr>
          <w:b w:val="0"/>
          <w:i w:val="0"/>
        </w:rPr>
        <w:t>E. Giải quyết vấn đề chi phí của một cuộc tranh chấp ủy quyền</w:t>
      </w:r>
    </w:p>
    <w:p>
      <w:pPr>
        <w:spacing w:after="80"/>
      </w:pPr>
      <w:r>
        <w:rPr>
          <w:b w:val="0"/>
          <w:i/>
        </w:rPr>
        <w:t>CA, Inc. kiện AFSCME Employees Pension Plan</w:t>
      </w:r>
    </w:p>
    <w:p>
      <w:pPr>
        <w:spacing w:after="80"/>
      </w:pPr>
      <w:r>
        <w:rPr>
          <w:b w:val="0"/>
          <w:i w:val="0"/>
        </w:rPr>
        <w:t>Tạo điều kiện cho việc đề cử thành viên hội đồng quản trị của cổ đông</w:t>
      </w:r>
    </w:p>
    <w:p>
      <w:pPr>
        <w:spacing w:after="80"/>
      </w:pPr>
      <w:r>
        <w:rPr>
          <w:b w:val="0"/>
          <w:i/>
        </w:rPr>
        <w:t>Business Roundtable kiện SEC</w:t>
      </w:r>
    </w:p>
    <w:p>
      <w:pPr>
        <w:spacing w:after="80"/>
      </w:pPr>
      <w:r>
        <w:rPr>
          <w:b/>
          <w:i w:val="0"/>
        </w:rPr>
        <w:t>Chương 9 · Vai trò của việc công bố thông tin trong quá trình quản trị</w:t>
      </w:r>
    </w:p>
    <w:p>
      <w:pPr>
        <w:spacing w:after="80"/>
      </w:pPr>
      <w:r>
        <w:rPr>
          <w:b w:val="0"/>
          <w:i w:val="0"/>
        </w:rPr>
        <w:t>I. Cơ chế cấp bang: Quyền kiểm tra</w:t>
      </w:r>
    </w:p>
    <w:p>
      <w:pPr>
        <w:spacing w:after="80"/>
      </w:pPr>
      <w:r>
        <w:rPr>
          <w:b w:val="0"/>
          <w:i w:val="0"/>
        </w:rPr>
        <w:t>A. Quy trình</w:t>
      </w:r>
    </w:p>
    <w:p>
      <w:pPr>
        <w:spacing w:after="80"/>
      </w:pPr>
      <w:r>
        <w:rPr>
          <w:b w:val="0"/>
          <w:i/>
        </w:rPr>
        <w:t>Central Laborers Pension Fund kiện News Corporation</w:t>
      </w:r>
    </w:p>
    <w:p>
      <w:pPr>
        <w:spacing w:after="80"/>
      </w:pPr>
      <w:r>
        <w:rPr>
          <w:b w:val="0"/>
          <w:i w:val="0"/>
        </w:rPr>
        <w:t>B. Mục đích chính đáng</w:t>
      </w:r>
    </w:p>
    <w:p>
      <w:pPr>
        <w:spacing w:after="80"/>
      </w:pPr>
      <w:r>
        <w:rPr>
          <w:b w:val="0"/>
          <w:i/>
        </w:rPr>
        <w:t>City of Westland Police &amp; Fire Retirement System kiện Axcelis Technologies, Inc.</w:t>
      </w:r>
    </w:p>
    <w:p>
      <w:pPr>
        <w:spacing w:after="80"/>
      </w:pPr>
      <w:r>
        <w:rPr>
          <w:b w:val="0"/>
          <w:i w:val="0"/>
        </w:rPr>
        <w:t>C. Cơ sở đáng tin cậy</w:t>
      </w:r>
    </w:p>
    <w:p>
      <w:pPr>
        <w:spacing w:after="80"/>
      </w:pPr>
      <w:r>
        <w:rPr>
          <w:b w:val="0"/>
          <w:i/>
        </w:rPr>
        <w:t>Seinfeld kiện Verizon Communications, Inc.</w:t>
      </w:r>
    </w:p>
    <w:p>
      <w:pPr>
        <w:spacing w:after="80"/>
      </w:pPr>
      <w:r>
        <w:rPr>
          <w:b w:val="0"/>
          <w:i/>
        </w:rPr>
        <w:t>Louisiana Municipal Police Employees Retirement System kiện The Hershey Co.</w:t>
      </w:r>
    </w:p>
    <w:p>
      <w:pPr>
        <w:spacing w:after="80"/>
      </w:pPr>
      <w:r>
        <w:rPr>
          <w:b w:val="0"/>
          <w:i w:val="0"/>
        </w:rPr>
        <w:t>D. Chi phí</w:t>
      </w:r>
    </w:p>
    <w:p>
      <w:pPr>
        <w:spacing w:after="80"/>
      </w:pPr>
      <w:r>
        <w:rPr>
          <w:b w:val="0"/>
          <w:i/>
        </w:rPr>
        <w:t>Norman kiện US Mobilcomm, Inc.</w:t>
      </w:r>
    </w:p>
    <w:p>
      <w:pPr>
        <w:spacing w:after="80"/>
      </w:pPr>
      <w:r>
        <w:rPr>
          <w:b w:val="0"/>
          <w:i w:val="0"/>
        </w:rPr>
        <w:t>II. Cơ chế công bố thông tin của liên bang</w:t>
      </w:r>
    </w:p>
    <w:p>
      <w:pPr>
        <w:spacing w:after="80"/>
      </w:pPr>
      <w:r>
        <w:rPr>
          <w:b w:val="0"/>
          <w:i w:val="0"/>
        </w:rPr>
        <w:t>Tổng quan</w:t>
      </w:r>
    </w:p>
    <w:p>
      <w:pPr>
        <w:spacing w:after="80"/>
      </w:pPr>
      <w:r>
        <w:rPr>
          <w:b w:val="0"/>
          <w:i w:val="0"/>
        </w:rPr>
        <w:t>Công bố thông tin và Quản trị</w:t>
      </w:r>
    </w:p>
    <w:p>
      <w:pPr>
        <w:spacing w:after="80"/>
      </w:pPr>
      <w:r>
        <w:rPr>
          <w:b w:val="0"/>
          <w:i w:val="0"/>
        </w:rPr>
        <w:t>A. Các ủy ban của Hội đồng quản trị</w:t>
      </w:r>
    </w:p>
    <w:p>
      <w:pPr>
        <w:spacing w:after="80"/>
      </w:pPr>
      <w:r>
        <w:rPr>
          <w:b w:val="0"/>
          <w:i w:val="0"/>
        </w:rPr>
        <w:t>Mục 407(c)(2) của Quy định S-K: Quản trị công ty</w:t>
      </w:r>
    </w:p>
    <w:p>
      <w:pPr>
        <w:spacing w:after="80"/>
      </w:pPr>
      <w:r>
        <w:rPr>
          <w:b w:val="0"/>
          <w:i w:val="0"/>
        </w:rPr>
        <w:t>Các tiêu chuẩn liên quan đến Ủy ban kiểm toán của công ty niêm yết</w:t>
      </w:r>
    </w:p>
    <w:p>
      <w:pPr>
        <w:spacing w:after="80"/>
      </w:pPr>
      <w:r>
        <w:rPr>
          <w:b w:val="0"/>
          <w:i/>
        </w:rPr>
        <w:t>Trong vụ việc Kiang</w:t>
      </w:r>
    </w:p>
    <w:p>
      <w:pPr>
        <w:spacing w:after="80"/>
      </w:pPr>
      <w:r>
        <w:rPr>
          <w:b w:val="0"/>
          <w:i w:val="0"/>
        </w:rPr>
        <w:t>B. Sự đa dạng của Hội đồng quản trị</w:t>
      </w:r>
    </w:p>
    <w:p>
      <w:pPr>
        <w:spacing w:after="80"/>
      </w:pPr>
      <w:r>
        <w:rPr>
          <w:b w:val="0"/>
          <w:i w:val="0"/>
        </w:rPr>
        <w:t>Mục 407 của Quy định S-K: Quản trị công ty</w:t>
      </w:r>
    </w:p>
    <w:p>
      <w:pPr>
        <w:spacing w:after="80"/>
      </w:pPr>
      <w:r>
        <w:rPr>
          <w:b w:val="0"/>
          <w:i w:val="0"/>
        </w:rPr>
        <w:t>Cải tiến công bố thông tin trong tài liệu ủy quyền</w:t>
      </w:r>
    </w:p>
    <w:p>
      <w:pPr>
        <w:spacing w:after="80"/>
      </w:pPr>
      <w:r>
        <w:rPr>
          <w:b w:val="0"/>
          <w:i w:val="0"/>
        </w:rPr>
        <w:t>C. Công bố thông tin và Hành vi thực chất</w:t>
      </w:r>
    </w:p>
    <w:p>
      <w:pPr>
        <w:spacing w:after="80"/>
      </w:pPr>
      <w:r>
        <w:rPr>
          <w:b w:val="0"/>
          <w:i/>
        </w:rPr>
        <w:t>Trong vụ Hewlett-Packard Co.</w:t>
      </w:r>
    </w:p>
    <w:p>
      <w:pPr>
        <w:spacing w:after="80"/>
      </w:pPr>
      <w:r>
        <w:rPr>
          <w:b w:val="0"/>
          <w:i w:val="0"/>
        </w:rPr>
        <w:t xml:space="preserve">J. Robert Brown, Jr., </w:t>
      </w:r>
      <w:r>
        <w:rPr>
          <w:b w:val="0"/>
          <w:i/>
        </w:rPr>
        <w:t>Quản trị công ty, Ủy ban Chứng khoán và Giao dịch và Những giới hạn của việc công bố thông tin</w:t>
      </w:r>
    </w:p>
    <w:p>
      <w:pPr>
        <w:spacing w:after="80"/>
      </w:pPr>
      <w:r>
        <w:rPr>
          <w:b w:val="0"/>
          <w:i w:val="0"/>
        </w:rPr>
        <w:t>III. Công bố thông tin và Sự chính trực của Ban quản lý</w:t>
      </w:r>
    </w:p>
    <w:p>
      <w:pPr>
        <w:spacing w:after="80"/>
      </w:pPr>
      <w:r>
        <w:rPr>
          <w:b w:val="0"/>
          <w:i/>
        </w:rPr>
        <w:t>TSC Industries, Inc. v. Northway, Inc.</w:t>
      </w:r>
    </w:p>
    <w:p>
      <w:pPr>
        <w:spacing w:after="80"/>
      </w:pPr>
      <w:r>
        <w:rPr>
          <w:b w:val="0"/>
          <w:i/>
        </w:rPr>
        <w:t>Matrixx Initiatives, Inc. v. Siracusano</w:t>
      </w:r>
    </w:p>
    <w:p>
      <w:pPr>
        <w:spacing w:after="80"/>
      </w:pPr>
      <w:r>
        <w:rPr>
          <w:b w:val="0"/>
          <w:i/>
        </w:rPr>
        <w:t>Trong vụ Franchard Corp.</w:t>
      </w:r>
    </w:p>
    <w:p>
      <w:pPr>
        <w:spacing w:after="80"/>
      </w:pPr>
      <w:r>
        <w:rPr>
          <w:b w:val="0"/>
          <w:i/>
        </w:rPr>
        <w:t>Greenhouse v. MCG Capital</w:t>
      </w:r>
    </w:p>
    <w:p>
      <w:pPr>
        <w:spacing w:after="80"/>
      </w:pPr>
      <w:r>
        <w:rPr>
          <w:b w:val="0"/>
          <w:i w:val="0"/>
        </w:rPr>
        <w:t xml:space="preserve">Joan MacLeod Heminway, </w:t>
      </w:r>
      <w:r>
        <w:rPr>
          <w:b w:val="0"/>
          <w:i/>
        </w:rPr>
        <w:t>Những sự thật cá nhân về các giám đốc điều hành: Đề xuất công bố thông tin phù hợp để khuyến khích hành vi hợp lý của nhà đầu tư</w:t>
      </w:r>
    </w:p>
    <w:p>
      <w:pPr>
        <w:spacing w:after="80"/>
      </w:pPr>
      <w:r>
        <w:rPr>
          <w:b w:val="0"/>
          <w:i w:val="0"/>
        </w:rPr>
        <w:t>IV. Công bố thông tin và trách nhiệm xã hội của doanh nghiệp</w:t>
      </w:r>
    </w:p>
    <w:p>
      <w:pPr>
        <w:spacing w:after="80"/>
      </w:pPr>
      <w:r>
        <w:rPr>
          <w:b w:val="0"/>
          <w:i w:val="0"/>
        </w:rPr>
        <w:t>A. Biến đổi khí hậu</w:t>
      </w:r>
    </w:p>
    <w:p>
      <w:pPr>
        <w:spacing w:after="80"/>
      </w:pPr>
      <w:r>
        <w:rPr>
          <w:b w:val="0"/>
          <w:i w:val="0"/>
        </w:rPr>
        <w:t>Hướng dẫn của Ủy ban về công bố thông tin liên quan đến biến đổi khí hậu</w:t>
      </w:r>
    </w:p>
    <w:p>
      <w:pPr>
        <w:spacing w:after="80"/>
      </w:pPr>
      <w:r>
        <w:rPr>
          <w:b w:val="0"/>
          <w:i w:val="0"/>
        </w:rPr>
        <w:t>B. Công bố thông tin về các khoản đóng góp chính trị và chi phí vận động hành lang</w:t>
      </w:r>
    </w:p>
    <w:p>
      <w:pPr>
        <w:spacing w:after="80"/>
      </w:pPr>
      <w:r>
        <w:rPr>
          <w:b w:val="0"/>
          <w:i/>
        </w:rPr>
        <w:t>Citizens United v. Federal Election Comm'n</w:t>
      </w:r>
    </w:p>
    <w:p>
      <w:pPr>
        <w:spacing w:after="80"/>
      </w:pPr>
      <w:r>
        <w:rPr>
          <w:b w:val="0"/>
          <w:i w:val="0"/>
        </w:rPr>
        <w:t xml:space="preserve">Lucian A. Bebchuk &amp; Robert J. Jackson, Jr., </w:t>
      </w:r>
      <w:r>
        <w:rPr>
          <w:b w:val="0"/>
          <w:i/>
        </w:rPr>
        <w:t>Soi sáng vấn đề chi tiêu chính trị của doanh nghiệp</w:t>
      </w:r>
    </w:p>
    <w:p>
      <w:pPr>
        <w:spacing w:after="80"/>
      </w:pPr>
      <w:r>
        <w:rPr>
          <w:b w:val="0"/>
          <w:i w:val="0"/>
        </w:rPr>
        <w:t>C. Công bố thông tin, khoáng sản xung đột và Tu chính án thứ nhất</w:t>
      </w:r>
    </w:p>
    <w:p>
      <w:pPr>
        <w:spacing w:after="80"/>
      </w:pPr>
      <w:r>
        <w:rPr>
          <w:b w:val="0"/>
          <w:i/>
        </w:rPr>
        <w:t>National Association of Manufacturers v. SEC</w:t>
      </w:r>
    </w:p>
    <w:p>
      <w:pPr>
        <w:spacing w:after="80"/>
      </w:pPr>
      <w:r>
        <w:rPr>
          <w:b w:val="0"/>
          <w:i/>
        </w:rPr>
        <w:t>National Association of Manufacturers v. SEC</w:t>
      </w:r>
    </w:p>
    <w:p>
      <w:pPr>
        <w:spacing w:after="80"/>
      </w:pPr>
      <w:r>
        <w:rPr>
          <w:b w:val="0"/>
          <w:i w:val="0"/>
        </w:rPr>
        <w:t xml:space="preserve">Celia R. Taylor, </w:t>
      </w:r>
      <w:r>
        <w:rPr>
          <w:b w:val="0"/>
          <w:i/>
        </w:rPr>
        <w:t>Chết chìm trong công bố thông tin: Gánh nặng quá mức đối với Ủy ban Chứng khoán &amp; Giao dịch</w:t>
      </w:r>
    </w:p>
    <w:p>
      <w:pPr>
        <w:spacing w:after="80"/>
      </w:pPr>
      <w:r>
        <w:rPr>
          <w:b w:val="0"/>
          <w:i w:val="0"/>
        </w:rPr>
        <w:t>V. Tiếp cận thông tin bình đẳng</w:t>
      </w:r>
    </w:p>
    <w:p>
      <w:pPr>
        <w:spacing w:after="80"/>
      </w:pPr>
      <w:r>
        <w:rPr>
          <w:b w:val="0"/>
          <w:i/>
        </w:rPr>
        <w:t>In re Office Depot</w:t>
      </w:r>
    </w:p>
    <w:p>
      <w:pPr>
        <w:spacing w:after="80"/>
      </w:pPr>
      <w:r>
        <w:rPr>
          <w:b w:val="0"/>
          <w:i w:val="0"/>
        </w:rPr>
        <w:t>Báo cáo điều tra theo Mục 21(A) của Đạo luật Giao dịch Chứng khoán năm 1934: Netflix, Inc. và Reed Hastings</w:t>
      </w:r>
    </w:p>
    <w:p>
      <w:pPr>
        <w:spacing w:after="80"/>
      </w:pPr>
      <w:r>
        <w:rPr>
          <w:b/>
          <w:i w:val="0"/>
        </w:rPr>
        <w:t>Chương 10 · Kiện tụng phái sinh của cổ đông</w:t>
      </w:r>
    </w:p>
    <w:p>
      <w:pPr>
        <w:spacing w:after="80"/>
      </w:pPr>
      <w:r>
        <w:rPr>
          <w:b w:val="0"/>
          <w:i w:val="0"/>
        </w:rPr>
        <w:t>I. Xem xét sơ bộ — Khiếu nại trực tiếp hay phái sinh</w:t>
      </w:r>
    </w:p>
    <w:p>
      <w:pPr>
        <w:spacing w:after="80"/>
      </w:pPr>
      <w:r>
        <w:rPr>
          <w:b w:val="0"/>
          <w:i/>
        </w:rPr>
        <w:t>Tooley v. Donaldson, Lufkin &amp; Jenrette, Inc.</w:t>
      </w:r>
    </w:p>
    <w:p>
      <w:pPr>
        <w:spacing w:after="80"/>
      </w:pPr>
      <w:r>
        <w:rPr>
          <w:b w:val="0"/>
          <w:i w:val="0"/>
        </w:rPr>
        <w:t>II. Kiện tụng phái sinh (Derivative Litigation)</w:t>
      </w:r>
    </w:p>
    <w:p>
      <w:pPr>
        <w:spacing w:after="80"/>
      </w:pPr>
      <w:r>
        <w:rPr>
          <w:b w:val="0"/>
          <w:i w:val="0"/>
        </w:rPr>
        <w:t>A. Quyền khởi kiện (Standing)</w:t>
      </w:r>
    </w:p>
    <w:p>
      <w:pPr>
        <w:spacing w:after="80"/>
      </w:pPr>
      <w:r>
        <w:rPr>
          <w:b w:val="0"/>
          <w:i/>
        </w:rPr>
        <w:t>Schoon v. Smith</w:t>
      </w:r>
    </w:p>
    <w:p>
      <w:pPr>
        <w:spacing w:after="80"/>
      </w:pPr>
      <w:r>
        <w:rPr>
          <w:b w:val="0"/>
          <w:i w:val="0"/>
        </w:rPr>
        <w:t>B. Yêu cầu về thủ tục đề nghị (Demand Requirement)</w:t>
      </w:r>
    </w:p>
    <w:p>
      <w:pPr>
        <w:spacing w:after="80"/>
      </w:pPr>
      <w:r>
        <w:rPr>
          <w:b w:val="0"/>
          <w:i/>
        </w:rPr>
        <w:t>Aronson v. Lewis</w:t>
      </w:r>
    </w:p>
    <w:p>
      <w:pPr>
        <w:spacing w:after="80"/>
      </w:pPr>
      <w:r>
        <w:rPr>
          <w:b w:val="0"/>
          <w:i w:val="0"/>
        </w:rPr>
        <w:t>C. Ủy ban kiện tụng đặc biệt (Special Litigation Committees)</w:t>
      </w:r>
    </w:p>
    <w:p>
      <w:pPr>
        <w:spacing w:after="80"/>
      </w:pPr>
      <w:r>
        <w:rPr>
          <w:b w:val="0"/>
          <w:i w:val="0"/>
        </w:rPr>
        <w:t>1. Lựa chọn, thành phần và nhiệm vụ</w:t>
      </w:r>
    </w:p>
    <w:p>
      <w:pPr>
        <w:spacing w:after="80"/>
      </w:pPr>
      <w:r>
        <w:rPr>
          <w:b w:val="0"/>
          <w:i w:val="0"/>
        </w:rPr>
        <w:t>2. Xem xét tư pháp đối với các quyết định của SLC</w:t>
      </w:r>
    </w:p>
    <w:p>
      <w:pPr>
        <w:spacing w:after="80"/>
      </w:pPr>
      <w:r>
        <w:rPr>
          <w:b w:val="0"/>
          <w:i/>
        </w:rPr>
        <w:t>Zapata Corp. v. Maldonado</w:t>
      </w:r>
    </w:p>
    <w:p>
      <w:pPr>
        <w:spacing w:after="80"/>
      </w:pPr>
      <w:r>
        <w:rPr>
          <w:b w:val="0"/>
          <w:i w:val="0"/>
        </w:rPr>
        <w:t>3. Khi nào giám đốc được coi là "độc lập"?</w:t>
      </w:r>
    </w:p>
    <w:p>
      <w:pPr>
        <w:spacing w:after="80"/>
      </w:pPr>
      <w:r>
        <w:rPr>
          <w:b w:val="0"/>
          <w:i/>
        </w:rPr>
        <w:t>Beam ex rel. Martha Stewart Living Omnimedia, Inc. v. Stewart</w:t>
      </w:r>
    </w:p>
    <w:p>
      <w:pPr>
        <w:spacing w:after="80"/>
      </w:pPr>
      <w:r>
        <w:rPr>
          <w:b w:val="0"/>
          <w:i/>
        </w:rPr>
        <w:t>Delaware County Employees' Retirement Fund v. A.R. Sanchez, Jr.</w:t>
      </w:r>
    </w:p>
    <w:p>
      <w:pPr>
        <w:spacing w:after="80"/>
      </w:pPr>
      <w:r>
        <w:rPr>
          <w:b w:val="0"/>
          <w:i/>
        </w:rPr>
        <w:t>London v. Tyrrell</w:t>
      </w:r>
    </w:p>
    <w:p>
      <w:pPr>
        <w:spacing w:after="80"/>
      </w:pPr>
      <w:r>
        <w:rPr>
          <w:b w:val="0"/>
          <w:i w:val="0"/>
        </w:rPr>
        <w:t>D. Giải quyết các vụ kiện của cổ đông</w:t>
      </w:r>
    </w:p>
    <w:p>
      <w:pPr>
        <w:spacing w:after="80"/>
      </w:pPr>
      <w:r>
        <w:rPr>
          <w:b w:val="0"/>
          <w:i w:val="0"/>
        </w:rPr>
        <w:t>1. Bằng chứng thực nghiệm</w:t>
      </w:r>
    </w:p>
    <w:p>
      <w:pPr>
        <w:spacing w:after="80"/>
      </w:pPr>
      <w:r>
        <w:rPr>
          <w:b w:val="0"/>
          <w:i w:val="0"/>
        </w:rPr>
        <w:t>2. Xem xét tư pháp đối với các thỏa thuận dàn xếp</w:t>
      </w:r>
    </w:p>
    <w:p>
      <w:pPr>
        <w:spacing w:after="80"/>
      </w:pPr>
      <w:r>
        <w:rPr>
          <w:b w:val="0"/>
          <w:i w:val="0"/>
        </w:rPr>
        <w:t>3. Kiện tụng thách thức các vụ sáp nhập và mua lại doanh nghiệp</w:t>
      </w:r>
    </w:p>
    <w:p>
      <w:pPr>
        <w:spacing w:after="80"/>
      </w:pPr>
      <w:r>
        <w:rPr>
          <w:b w:val="0"/>
          <w:i w:val="0"/>
        </w:rPr>
        <w:t>4. Thù lao luật sư</w:t>
      </w:r>
    </w:p>
    <w:p>
      <w:pPr>
        <w:spacing w:after="80"/>
      </w:pPr>
      <w:r>
        <w:rPr>
          <w:b w:val="0"/>
          <w:i w:val="0"/>
        </w:rPr>
        <w:t>5. Bồi thường và bảo hiểm</w:t>
      </w:r>
    </w:p>
    <w:p>
      <w:pPr>
        <w:spacing w:after="80"/>
      </w:pPr>
      <w:r>
        <w:rPr>
          <w:b w:val="0"/>
          <w:i/>
        </w:rPr>
        <w:t>Cohen v. Viray</w:t>
      </w:r>
    </w:p>
    <w:p>
      <w:pPr>
        <w:spacing w:after="80"/>
      </w:pPr>
      <w:r>
        <w:rPr>
          <w:b w:val="0"/>
          <w:i w:val="0"/>
        </w:rPr>
        <w:t>III. Tranh luận về kiện tụng phái sinh</w:t>
      </w:r>
    </w:p>
    <w:p>
      <w:pPr>
        <w:spacing w:after="80"/>
      </w:pPr>
      <w:r>
        <w:rPr>
          <w:b w:val="0"/>
          <w:i w:val="0"/>
        </w:rPr>
        <w:t xml:space="preserve">Reinier Kraakman, Hyun Park, &amp; Steven Shavell, </w:t>
      </w:r>
      <w:r>
        <w:rPr>
          <w:b w:val="0"/>
          <w:i/>
        </w:rPr>
        <w:t>Khi nào các vụ kiện cổ đông vì lợi ích cổ đông?</w:t>
      </w:r>
    </w:p>
    <w:p>
      <w:pPr>
        <w:spacing w:after="80"/>
      </w:pPr>
      <w:r>
        <w:rPr>
          <w:b w:val="0"/>
          <w:i w:val="0"/>
        </w:rPr>
        <w:t>IV. Cải cách kiện tụng của cổ đông</w:t>
      </w:r>
    </w:p>
    <w:p>
      <w:pPr>
        <w:spacing w:after="80"/>
      </w:pPr>
      <w:r>
        <w:rPr>
          <w:b w:val="0"/>
          <w:i/>
        </w:rPr>
        <w:t>ATP Tour, Inc. v. Deutscher Tennis Bund</w:t>
      </w:r>
    </w:p>
    <w:p>
      <w:pPr>
        <w:spacing w:after="80"/>
      </w:pPr>
      <w:r>
        <w:rPr>
          <w:b/>
          <w:i w:val="0"/>
        </w:rPr>
        <w:t>Chương 11 · Hoạt động từ thiện, trách nhiệm xã hội và quyền của các bên liên quan</w:t>
      </w:r>
    </w:p>
    <w:p>
      <w:pPr>
        <w:spacing w:after="80"/>
      </w:pPr>
      <w:r>
        <w:rPr>
          <w:b w:val="0"/>
          <w:i w:val="0"/>
        </w:rPr>
        <w:t>I. Mục đích của hình thức công ty</w:t>
      </w:r>
    </w:p>
    <w:p>
      <w:pPr>
        <w:spacing w:after="80"/>
      </w:pPr>
      <w:r>
        <w:rPr>
          <w:b w:val="0"/>
          <w:i w:val="0"/>
        </w:rPr>
        <w:t xml:space="preserve">William W. Bratton &amp; Michael L. Wachter, </w:t>
      </w:r>
      <w:r>
        <w:rPr>
          <w:b w:val="0"/>
          <w:i/>
        </w:rPr>
        <w:t>Nguồn gốc tập thể của quyền tối thượng cổ đông: Adolf Berle và Công ty hiện đại</w:t>
      </w:r>
    </w:p>
    <w:p>
      <w:pPr>
        <w:spacing w:after="80"/>
      </w:pPr>
      <w:r>
        <w:rPr>
          <w:b w:val="0"/>
          <w:i w:val="0"/>
        </w:rPr>
        <w:t>II. Hoạt động từ thiện của doanh nghiệp</w:t>
      </w:r>
    </w:p>
    <w:p>
      <w:pPr>
        <w:spacing w:after="80"/>
      </w:pPr>
      <w:r>
        <w:rPr>
          <w:b w:val="0"/>
          <w:i/>
        </w:rPr>
        <w:t>Theodora Holding Corp. v. Henderson</w:t>
      </w:r>
    </w:p>
    <w:p>
      <w:pPr>
        <w:spacing w:after="80"/>
      </w:pPr>
      <w:r>
        <w:rPr>
          <w:b w:val="0"/>
          <w:i/>
        </w:rPr>
        <w:t>Kahn v. Sullivan</w:t>
      </w:r>
    </w:p>
    <w:p>
      <w:pPr>
        <w:spacing w:after="80"/>
      </w:pPr>
      <w:r>
        <w:rPr>
          <w:b w:val="0"/>
          <w:i w:val="0"/>
        </w:rPr>
        <w:t xml:space="preserve">M. Todd Henderson &amp; Anup Malani, </w:t>
      </w:r>
      <w:r>
        <w:rPr>
          <w:b w:val="0"/>
          <w:i/>
        </w:rPr>
        <w:t>Tiểu luận: Hoạt động từ thiện của doanh nghiệp và thị trường vị tha</w:t>
      </w:r>
    </w:p>
    <w:p>
      <w:pPr>
        <w:spacing w:after="80"/>
      </w:pPr>
      <w:r>
        <w:rPr>
          <w:b w:val="0"/>
          <w:i w:val="0"/>
        </w:rPr>
        <w:t>III. Các bên liên quan</w:t>
      </w:r>
    </w:p>
    <w:p>
      <w:pPr>
        <w:spacing w:after="80"/>
      </w:pPr>
      <w:r>
        <w:rPr>
          <w:b w:val="0"/>
          <w:i w:val="0"/>
        </w:rPr>
        <w:t xml:space="preserve">Larry E. Ribstein, </w:t>
      </w:r>
      <w:r>
        <w:rPr>
          <w:b w:val="0"/>
          <w:i/>
        </w:rPr>
        <w:t>Trách nhiệm giải trình và Trách nhiệm trong Quản trị Công ty</w:t>
      </w:r>
    </w:p>
    <w:p>
      <w:pPr>
        <w:spacing w:after="80"/>
      </w:pPr>
      <w:r>
        <w:rPr>
          <w:b w:val="0"/>
          <w:i w:val="0"/>
        </w:rPr>
        <w:t xml:space="preserve">Kent Greenfield &amp; D. Gordon Smith, </w:t>
      </w:r>
      <w:r>
        <w:rPr>
          <w:b w:val="0"/>
          <w:i/>
        </w:rPr>
        <w:t>Tranh luận: Cứu Thế giới bằng Luật Công ty?</w:t>
      </w:r>
    </w:p>
    <w:p>
      <w:pPr>
        <w:spacing w:after="80"/>
      </w:pPr>
      <w:r>
        <w:rPr>
          <w:b w:val="0"/>
          <w:i w:val="0"/>
        </w:rPr>
        <w:t xml:space="preserve">Antony Page, </w:t>
      </w:r>
      <w:r>
        <w:rPr>
          <w:b w:val="0"/>
          <w:i/>
        </w:rPr>
        <w:t>Đánh giá: Luật Công ty đã Thất bại? Giải quyết các Đề xuất Cải cách</w:t>
      </w:r>
    </w:p>
    <w:p>
      <w:pPr>
        <w:spacing w:after="80"/>
      </w:pPr>
      <w:r>
        <w:rPr>
          <w:b w:val="0"/>
          <w:i w:val="0"/>
        </w:rPr>
        <w:t xml:space="preserve">George W. Dent, Jr., </w:t>
      </w:r>
      <w:r>
        <w:rPr>
          <w:b w:val="0"/>
          <w:i/>
        </w:rPr>
        <w:t>Lý thuyết Các bên liên quan và Mối quan hệ giữa Cộng đồng Sở tại và Công ty: Quản trị Các bên liên quan: Một Ý tưởng Tồi tệ Ngày càng Tệ hơn</w:t>
      </w:r>
    </w:p>
    <w:p>
      <w:pPr>
        <w:spacing w:after="80"/>
      </w:pPr>
      <w:r>
        <w:rPr>
          <w:b w:val="0"/>
          <w:i w:val="0"/>
        </w:rPr>
        <w:t>Ủy ban về Luật Công ty, Báo cáo về Các Đạo luật về Các Nhóm liên quan Khác: Tiềm ẩn Sự Nhầm lẫn</w:t>
      </w:r>
    </w:p>
    <w:p>
      <w:pPr>
        <w:spacing w:after="80"/>
      </w:pPr>
      <w:r>
        <w:rPr>
          <w:b w:val="0"/>
          <w:i/>
        </w:rPr>
        <w:t>Baron v. Strawbridge &amp; Clothier</w:t>
      </w:r>
    </w:p>
    <w:p>
      <w:pPr>
        <w:spacing w:after="80"/>
      </w:pPr>
      <w:r>
        <w:rPr>
          <w:b w:val="0"/>
          <w:i w:val="0"/>
        </w:rPr>
        <w:t xml:space="preserve">Joseph Karl Grant, </w:t>
      </w:r>
      <w:r>
        <w:rPr>
          <w:b w:val="0"/>
          <w:i/>
        </w:rPr>
        <w:t>Khi Kiếm tiền và Tạo ra Sự khác biệt Bền vững và Xã hội Xung đột: Các Công ty vì Lợi ích sẽ Thành công hay Thất bại?</w:t>
      </w:r>
    </w:p>
    <w:p>
      <w:pPr>
        <w:spacing w:after="80"/>
      </w:pPr>
      <w:r>
        <w:rPr>
          <w:b w:val="0"/>
          <w:i w:val="0"/>
        </w:rPr>
        <w:t>IV. Trách nhiệm Xã hội của Công ty</w:t>
      </w:r>
    </w:p>
    <w:p>
      <w:pPr>
        <w:spacing w:after="80"/>
      </w:pPr>
      <w:r>
        <w:rPr>
          <w:b w:val="0"/>
          <w:i w:val="0"/>
        </w:rPr>
        <w:t>A. Trách nhiệm Xã hội của Công ty và Sắp xếp Tư nhân</w:t>
      </w:r>
    </w:p>
    <w:p>
      <w:pPr>
        <w:spacing w:after="80"/>
      </w:pPr>
      <w:r>
        <w:rPr>
          <w:b w:val="0"/>
          <w:i w:val="0"/>
        </w:rPr>
        <w:t xml:space="preserve">Joshua A. Newberg, </w:t>
      </w:r>
      <w:r>
        <w:rPr>
          <w:b w:val="0"/>
          <w:i/>
        </w:rPr>
        <w:t>Các Quy tắc Đạo đức của Công ty, Công bố Bắt buộc, và Thị trường cho Hành vi Đạo đức</w:t>
      </w:r>
    </w:p>
    <w:p>
      <w:pPr>
        <w:spacing w:after="80"/>
      </w:pPr>
      <w:r>
        <w:rPr>
          <w:b w:val="0"/>
          <w:i w:val="0"/>
        </w:rPr>
        <w:t xml:space="preserve">Elizabeth F. Brown, </w:t>
      </w:r>
      <w:r>
        <w:rPr>
          <w:b w:val="0"/>
          <w:i/>
        </w:rPr>
        <w:t>Không Việc Tốt nào Bị Trừng phạt: Có Cần một Nơi Trú ẩn An toàn cho các Quy tắc Ứng xử của Công ty mang tính Khát vọng không?</w:t>
      </w:r>
    </w:p>
    <w:p>
      <w:pPr>
        <w:spacing w:after="80"/>
      </w:pPr>
      <w:r>
        <w:rPr>
          <w:b w:val="0"/>
          <w:i w:val="0"/>
        </w:rPr>
        <w:t xml:space="preserve">Surya Deva, </w:t>
      </w:r>
      <w:r>
        <w:rPr>
          <w:b w:val="0"/>
          <w:i/>
        </w:rPr>
        <w:t>Hiệp ước Toàn cầu: Phê bình về Quan hệ Đối tác “Công-Tư” của Liên Hợp Quốc nhằm Thúc đẩy Quyền Công dân Công ty</w:t>
      </w:r>
    </w:p>
    <w:p>
      <w:pPr>
        <w:spacing w:after="80"/>
      </w:pPr>
      <w:r>
        <w:rPr>
          <w:b w:val="0"/>
          <w:i w:val="0"/>
        </w:rPr>
        <w:t>B. Trách nhiệm Xã hội của Công ty và Thực thi Tư nhân về Nhân quyền</w:t>
      </w:r>
    </w:p>
    <w:p>
      <w:pPr>
        <w:spacing w:after="80"/>
      </w:pPr>
      <w:r>
        <w:rPr>
          <w:b w:val="0"/>
          <w:i/>
        </w:rPr>
        <w:t>Sosa v. Alvarez-Machain</w:t>
      </w:r>
    </w:p>
    <w:p>
      <w:pPr>
        <w:spacing w:after="80"/>
      </w:pPr>
      <w:r>
        <w:rPr>
          <w:b w:val="0"/>
          <w:i/>
        </w:rPr>
        <w:t>Kiobel v. Royal Dutch Petroleum Co.</w:t>
      </w:r>
    </w:p>
    <w:p>
      <w:pPr>
        <w:spacing w:after="80"/>
      </w:pPr>
      <w:r>
        <w:rPr>
          <w:b w:val="0"/>
          <w:i/>
        </w:rPr>
        <w:t>Doe v. Nestle USA, Inc.</w:t>
      </w:r>
    </w:p>
    <w:p>
      <w:pPr>
        <w:spacing w:after="80"/>
      </w:pPr>
      <w:r>
        <w:rPr>
          <w:b w:val="0"/>
          <w:i/>
        </w:rPr>
        <w:t>In re Chiquita Brands International</w:t>
      </w:r>
    </w:p>
    <w:p>
      <w:pPr>
        <w:spacing w:after="80"/>
      </w:pPr>
      <w:r>
        <w:rPr>
          <w:b w:val="0"/>
          <w:i w:val="0"/>
        </w:rPr>
        <w:t>C. Trách nhiệm xã hội của doanh nghiệp và việc thực thi tư nhân theo luật chứng khoán liên bang</w:t>
      </w:r>
    </w:p>
    <w:p>
      <w:pPr>
        <w:spacing w:after="80"/>
      </w:pPr>
      <w:r>
        <w:rPr>
          <w:b w:val="0"/>
          <w:i w:val="0"/>
        </w:rPr>
        <w:t xml:space="preserve">Miriam A. Cherry, </w:t>
      </w:r>
      <w:r>
        <w:rPr>
          <w:b w:val="0"/>
          <w:i/>
        </w:rPr>
        <w:t>The Law and Economics of Corporate Social Responsibility and Greenwashing</w:t>
      </w:r>
    </w:p>
    <w:p>
      <w:pPr>
        <w:spacing w:after="80"/>
      </w:pPr>
      <w:r>
        <w:rPr>
          <w:b w:val="0"/>
          <w:i/>
        </w:rPr>
        <w:t>In re Ford Motor Co. Secur. Litigation</w:t>
      </w:r>
    </w:p>
    <w:p>
      <w:pPr>
        <w:spacing w:after="80"/>
      </w:pPr>
      <w:r>
        <w:rPr>
          <w:b/>
          <w:i w:val="0"/>
        </w:rPr>
        <w:t>Chương 12 · Quản trị doanh nghiệp so sánh</w:t>
      </w:r>
    </w:p>
    <w:p>
      <w:pPr>
        <w:spacing w:after="80"/>
      </w:pPr>
      <w:r>
        <w:rPr>
          <w:b w:val="0"/>
          <w:i w:val="0"/>
        </w:rPr>
        <w:t>I. Quyền thống trị trong quản trị doanh nghiệp</w:t>
      </w:r>
    </w:p>
    <w:p>
      <w:pPr>
        <w:spacing w:after="80"/>
      </w:pPr>
      <w:r>
        <w:rPr>
          <w:b w:val="0"/>
          <w:i w:val="0"/>
        </w:rPr>
        <w:t xml:space="preserve">Henry Hansmann &amp; Reinier Kraakman, </w:t>
      </w:r>
      <w:r>
        <w:rPr>
          <w:b w:val="0"/>
          <w:i/>
        </w:rPr>
        <w:t>The End of History for Corporate Law</w:t>
      </w:r>
    </w:p>
    <w:p>
      <w:pPr>
        <w:spacing w:after="80"/>
      </w:pPr>
      <w:r>
        <w:rPr>
          <w:b w:val="0"/>
          <w:i w:val="0"/>
        </w:rPr>
        <w:t>II. Giám sát ban điều hành</w:t>
      </w:r>
    </w:p>
    <w:p>
      <w:pPr>
        <w:spacing w:after="80"/>
      </w:pPr>
      <w:r>
        <w:rPr>
          <w:b w:val="0"/>
          <w:i w:val="0"/>
        </w:rPr>
        <w:t>A. Thị trường vốn và giám sát</w:t>
      </w:r>
    </w:p>
    <w:p>
      <w:pPr>
        <w:spacing w:after="80"/>
      </w:pPr>
      <w:r>
        <w:rPr>
          <w:b w:val="0"/>
          <w:i w:val="0"/>
        </w:rPr>
        <w:t xml:space="preserve">Franklin Allen &amp; Jun “QJ” Qian, </w:t>
      </w:r>
      <w:r>
        <w:rPr>
          <w:b w:val="0"/>
          <w:i/>
        </w:rPr>
        <w:t>China's Financial System and the Law</w:t>
      </w:r>
    </w:p>
    <w:p>
      <w:pPr>
        <w:spacing w:after="80"/>
      </w:pPr>
      <w:r>
        <w:rPr>
          <w:b w:val="0"/>
          <w:i w:val="0"/>
        </w:rPr>
        <w:t xml:space="preserve">Iris H-Y Chiu, </w:t>
      </w:r>
      <w:r>
        <w:rPr>
          <w:b w:val="0"/>
          <w:i/>
        </w:rPr>
        <w:t>Reviving Shareholder Stewardship: Critically Examining the Impact of Corporate Transparency Reforms in the UK</w:t>
      </w:r>
    </w:p>
    <w:p>
      <w:pPr>
        <w:spacing w:after="80"/>
      </w:pPr>
      <w:r>
        <w:rPr>
          <w:b w:val="0"/>
          <w:i w:val="0"/>
        </w:rPr>
        <w:t xml:space="preserve">Yuliya Gusevaa, </w:t>
      </w:r>
      <w:r>
        <w:rPr>
          <w:b w:val="0"/>
          <w:i/>
        </w:rPr>
        <w:t>Cross-Listings and the New World of International Capital: Another Look at the Efficiency and Extraterritoriality of Securities Law</w:t>
      </w:r>
    </w:p>
    <w:p>
      <w:pPr>
        <w:spacing w:after="80"/>
      </w:pPr>
      <w:r>
        <w:rPr>
          <w:b w:val="0"/>
          <w:i w:val="0"/>
        </w:rPr>
        <w:t>B. Cổ đông kiểm soát và giám sát</w:t>
      </w:r>
    </w:p>
    <w:p>
      <w:pPr>
        <w:spacing w:after="80"/>
      </w:pPr>
      <w:r>
        <w:rPr>
          <w:b w:val="0"/>
          <w:i w:val="0"/>
        </w:rPr>
        <w:t xml:space="preserve">Erica Gorga, </w:t>
      </w:r>
      <w:r>
        <w:rPr>
          <w:b w:val="0"/>
          <w:i/>
        </w:rPr>
        <w:t>Changing the Paradigm of Stock Ownership from Concentrated towards Dispersed Ownership? Evidence from Brazil and Consequences for Emerging Countries</w:t>
      </w:r>
    </w:p>
    <w:p>
      <w:pPr>
        <w:spacing w:after="80"/>
      </w:pPr>
      <w:r>
        <w:rPr>
          <w:b w:val="0"/>
          <w:i w:val="0"/>
        </w:rPr>
        <w:t>C. Ngân hàng và giám sát</w:t>
      </w:r>
    </w:p>
    <w:p>
      <w:pPr>
        <w:spacing w:after="80"/>
      </w:pPr>
      <w:r>
        <w:rPr>
          <w:b w:val="0"/>
          <w:i w:val="0"/>
        </w:rPr>
        <w:t xml:space="preserve">Dan W. Puchniak, </w:t>
      </w:r>
      <w:r>
        <w:rPr>
          <w:b w:val="0"/>
          <w:i/>
        </w:rPr>
        <w:t>Hiệu quả của sự thân thiện: Quản trị doanh nghiệp Nhật Bản lại thành công mà không cần thâu tóm thù địch</w:t>
      </w:r>
    </w:p>
    <w:p>
      <w:pPr>
        <w:spacing w:after="80"/>
      </w:pPr>
      <w:r>
        <w:rPr>
          <w:b w:val="0"/>
          <w:i w:val="0"/>
        </w:rPr>
        <w:t xml:space="preserve">Bruce E. Aronson, </w:t>
      </w:r>
      <w:r>
        <w:rPr>
          <w:b w:val="0"/>
          <w:i/>
        </w:rPr>
        <w:t>Bê bối Olympus và cải cách quản trị doanh nghiệp: Nhật Bản có thể tìm được điểm trung dung giữa mô hình giám sát của hội đồng quản trị và mô hình quản lý không?</w:t>
      </w:r>
    </w:p>
    <w:p>
      <w:pPr>
        <w:spacing w:after="80"/>
      </w:pPr>
      <w:r>
        <w:rPr>
          <w:b w:val="0"/>
          <w:i w:val="0"/>
        </w:rPr>
        <w:t>III. Khu vực tài phán theo Bộ luật Dân sự và Thông luật</w:t>
      </w:r>
    </w:p>
    <w:p>
      <w:pPr>
        <w:spacing w:after="80"/>
      </w:pPr>
      <w:r>
        <w:rPr>
          <w:b w:val="0"/>
          <w:i w:val="0"/>
        </w:rPr>
        <w:t>A. Mô hình Thông luật và các biến thể của nó</w:t>
      </w:r>
    </w:p>
    <w:p>
      <w:pPr>
        <w:spacing w:after="80"/>
      </w:pPr>
      <w:r>
        <w:rPr>
          <w:b w:val="0"/>
          <w:i w:val="0"/>
        </w:rPr>
        <w:t xml:space="preserve">Christopher M. Bruner, </w:t>
      </w:r>
      <w:r>
        <w:rPr>
          <w:b w:val="0"/>
          <w:i/>
        </w:rPr>
        <w:t>Quyền lực và mục đích trong công ty “Anh-Mỹ”</w:t>
      </w:r>
    </w:p>
    <w:p>
      <w:pPr>
        <w:spacing w:after="80"/>
      </w:pPr>
      <w:r>
        <w:rPr>
          <w:b w:val="0"/>
          <w:i w:val="0"/>
        </w:rPr>
        <w:t>B. Khu vực tài phán theo Bộ luật Dân sự</w:t>
      </w:r>
    </w:p>
    <w:p>
      <w:pPr>
        <w:spacing w:after="80"/>
      </w:pPr>
      <w:r>
        <w:rPr>
          <w:b w:val="0"/>
          <w:i w:val="0"/>
        </w:rPr>
        <w:t>1. Bối cảnh</w:t>
      </w:r>
    </w:p>
    <w:p>
      <w:pPr>
        <w:spacing w:after="80"/>
      </w:pPr>
      <w:r>
        <w:rPr>
          <w:b w:val="0"/>
          <w:i w:val="0"/>
        </w:rPr>
        <w:t xml:space="preserve">Mark J. Roe, </w:t>
      </w:r>
      <w:r>
        <w:rPr>
          <w:b w:val="0"/>
          <w:i/>
        </w:rPr>
        <w:t>Nguồn gốc pháp lý, chính trị và thị trường chứng khoán hiện đại</w:t>
      </w:r>
    </w:p>
    <w:p>
      <w:pPr>
        <w:spacing w:after="80"/>
      </w:pPr>
      <w:r>
        <w:rPr>
          <w:b w:val="0"/>
          <w:i w:val="0"/>
        </w:rPr>
        <w:t>2. Tuân thủ hoặc giải trình</w:t>
      </w:r>
    </w:p>
    <w:p>
      <w:pPr>
        <w:spacing w:after="80"/>
      </w:pPr>
      <w:r>
        <w:rPr>
          <w:b w:val="0"/>
          <w:i w:val="0"/>
        </w:rPr>
        <w:t xml:space="preserve">Klaus J. Hopt, </w:t>
      </w:r>
      <w:r>
        <w:rPr>
          <w:b w:val="0"/>
          <w:i/>
        </w:rPr>
        <w:t>Quản trị doanh nghiệp so sánh: Tình hình hiện tại và quy định quốc tế</w:t>
      </w:r>
    </w:p>
    <w:p>
      <w:pPr>
        <w:spacing w:after="80"/>
      </w:pPr>
      <w:r>
        <w:rPr>
          <w:b w:val="0"/>
          <w:i w:val="0"/>
        </w:rPr>
        <w:t>3. Cấu trúc hội đồng quản trị kép</w:t>
      </w:r>
    </w:p>
    <w:p>
      <w:pPr>
        <w:spacing w:after="80"/>
      </w:pPr>
      <w:r>
        <w:rPr>
          <w:b w:val="0"/>
          <w:i w:val="0"/>
        </w:rPr>
        <w:t xml:space="preserve">Brian R. Cheffins &amp; Bernard S. Black, </w:t>
      </w:r>
      <w:r>
        <w:rPr>
          <w:b w:val="0"/>
          <w:i/>
        </w:rPr>
        <w:t>Trách nhiệm của thành viên hội đồng quản trị độc lập ở các quốc gia</w:t>
      </w:r>
    </w:p>
    <w:p>
      <w:pPr>
        <w:spacing w:after="80"/>
      </w:pPr>
      <w:r>
        <w:rPr>
          <w:b w:val="0"/>
          <w:i/>
        </w:rPr>
        <w:t>Seybold v. Groenink</w:t>
      </w:r>
    </w:p>
    <w:p>
      <w:pPr>
        <w:spacing w:after="80"/>
      </w:pPr>
      <w:r>
        <w:rPr>
          <w:b w:val="0"/>
          <w:i/>
        </w:rPr>
        <w:t>Tracinda Corp. v. Daimlerchrysler AG</w:t>
      </w:r>
    </w:p>
    <w:p>
      <w:pPr>
        <w:spacing w:after="80"/>
      </w:pPr>
      <w:r>
        <w:rPr>
          <w:b w:val="0"/>
          <w:i w:val="0"/>
        </w:rPr>
        <w:t>4. Vai trò của các bên liên quan</w:t>
      </w:r>
    </w:p>
    <w:p>
      <w:pPr>
        <w:spacing w:after="80"/>
      </w:pPr>
      <w:r>
        <w:rPr>
          <w:b w:val="0"/>
          <w:i w:val="0"/>
        </w:rPr>
        <w:t xml:space="preserve">Paul L. Davies &amp; Klaus J. Hopt, </w:t>
      </w:r>
      <w:r>
        <w:rPr>
          <w:b w:val="0"/>
          <w:i/>
        </w:rPr>
        <w:t>Hội đồng quản trị doanh nghiệp ở châu Âu — Trách nhiệm giải trình và sự hội tụ</w:t>
      </w:r>
    </w:p>
    <w:p>
      <w:pPr>
        <w:spacing w:after="80"/>
      </w:pPr>
      <w:r>
        <w:rPr>
          <w:b w:val="0"/>
          <w:i w:val="0"/>
        </w:rPr>
        <w:t xml:space="preserve">Aditi Bagchi, </w:t>
      </w:r>
      <w:r>
        <w:rPr>
          <w:b w:val="0"/>
          <w:i/>
        </w:rPr>
        <w:t>Các hình thức sở hữu của người lao động: Một số hệ quả không lường trước của luật công ty và luật lao động</w:t>
      </w:r>
    </w:p>
    <w:p>
      <w:pPr>
        <w:spacing w:after="80"/>
      </w:pPr>
      <w:r>
        <w:rPr>
          <w:b w:val="0"/>
          <w:i w:val="0"/>
        </w:rPr>
        <w:t>C. Nghiên cứu tình huống: Ý</w:t>
      </w:r>
    </w:p>
    <w:p>
      <w:pPr>
        <w:spacing w:after="80"/>
      </w:pPr>
      <w:r>
        <w:rPr>
          <w:b w:val="0"/>
          <w:i w:val="0"/>
        </w:rPr>
        <w:t xml:space="preserve">Carlo Drago, Francesco Millo, Roberto Ricciuti, Paolo Santella, </w:t>
      </w:r>
      <w:r>
        <w:rPr>
          <w:b w:val="0"/>
          <w:i/>
        </w:rPr>
        <w:t>Cải cách quản trị công ty, kiêm nhiệm chéo hội đồng quản trị và hiệu quả hoạt động của công ty tại Ý</w:t>
      </w:r>
    </w:p>
    <w:p>
      <w:pPr>
        <w:spacing w:after="80"/>
      </w:pPr>
      <w:r>
        <w:rPr>
          <w:b w:val="0"/>
          <w:i w:val="0"/>
        </w:rPr>
        <w:t xml:space="preserve">Lorenzo Segato, </w:t>
      </w:r>
      <w:r>
        <w:rPr>
          <w:b w:val="0"/>
          <w:i/>
        </w:rPr>
        <w:t>Phân tích so sánh về bảo vệ cổ đông tại Ý và Hoa Kỳ: Parmalat như một nghiên cứu tình huống</w:t>
      </w:r>
    </w:p>
    <w:p>
      <w:pPr>
        <w:spacing w:after="80"/>
      </w:pPr>
      <w:r>
        <w:rPr>
          <w:b w:val="0"/>
          <w:i w:val="0"/>
        </w:rPr>
        <w:t xml:space="preserve">Marco Ventoruzzo, </w:t>
      </w:r>
      <w:r>
        <w:rPr>
          <w:b w:val="0"/>
          <w:i/>
        </w:rPr>
        <w:t>Thử nghiệm trong luật công ty so sánh: Cải cách Ý gần đây và những đức tính đáng ngờ của một thị trường quy tắc khi thiếu cạnh tranh quản lý hiệu quả</w:t>
      </w:r>
    </w:p>
    <w:p>
      <w:pPr>
        <w:spacing w:after="80"/>
      </w:pPr>
      <w:r>
        <w:rPr>
          <w:b w:val="0"/>
          <w:i/>
        </w:rPr>
        <w:t>Vụ kiện chứng khoán Parmalat</w:t>
      </w:r>
    </w:p>
    <w:p>
      <w:pPr>
        <w:spacing w:after="80"/>
      </w:pPr>
      <w:r>
        <w:rPr>
          <w:b w:val="0"/>
          <w:i w:val="0"/>
        </w:rPr>
        <w:t xml:space="preserve">David A. Skeel, Jr. và cộng sự, </w:t>
      </w:r>
      <w:r>
        <w:rPr>
          <w:b w:val="0"/>
          <w:i/>
        </w:rPr>
        <w:t>Quản trị công ty từ trong ra ngoài</w:t>
      </w:r>
    </w:p>
    <w:p>
      <w:pPr>
        <w:spacing w:after="80"/>
      </w:pPr>
      <w:r>
        <w:rPr>
          <w:b w:val="0"/>
          <w:i w:val="0"/>
        </w:rPr>
        <w:t xml:space="preserve">Luca Enriques, </w:t>
      </w:r>
      <w:r>
        <w:rPr>
          <w:b w:val="0"/>
          <w:i/>
        </w:rPr>
        <w:t>Cải cách quản trị công ty tại Ý: Những gì đã làm được và những gì còn lại phải làm</w:t>
      </w:r>
    </w:p>
    <w:p>
      <w:pPr>
        <w:spacing w:after="80"/>
      </w:pPr>
      <w:r>
        <w:rPr>
          <w:b w:val="0"/>
          <w:i w:val="0"/>
        </w:rPr>
        <w:t>IV. Vai trò của Liên minh châu Âu là gì?</w:t>
      </w:r>
    </w:p>
    <w:p>
      <w:pPr>
        <w:spacing w:after="80"/>
      </w:pPr>
      <w:r>
        <w:rPr>
          <w:b w:val="0"/>
          <w:i w:val="0"/>
        </w:rPr>
        <w:t xml:space="preserve">Arthur R. Pinto, </w:t>
      </w:r>
      <w:r>
        <w:rPr>
          <w:b w:val="0"/>
          <w:i/>
        </w:rPr>
        <w:t>Chỉ thị về quyền biểu quyết của cổ đông Liên minh châu Âu từ góc nhìn Hoa Kỳ: Một số so sánh và quan sát</w:t>
      </w:r>
    </w:p>
    <w:p>
      <w:pPr>
        <w:spacing w:after="80"/>
      </w:pPr>
      <w:r>
        <w:rPr>
          <w:b w:val="0"/>
          <w:i w:val="0"/>
        </w:rPr>
        <w:t xml:space="preserve">Luca Enriques, </w:t>
      </w:r>
      <w:r>
        <w:rPr>
          <w:b w:val="0"/>
          <w:i/>
        </w:rPr>
        <w:t>Các chỉ thị và quy định về luật công ty của EC: Chúng tầm thường đến mức nào?</w:t>
      </w:r>
    </w:p>
    <w:p>
      <w:pPr>
        <w:spacing w:after="80"/>
      </w:pPr>
      <w:r>
        <w:rPr>
          <w:b w:val="0"/>
          <w:i w:val="0"/>
        </w:rPr>
        <w:t xml:space="preserve">Shuangge Wen, </w:t>
      </w:r>
      <w:r>
        <w:rPr>
          <w:b w:val="0"/>
          <w:i/>
        </w:rPr>
        <w:t>Ít hơn là nhiều hơn — Một góc nhìn phê phán về hành động tiếp theo của EU hướng tới một khuôn khổ quản trị công ty hài hòa sau khủng hoảng</w:t>
      </w:r>
    </w:p>
    <w:p>
      <w:pPr>
        <w:spacing w:after="80"/>
      </w:pPr>
      <w:r>
        <w:rPr>
          <w:b w:val="0"/>
          <w:i w:val="0"/>
        </w:rPr>
        <w:t>V. Quản trị công ty và các nước đang phát triển</w:t>
      </w:r>
    </w:p>
    <w:p>
      <w:pPr>
        <w:spacing w:after="80"/>
      </w:pPr>
      <w:r>
        <w:rPr>
          <w:b w:val="0"/>
          <w:i w:val="0"/>
        </w:rPr>
        <w:t>A. Pháp luật có quan trọng không?</w:t>
      </w:r>
    </w:p>
    <w:p>
      <w:pPr>
        <w:spacing w:after="80"/>
      </w:pPr>
      <w:r>
        <w:rPr>
          <w:b w:val="0"/>
          <w:i w:val="0"/>
        </w:rPr>
        <w:t xml:space="preserve">Ali Adnan Ibrahim, </w:t>
      </w:r>
      <w:r>
        <w:rPr>
          <w:b w:val="0"/>
          <w:i/>
        </w:rPr>
        <w:t>Phát triển quản trị và quy định cho thị trường vốn và chứng khoán mới nổi</w:t>
      </w:r>
    </w:p>
    <w:p>
      <w:pPr>
        <w:spacing w:after="80"/>
      </w:pPr>
      <w:r>
        <w:rPr>
          <w:b w:val="0"/>
          <w:i w:val="0"/>
        </w:rPr>
        <w:t>B. Vấn đề thực thi tại các thị trường mới nổi</w:t>
      </w:r>
    </w:p>
    <w:p>
      <w:pPr>
        <w:spacing w:after="80"/>
      </w:pPr>
      <w:r>
        <w:rPr>
          <w:b w:val="0"/>
          <w:i w:val="0"/>
        </w:rPr>
        <w:t xml:space="preserve">Bernard Black &amp; Reinier Kraakman, </w:t>
      </w:r>
      <w:r>
        <w:rPr>
          <w:b w:val="0"/>
          <w:i/>
        </w:rPr>
        <w:t>Một mô hình tự cưỡng chế của luật công ty</w:t>
      </w:r>
    </w:p>
    <w:p>
      <w:pPr>
        <w:spacing w:after="80"/>
      </w:pPr>
      <w:r>
        <w:rPr>
          <w:b w:val="0"/>
          <w:i w:val="0"/>
        </w:rPr>
        <w:t xml:space="preserve">J. Robert Brown, Jr. &amp; Kostyantyn Shkurupiy, </w:t>
      </w:r>
      <w:r>
        <w:rPr>
          <w:b w:val="0"/>
          <w:i/>
        </w:rPr>
        <w:t>Quản trị công ty ở Liên Xô cũ: Sự thất bại của mô hình tự cưỡng chế</w:t>
      </w:r>
    </w:p>
    <w:p>
      <w:pPr>
        <w:spacing w:after="80"/>
      </w:pPr>
      <w:r>
        <w:rPr>
          <w:b w:val="0"/>
          <w:i w:val="0"/>
        </w:rPr>
        <w:t>VI. Quản trị công ty và văn hóa</w:t>
      </w:r>
    </w:p>
    <w:p>
      <w:pPr>
        <w:spacing w:after="80"/>
      </w:pPr>
      <w:r>
        <w:rPr>
          <w:b w:val="0"/>
          <w:i w:val="0"/>
        </w:rPr>
        <w:t xml:space="preserve">J. Robert Brown, Jr., </w:t>
      </w:r>
      <w:r>
        <w:rPr>
          <w:b w:val="0"/>
          <w:i/>
        </w:rPr>
        <w:t>Văn hóa, hỗn loạn và chủ nghĩa tư bản: Tư nhân hóa ở Kazakhstan</w:t>
      </w:r>
    </w:p>
    <w:p>
      <w:pPr>
        <w:spacing w:after="80"/>
      </w:pPr>
      <w:r>
        <w:rPr>
          <w:b w:val="0"/>
          <w:i w:val="0"/>
        </w:rPr>
        <w:t xml:space="preserve">Yu-Hsin Lin, </w:t>
      </w:r>
      <w:r>
        <w:rPr>
          <w:b w:val="0"/>
          <w:i/>
        </w:rPr>
        <w:t>Các mối quan hệ xã hội có quan trọng trong quản trị công ty? Nhân tố còn thiếu trong cải cách quản trị công ty ở Trung Quốc</w:t>
      </w:r>
    </w:p>
    <w:p>
      <w:pPr>
        <w:spacing w:after="80"/>
      </w:pPr>
      <w:r>
        <w:rPr>
          <w:b w:val="0"/>
          <w:i w:val="0"/>
        </w:rPr>
        <w:t xml:space="preserve">Ali Adnan Ibrahim, </w:t>
      </w:r>
      <w:r>
        <w:rPr>
          <w:b w:val="0"/>
          <w:i/>
        </w:rPr>
        <w:t>Sự trỗi dậy của các doanh nghiệp theo tập quán trên thị trường tài chính quốc tế: giới thiệu về tài chính Hồi giáo và những thách thức của hội nhập quốc tế</w:t>
      </w:r>
    </w:p>
    <w:p>
      <w:pPr>
        <w:spacing w:after="80"/>
      </w:pPr>
      <w:r>
        <w:rPr>
          <w:b w:val="0"/>
          <w:i w:val="0"/>
        </w:rPr>
        <w:t xml:space="preserve">Wafik Grais &amp; Matteo Pellegrini, </w:t>
      </w:r>
      <w:r>
        <w:rPr>
          <w:b w:val="0"/>
          <w:i/>
        </w:rPr>
        <w:t>Quản trị công ty và tuân thủ Shariah trong các tổ chức cung cấp dịch vụ tài chính Hồi giáo</w:t>
      </w:r>
    </w:p>
    <w:p>
      <w:pPr>
        <w:spacing w:after="80"/>
      </w:pPr>
      <w:r>
        <w:rPr>
          <w:b w:val="0"/>
          <w:i w:val="0"/>
        </w:rPr>
        <w:t>VII. Quyền bá chủ trong quản trị công ty (tái bàn)</w:t>
      </w:r>
    </w:p>
    <w:p>
      <w:pPr>
        <w:spacing w:after="80"/>
      </w:pPr>
      <w:r>
        <w:rPr>
          <w:b w:val="0"/>
          <w:i w:val="0"/>
        </w:rPr>
        <w:t xml:space="preserve">Douglas M. Branson, </w:t>
      </w:r>
      <w:r>
        <w:rPr>
          <w:b w:val="0"/>
          <w:i/>
        </w:rPr>
        <w:t>Triển vọng rất bấp bênh về sự hội tụ "toàn cầu" trong quản trị công ty</w:t>
      </w:r>
    </w:p>
    <w:p>
      <w:pPr>
        <w:spacing w:after="80"/>
      </w:pPr>
      <w:r>
        <w:rPr>
          <w:b/>
          <w:i w:val="0"/>
        </w:rPr>
        <w:t>Chương 13 · Quản trị công ty có ý nghĩa như thế nào?</w:t>
      </w:r>
    </w:p>
    <w:p>
      <w:pPr>
        <w:spacing w:after="80"/>
      </w:pPr>
      <w:r>
        <w:rPr>
          <w:b w:val="0"/>
          <w:i w:val="0"/>
        </w:rPr>
        <w:t>I. Quản trị tốt có nâng cao hiệu quả hoạt động của doanh nghiệp không?</w:t>
      </w:r>
    </w:p>
    <w:p>
      <w:pPr>
        <w:spacing w:after="80"/>
      </w:pPr>
      <w:r>
        <w:rPr>
          <w:b w:val="0"/>
          <w:i w:val="0"/>
        </w:rPr>
        <w:t xml:space="preserve">Sanjai Bhagat, Brian Bolton &amp; Roberta Romano, </w:t>
      </w:r>
      <w:r>
        <w:rPr>
          <w:b w:val="0"/>
          <w:i/>
        </w:rPr>
        <w:t>Lời hứa và hiểm họa của các chỉ số quản trị công ty</w:t>
      </w:r>
    </w:p>
    <w:p>
      <w:pPr>
        <w:spacing w:after="80"/>
      </w:pPr>
      <w:r>
        <w:rPr>
          <w:b w:val="0"/>
          <w:i w:val="0"/>
        </w:rPr>
        <w:t xml:space="preserve">David F. Larcker, Gaizka Ormazabal &amp; Daniel J. Taylor, </w:t>
      </w:r>
      <w:r>
        <w:rPr>
          <w:b w:val="0"/>
          <w:i/>
        </w:rPr>
        <w:t>Phản ứng của thị trường đối với quy định về quản trị công ty</w:t>
      </w:r>
    </w:p>
    <w:p>
      <w:pPr>
        <w:spacing w:after="80"/>
      </w:pPr>
      <w:r>
        <w:rPr>
          <w:b w:val="0"/>
          <w:i w:val="0"/>
        </w:rPr>
        <w:t>II. Cuộc tranh luận về quản trị công ty lang băm</w:t>
      </w:r>
    </w:p>
    <w:p>
      <w:pPr>
        <w:spacing w:after="80"/>
      </w:pPr>
      <w:r>
        <w:rPr>
          <w:b w:val="0"/>
          <w:i w:val="0"/>
        </w:rPr>
        <w:t xml:space="preserve">Roberta Romano, </w:t>
      </w:r>
      <w:r>
        <w:rPr>
          <w:b w:val="0"/>
          <w:i/>
        </w:rPr>
        <w:t>Đạo luật Sarbanes-Oxley và việc tạo ra thứ quản trị công ty lang băm</w:t>
      </w:r>
    </w:p>
    <w:p>
      <w:pPr>
        <w:spacing w:after="80"/>
      </w:pPr>
      <w:r>
        <w:rPr>
          <w:b w:val="0"/>
          <w:i w:val="0"/>
        </w:rPr>
        <w:t xml:space="preserve">Harry N. Butler &amp; Larry E. Ribstein, </w:t>
      </w:r>
      <w:r>
        <w:rPr>
          <w:b w:val="0"/>
          <w:i/>
        </w:rPr>
        <w:t>Thảm họa Sarbanes-Oxley: Những gì chúng ta đã học được; Cách khắc phục</w:t>
      </w:r>
    </w:p>
    <w:p>
      <w:pPr>
        <w:spacing w:after="80"/>
      </w:pPr>
      <w:r>
        <w:rPr>
          <w:b w:val="0"/>
          <w:i w:val="0"/>
        </w:rPr>
        <w:t xml:space="preserve">J. Robert Brown, Jr., </w:t>
      </w:r>
      <w:r>
        <w:rPr>
          <w:b w:val="0"/>
          <w:i/>
        </w:rPr>
        <w:t>Tiểu luận: Phê bình những người chỉ trích: Sarbanes-Oxley và Quản trị doanh nghiệp kiểu lang băm</w:t>
      </w:r>
    </w:p>
    <w:p>
      <w:pPr>
        <w:spacing w:after="80"/>
      </w:pPr>
      <w:r>
        <w:rPr>
          <w:b w:val="0"/>
          <w:i w:val="0"/>
        </w:rPr>
        <w:t xml:space="preserve">Stephen M. Bainbridge, </w:t>
      </w:r>
      <w:r>
        <w:rPr>
          <w:b w:val="0"/>
          <w:i/>
        </w:rPr>
        <w:t>Dodd-Frank: Vòng thứ II của Quản trị doanh nghiệp liên bang kiểu lang băm</w:t>
      </w:r>
    </w:p>
    <w:p>
      <w:pPr>
        <w:spacing w:after="80"/>
      </w:pPr>
      <w:r>
        <w:rPr>
          <w:b w:val="0"/>
          <w:i w:val="0"/>
        </w:rPr>
        <w:t>III. Thành viên hội đồng quản trị độc lập và Quản trị doanh nghiệp</w:t>
      </w:r>
    </w:p>
    <w:p>
      <w:pPr>
        <w:spacing w:after="80"/>
      </w:pPr>
      <w:r>
        <w:rPr>
          <w:b w:val="0"/>
          <w:i w:val="0"/>
        </w:rPr>
        <w:t xml:space="preserve">Jeffrey N. Gordon, </w:t>
      </w:r>
      <w:r>
        <w:rPr>
          <w:b w:val="0"/>
          <w:i/>
        </w:rPr>
        <w:t>Sự trỗi dậy của các thành viên hội đồng quản trị độc lập tại Hoa Kỳ, 1950–2005: Về giá trị cổ đông và giá cổ phiếu trên thị trường chứng khoán</w:t>
      </w:r>
    </w:p>
    <w:p>
      <w:pPr>
        <w:spacing w:after="80"/>
      </w:pPr>
      <w:r>
        <w:rPr>
          <w:b w:val="0"/>
          <w:i w:val="0"/>
        </w:rPr>
        <w:t xml:space="preserve">Chris Cernich và cộng sự, </w:t>
      </w:r>
      <w:r>
        <w:rPr>
          <w:b w:val="0"/>
          <w:i/>
        </w:rPr>
        <w:t>Hiệu quả của các hội đồng quản trị hỗn hợp</w:t>
      </w:r>
    </w:p>
    <w:p>
      <w:pPr>
        <w:spacing w:after="80"/>
      </w:pPr>
      <w:r>
        <w:rPr>
          <w:b w:val="0"/>
          <w:i w:val="0"/>
        </w:rPr>
        <w:t xml:space="preserve">Lucian A. Bebchuk &amp; Michael S. Weisbach, </w:t>
      </w:r>
      <w:r>
        <w:rPr>
          <w:b w:val="0"/>
          <w:i/>
        </w:rPr>
        <w:t>Tình hình nghiên cứu về Quản trị doanh nghiệp</w:t>
      </w:r>
    </w:p>
    <w:p>
      <w:pPr>
        <w:spacing w:after="80"/>
      </w:pPr>
      <w:r>
        <w:rPr>
          <w:b w:val="0"/>
          <w:i w:val="0"/>
        </w:rPr>
        <w:t xml:space="preserve">Olubunmi Faleye, Rani Hoitash &amp; Udi Hoitash, </w:t>
      </w:r>
      <w:r>
        <w:rPr>
          <w:b w:val="0"/>
          <w:i/>
        </w:rPr>
        <w:t>Chi phí của việc giám sát hội đồng quản trị gắt gao</w:t>
      </w:r>
    </w:p>
    <w:p>
      <w:pPr>
        <w:spacing w:after="80"/>
      </w:pPr>
      <w:r>
        <w:rPr>
          <w:b w:val="0"/>
          <w:i w:val="0"/>
        </w:rPr>
        <w:t xml:space="preserve">Sanjai Baghat &amp; Brian Bolton, </w:t>
      </w:r>
      <w:r>
        <w:rPr>
          <w:b w:val="0"/>
          <w:i/>
        </w:rPr>
        <w:t>Quyền sở hữu của thành viên hội đồng quản trị, Quản trị và Hiệu quả hoạt động</w:t>
      </w:r>
    </w:p>
    <w:p>
      <w:pPr>
        <w:spacing w:after="80"/>
      </w:pPr>
      <w:r>
        <w:rPr>
          <w:b/>
          <w:i w:val="0"/>
        </w:rPr>
        <w:t>Chỉ mục</w:t>
      </w:r>
    </w:p>
    <w:p>
      <w:pPr>
        <w:pStyle w:val="Heading1"/>
      </w:pPr>
      <w:r>
        <w:rPr>
          <w:rFonts w:ascii="Calibri" w:hAnsi="Calibri"/>
          <w:b/>
          <w:i w:val="0"/>
          <w:sz w:val="40"/>
        </w:rPr>
        <w:t>Bảng tra cứu án lệ</w:t>
      </w:r>
    </w:p>
    <w:p>
      <w:pPr>
        <w:spacing w:after="80"/>
      </w:pPr>
      <w:r>
        <w:rPr>
          <w:b w:val="0"/>
          <w:i w:val="0"/>
        </w:rPr>
        <w:t>Air Products and Chemicals, Inc. v. Airgas, Inc., 561</w:t>
      </w:r>
    </w:p>
    <w:p>
      <w:pPr>
        <w:spacing w:after="80"/>
      </w:pPr>
      <w:r>
        <w:rPr>
          <w:b w:val="0"/>
          <w:i w:val="0"/>
        </w:rPr>
        <w:t>Allergan, Inc. v. Valeant Pharmaceuticals International, Inc., 532</w:t>
      </w:r>
    </w:p>
    <w:p>
      <w:pPr>
        <w:spacing w:after="80"/>
      </w:pPr>
      <w:r>
        <w:rPr>
          <w:b w:val="0"/>
          <w:i w:val="0"/>
        </w:rPr>
        <w:t>AngioScore, Inc. v. Trireme Medical, Inc., 316</w:t>
      </w:r>
    </w:p>
    <w:p>
      <w:pPr>
        <w:spacing w:after="80"/>
      </w:pPr>
      <w:r>
        <w:rPr>
          <w:b w:val="0"/>
          <w:i w:val="0"/>
        </w:rPr>
        <w:t>Aronson v. Lewis, 750</w:t>
      </w:r>
    </w:p>
    <w:p>
      <w:pPr>
        <w:spacing w:after="80"/>
      </w:pPr>
      <w:r>
        <w:rPr>
          <w:b w:val="0"/>
          <w:i w:val="0"/>
        </w:rPr>
        <w:t>ATP Tour, Inc. v. Deutscher Tennis Bund, 823</w:t>
      </w:r>
    </w:p>
    <w:p>
      <w:pPr>
        <w:spacing w:after="80"/>
      </w:pPr>
      <w:r>
        <w:rPr>
          <w:b w:val="0"/>
          <w:i w:val="0"/>
        </w:rPr>
        <w:t>Baron v. Strawbridge &amp; Clothier, 860</w:t>
      </w:r>
    </w:p>
    <w:p>
      <w:pPr>
        <w:spacing w:after="80"/>
      </w:pPr>
      <w:r>
        <w:rPr>
          <w:b w:val="0"/>
          <w:i w:val="0"/>
        </w:rPr>
        <w:t>Beam ex rel. Martha Stewart Living Omnimedia, Inc. v. Stewart, 767</w:t>
      </w:r>
    </w:p>
    <w:p>
      <w:pPr>
        <w:spacing w:after="80"/>
      </w:pPr>
      <w:r>
        <w:rPr>
          <w:b w:val="0"/>
          <w:i w:val="0"/>
        </w:rPr>
        <w:t>Benihana of Tokyo, Inc. v. Benihana, Inc., 278</w:t>
      </w:r>
    </w:p>
    <w:p>
      <w:pPr>
        <w:spacing w:after="80"/>
      </w:pPr>
      <w:r>
        <w:rPr>
          <w:b w:val="0"/>
          <w:i w:val="0"/>
        </w:rPr>
        <w:t>Blasius Industries, Inc. v. Atlas Corp., 502</w:t>
      </w:r>
    </w:p>
    <w:p>
      <w:pPr>
        <w:spacing w:after="80"/>
      </w:pPr>
      <w:r>
        <w:rPr>
          <w:b w:val="0"/>
          <w:i w:val="0"/>
        </w:rPr>
        <w:t>Brehm v. Eisner, 376 , 388</w:t>
      </w:r>
    </w:p>
    <w:p>
      <w:pPr>
        <w:spacing w:after="80"/>
      </w:pPr>
      <w:r>
        <w:rPr>
          <w:b w:val="0"/>
          <w:i w:val="0"/>
        </w:rPr>
        <w:t>Broz v. Cellular Information Systems Inc., 307</w:t>
      </w:r>
    </w:p>
    <w:p>
      <w:pPr>
        <w:spacing w:after="80"/>
      </w:pPr>
      <w:r>
        <w:rPr>
          <w:b w:val="0"/>
          <w:i w:val="0"/>
        </w:rPr>
        <w:t>Business Roundtable v. SEC, 625</w:t>
      </w:r>
    </w:p>
    <w:p>
      <w:pPr>
        <w:spacing w:after="80"/>
      </w:pPr>
      <w:r>
        <w:rPr>
          <w:b w:val="0"/>
          <w:i w:val="0"/>
        </w:rPr>
        <w:t>CA, Inc. v. AFSCME Employees Pension Plan, 615</w:t>
      </w:r>
    </w:p>
    <w:p>
      <w:pPr>
        <w:spacing w:after="80"/>
      </w:pPr>
      <w:r>
        <w:rPr>
          <w:b w:val="0"/>
          <w:i w:val="0"/>
        </w:rPr>
        <w:t>California Public Employees' Retirement System v. New York Stock Exchange, Inc., 94</w:t>
      </w:r>
    </w:p>
    <w:p>
      <w:pPr>
        <w:spacing w:after="80"/>
      </w:pPr>
      <w:r>
        <w:rPr>
          <w:b w:val="0"/>
          <w:i w:val="0"/>
        </w:rPr>
        <w:t>CALMA v. Templeton, 369</w:t>
      </w:r>
    </w:p>
    <w:p>
      <w:pPr>
        <w:spacing w:after="80"/>
      </w:pPr>
      <w:r>
        <w:rPr>
          <w:b w:val="0"/>
          <w:i w:val="0"/>
        </w:rPr>
        <w:t>CDX Liquidating Trust v. Venrock Assoc., 297</w:t>
      </w:r>
    </w:p>
    <w:p>
      <w:pPr>
        <w:spacing w:after="80"/>
      </w:pPr>
      <w:r>
        <w:rPr>
          <w:b w:val="0"/>
          <w:i w:val="0"/>
        </w:rPr>
        <w:t>Central Laborers Pension Fund v. News Corporation, 634</w:t>
      </w:r>
    </w:p>
    <w:p>
      <w:pPr>
        <w:spacing w:after="80"/>
      </w:pPr>
      <w:r>
        <w:rPr>
          <w:b w:val="0"/>
          <w:i w:val="0"/>
        </w:rPr>
        <w:t>Citizens United v. Federal Election Comm'n, 705</w:t>
      </w:r>
    </w:p>
    <w:p>
      <w:pPr>
        <w:spacing w:after="80"/>
      </w:pPr>
      <w:r>
        <w:rPr>
          <w:b w:val="0"/>
          <w:i w:val="0"/>
        </w:rPr>
        <w:t>City of Westland Police &amp; Fire Retirement System v. Axcelis Technologies, Inc. (2009 Del. Ch. LEXIS 173 (Sept. 28, 2009), aff 'd, 1 A.3d 281 (2010)), 457</w:t>
      </w:r>
    </w:p>
    <w:p>
      <w:pPr>
        <w:spacing w:after="80"/>
      </w:pPr>
      <w:r>
        <w:rPr>
          <w:b w:val="0"/>
          <w:i w:val="0"/>
        </w:rPr>
        <w:t>City of Westland Police &amp; Fire Retirement System v. Axcelis Technologies, Inc. (1 A.3d 281 (2010)), 639</w:t>
      </w:r>
    </w:p>
    <w:p>
      <w:pPr>
        <w:spacing w:after="80"/>
      </w:pPr>
      <w:r>
        <w:rPr>
          <w:b w:val="0"/>
          <w:i w:val="0"/>
        </w:rPr>
        <w:t>Cohen v. Viray, 806</w:t>
      </w:r>
    </w:p>
    <w:p>
      <w:pPr>
        <w:spacing w:after="80"/>
      </w:pPr>
      <w:r>
        <w:rPr>
          <w:b w:val="0"/>
          <w:i w:val="0"/>
        </w:rPr>
        <w:t>Crown EMAK Partners, LLC v. Kurz, 485</w:t>
      </w:r>
    </w:p>
    <w:p>
      <w:pPr>
        <w:spacing w:after="80"/>
      </w:pPr>
      <w:r>
        <w:rPr>
          <w:b w:val="0"/>
          <w:i w:val="0"/>
        </w:rPr>
        <w:t>CTS Corp. v. Dynamics Corp. of America, 540</w:t>
      </w:r>
    </w:p>
    <w:p>
      <w:pPr>
        <w:spacing w:after="80"/>
      </w:pPr>
      <w:r>
        <w:rPr>
          <w:b w:val="0"/>
          <w:i w:val="0"/>
        </w:rPr>
        <w:t>Delaware County Employees' Retirement Fund v. A.R. Sanchez, Jr., 776</w:t>
      </w:r>
    </w:p>
    <w:p>
      <w:pPr>
        <w:spacing w:after="80"/>
      </w:pPr>
      <w:r>
        <w:rPr>
          <w:b w:val="0"/>
          <w:i w:val="0"/>
        </w:rPr>
        <w:t>Doe v. Nestle USA, Inc., 885</w:t>
      </w:r>
    </w:p>
    <w:p>
      <w:pPr>
        <w:spacing w:after="80"/>
      </w:pPr>
      <w:r>
        <w:rPr>
          <w:b w:val="0"/>
          <w:i w:val="0"/>
        </w:rPr>
        <w:t>Fliegler v. Lawrence, 275</w:t>
      </w:r>
    </w:p>
    <w:p>
      <w:pPr>
        <w:spacing w:after="80"/>
      </w:pPr>
      <w:r>
        <w:rPr>
          <w:b w:val="0"/>
          <w:i w:val="0"/>
        </w:rPr>
        <w:t>Fog Cutter Capital Group Inc. v. Securities and Exchange Commission, 88</w:t>
      </w:r>
    </w:p>
    <w:p>
      <w:pPr>
        <w:spacing w:after="80"/>
      </w:pPr>
      <w:r>
        <w:rPr>
          <w:b w:val="0"/>
          <w:i w:val="0"/>
        </w:rPr>
        <w:t>Free Enterprise Fund v. Public Company Accounting Oversight Board, 112</w:t>
      </w:r>
    </w:p>
    <w:p>
      <w:pPr>
        <w:spacing w:after="80"/>
      </w:pPr>
      <w:r>
        <w:rPr>
          <w:b w:val="0"/>
          <w:i w:val="0"/>
        </w:rPr>
        <w:t>Greenhouse v. MCG Capital, 691</w:t>
      </w:r>
    </w:p>
    <w:p>
      <w:pPr>
        <w:spacing w:after="80"/>
      </w:pPr>
      <w:r>
        <w:rPr>
          <w:b w:val="0"/>
          <w:i w:val="0"/>
        </w:rPr>
        <w:t>Hampshire Group, Ltd. v. Kuttner, 145</w:t>
      </w:r>
    </w:p>
    <w:p>
      <w:pPr>
        <w:spacing w:after="80"/>
      </w:pPr>
      <w:r>
        <w:rPr>
          <w:b w:val="0"/>
          <w:i w:val="0"/>
        </w:rPr>
        <w:t>Hewlett v. Hewlett-Packard Co. (2002 Del. Ch. LEXIS 44 (Apr. 8, 2002)), 515</w:t>
      </w:r>
    </w:p>
    <w:p>
      <w:pPr>
        <w:spacing w:after="80"/>
      </w:pPr>
      <w:r>
        <w:rPr>
          <w:b w:val="0"/>
          <w:i w:val="0"/>
        </w:rPr>
        <w:t>Hewlett v. Hewlett-Packard Co. (2002 Del. Ch. LEXIS 35 (Apr. 30, 2002)), 519</w:t>
      </w:r>
    </w:p>
    <w:p>
      <w:pPr>
        <w:spacing w:after="80"/>
      </w:pPr>
      <w:r>
        <w:rPr>
          <w:b w:val="0"/>
          <w:i w:val="0"/>
        </w:rPr>
        <w:t>In re BP P.L.C. Derivative Litigation, 34</w:t>
      </w:r>
    </w:p>
    <w:p>
      <w:pPr>
        <w:spacing w:after="80"/>
      </w:pPr>
      <w:r>
        <w:rPr>
          <w:b w:val="0"/>
          <w:i w:val="0"/>
        </w:rPr>
        <w:t>In re Caremark Int'l Inc. Deriv. Litig., 225</w:t>
      </w:r>
    </w:p>
    <w:p>
      <w:pPr>
        <w:spacing w:after="80"/>
      </w:pPr>
      <w:r>
        <w:rPr>
          <w:b w:val="0"/>
          <w:i w:val="0"/>
        </w:rPr>
        <w:t>In re Chiquita Brands International, 895</w:t>
      </w:r>
    </w:p>
    <w:p>
      <w:pPr>
        <w:spacing w:after="80"/>
      </w:pPr>
      <w:r>
        <w:rPr>
          <w:b w:val="0"/>
          <w:i w:val="0"/>
        </w:rPr>
        <w:t>In re Citigroup Inc. Shareholder Deriv. Litig., 253</w:t>
      </w:r>
    </w:p>
    <w:p>
      <w:pPr>
        <w:spacing w:after="80"/>
      </w:pPr>
      <w:r>
        <w:rPr>
          <w:b w:val="0"/>
          <w:i w:val="0"/>
        </w:rPr>
        <w:t>In re Facebook, Inc. IPO Securities and Derivative Litigation, 105</w:t>
      </w:r>
    </w:p>
    <w:p>
      <w:pPr>
        <w:spacing w:after="80"/>
      </w:pPr>
      <w:r>
        <w:rPr>
          <w:b w:val="0"/>
          <w:i w:val="0"/>
        </w:rPr>
        <w:t>In re Ford Motor Co. Secur. Litigation, 902</w:t>
      </w:r>
    </w:p>
    <w:p>
      <w:pPr>
        <w:spacing w:after="80"/>
      </w:pPr>
      <w:r>
        <w:rPr>
          <w:b w:val="0"/>
          <w:i w:val="0"/>
        </w:rPr>
        <w:t>Vụ Franchard Corp., 687</w:t>
      </w:r>
    </w:p>
    <w:p>
      <w:pPr>
        <w:spacing w:after="80"/>
      </w:pPr>
      <w:r>
        <w:rPr>
          <w:b w:val="0"/>
          <w:i w:val="0"/>
        </w:rPr>
        <w:t>Vụ Hewlett-Packard Co., 671</w:t>
      </w:r>
    </w:p>
    <w:p>
      <w:pPr>
        <w:spacing w:after="80"/>
      </w:pPr>
      <w:r>
        <w:rPr>
          <w:b w:val="0"/>
          <w:i w:val="0"/>
        </w:rPr>
        <w:t>Vụ InfoUSA, 390</w:t>
      </w:r>
    </w:p>
    <w:p>
      <w:pPr>
        <w:spacing w:after="80"/>
      </w:pPr>
      <w:r>
        <w:rPr>
          <w:b w:val="0"/>
          <w:i w:val="0"/>
        </w:rPr>
        <w:t>Vụ INTECH Investment Management LLC, 441</w:t>
      </w:r>
    </w:p>
    <w:p>
      <w:pPr>
        <w:spacing w:after="80"/>
      </w:pPr>
      <w:r>
        <w:rPr>
          <w:b w:val="0"/>
          <w:i w:val="0"/>
        </w:rPr>
        <w:t>Vụ Office Depot, 725</w:t>
      </w:r>
    </w:p>
    <w:p>
      <w:pPr>
        <w:spacing w:after="80"/>
      </w:pPr>
      <w:r>
        <w:rPr>
          <w:b w:val="0"/>
          <w:i w:val="0"/>
        </w:rPr>
        <w:t>Vụ kiện chứng khoán Parmalat, 957</w:t>
      </w:r>
    </w:p>
    <w:p>
      <w:pPr>
        <w:spacing w:after="80"/>
      </w:pPr>
      <w:r>
        <w:rPr>
          <w:b w:val="0"/>
          <w:i w:val="0"/>
        </w:rPr>
        <w:t>Vụ kiện phái sinh Công ty Walt Disney, 382</w:t>
      </w:r>
    </w:p>
    <w:p>
      <w:pPr>
        <w:spacing w:after="80"/>
      </w:pPr>
      <w:r>
        <w:rPr>
          <w:b w:val="0"/>
          <w:i w:val="0"/>
        </w:rPr>
        <w:t>Vụ W. R. Grace &amp; Co., 74</w:t>
      </w:r>
    </w:p>
    <w:p>
      <w:pPr>
        <w:spacing w:after="80"/>
      </w:pPr>
      <w:r>
        <w:rPr>
          <w:b w:val="0"/>
          <w:i w:val="0"/>
        </w:rPr>
        <w:t>Trong vụ Kiang, 666</w:t>
      </w:r>
    </w:p>
    <w:p>
      <w:pPr>
        <w:spacing w:after="80"/>
      </w:pPr>
      <w:r>
        <w:rPr>
          <w:b w:val="0"/>
          <w:i w:val="0"/>
        </w:rPr>
        <w:t>Trong vụ Tập đoàn Musclepharm, 397</w:t>
      </w:r>
    </w:p>
    <w:p>
      <w:pPr>
        <w:spacing w:after="80"/>
      </w:pPr>
      <w:r>
        <w:rPr>
          <w:b w:val="0"/>
          <w:i w:val="0"/>
        </w:rPr>
        <w:t>Jones kiện Harris Associates, L.P. (527 F.3d 627 (2008), bị đảo ngược, 559 U.S. 335 (2010)), 353</w:t>
      </w:r>
    </w:p>
    <w:p>
      <w:pPr>
        <w:spacing w:after="80"/>
      </w:pPr>
      <w:r>
        <w:rPr>
          <w:b w:val="0"/>
          <w:i w:val="0"/>
        </w:rPr>
        <w:t>Jones kiện Harris Associates, L.P. (537 F.3d 728 (2008)), 356</w:t>
      </w:r>
    </w:p>
    <w:p>
      <w:pPr>
        <w:spacing w:after="80"/>
      </w:pPr>
      <w:r>
        <w:rPr>
          <w:b w:val="0"/>
          <w:i w:val="0"/>
        </w:rPr>
        <w:t>Jones kiện Harris Associates, L.P. (130 S. Ct. 1418 (2010)), 358</w:t>
      </w:r>
    </w:p>
    <w:p>
      <w:pPr>
        <w:spacing w:after="80"/>
      </w:pPr>
      <w:r>
        <w:rPr>
          <w:b w:val="0"/>
          <w:i w:val="0"/>
        </w:rPr>
        <w:t>Joy kiện North, 190</w:t>
      </w:r>
    </w:p>
    <w:p>
      <w:pPr>
        <w:spacing w:after="80"/>
      </w:pPr>
      <w:r>
        <w:rPr>
          <w:b w:val="0"/>
          <w:i w:val="0"/>
        </w:rPr>
        <w:t>Julian kiện Eastern States Construction Service, Inc., 364</w:t>
      </w:r>
    </w:p>
    <w:p>
      <w:pPr>
        <w:spacing w:after="80"/>
      </w:pPr>
      <w:r>
        <w:rPr>
          <w:b w:val="0"/>
          <w:i w:val="0"/>
        </w:rPr>
        <w:t>Kahn kiện Sullivan, 838</w:t>
      </w:r>
    </w:p>
    <w:p>
      <w:pPr>
        <w:spacing w:after="80"/>
      </w:pPr>
      <w:r>
        <w:rPr>
          <w:b w:val="0"/>
          <w:i w:val="0"/>
        </w:rPr>
        <w:t>Kiobel v. Royal Dutch Petroleum Co., 880</w:t>
      </w:r>
    </w:p>
    <w:p>
      <w:pPr>
        <w:spacing w:after="80"/>
      </w:pPr>
      <w:r>
        <w:rPr>
          <w:b w:val="0"/>
          <w:i w:val="0"/>
        </w:rPr>
        <w:t>London v. Tyrrell, 781</w:t>
      </w:r>
    </w:p>
    <w:p>
      <w:pPr>
        <w:spacing w:after="80"/>
      </w:pPr>
      <w:r>
        <w:rPr>
          <w:b w:val="0"/>
          <w:i w:val="0"/>
        </w:rPr>
        <w:t>Louisiana Municipal Police Employees Retirement System v. The Hershey Co., 649</w:t>
      </w:r>
    </w:p>
    <w:p>
      <w:pPr>
        <w:spacing w:after="80"/>
      </w:pPr>
      <w:r>
        <w:rPr>
          <w:b w:val="0"/>
          <w:i w:val="0"/>
        </w:rPr>
        <w:t>Malone v. Brincat, 264</w:t>
      </w:r>
    </w:p>
    <w:p>
      <w:pPr>
        <w:spacing w:after="80"/>
      </w:pPr>
      <w:r>
        <w:rPr>
          <w:b w:val="0"/>
          <w:i w:val="0"/>
        </w:rPr>
        <w:t>Malpiede v. Townson, 211</w:t>
      </w:r>
    </w:p>
    <w:p>
      <w:pPr>
        <w:spacing w:after="80"/>
      </w:pPr>
      <w:r>
        <w:rPr>
          <w:b w:val="0"/>
          <w:i w:val="0"/>
        </w:rPr>
        <w:t>Matrixx Initiatives, Inc. v. Siracusano, 680</w:t>
      </w:r>
    </w:p>
    <w:p>
      <w:pPr>
        <w:spacing w:after="80"/>
      </w:pPr>
      <w:r>
        <w:rPr>
          <w:b w:val="0"/>
          <w:i w:val="0"/>
        </w:rPr>
        <w:t>Mercier v. Inter-Tel (Delaware), Inc., 507</w:t>
      </w:r>
    </w:p>
    <w:p>
      <w:pPr>
        <w:spacing w:after="80"/>
      </w:pPr>
      <w:r>
        <w:rPr>
          <w:b w:val="0"/>
          <w:i w:val="0"/>
        </w:rPr>
        <w:t>National Association of Manufacturers v. SEC (748 F.3d 359 (2014)), 708</w:t>
      </w:r>
    </w:p>
    <w:p>
      <w:pPr>
        <w:spacing w:after="80"/>
      </w:pPr>
      <w:r>
        <w:rPr>
          <w:b w:val="0"/>
          <w:i w:val="0"/>
        </w:rPr>
        <w:t>National Association of Manufacturers v. SEC (800 F.3d 518 (2015)), 712</w:t>
      </w:r>
    </w:p>
    <w:p>
      <w:pPr>
        <w:spacing w:after="80"/>
      </w:pPr>
      <w:r>
        <w:rPr>
          <w:b w:val="0"/>
          <w:i w:val="0"/>
        </w:rPr>
        <w:t>NECA-IBEW Pension Fund v. Cox, 429</w:t>
      </w:r>
    </w:p>
    <w:p>
      <w:pPr>
        <w:spacing w:after="80"/>
      </w:pPr>
      <w:r>
        <w:rPr>
          <w:b w:val="0"/>
          <w:i w:val="0"/>
        </w:rPr>
        <w:t>Norman v. US Mobilcomm, Inc., 656</w:t>
      </w:r>
    </w:p>
    <w:p>
      <w:pPr>
        <w:spacing w:after="80"/>
      </w:pPr>
      <w:r>
        <w:rPr>
          <w:b w:val="0"/>
          <w:i w:val="0"/>
        </w:rPr>
        <w:t>Orman v. Cullman, 329</w:t>
      </w:r>
    </w:p>
    <w:p>
      <w:pPr>
        <w:spacing w:after="80"/>
      </w:pPr>
      <w:r>
        <w:rPr>
          <w:b w:val="0"/>
          <w:i w:val="0"/>
        </w:rPr>
        <w:t>Paramount Communications, Inc. v. Time Inc., 553</w:t>
      </w:r>
    </w:p>
    <w:p>
      <w:pPr>
        <w:spacing w:after="80"/>
      </w:pPr>
      <w:r>
        <w:rPr>
          <w:b w:val="0"/>
          <w:i w:val="0"/>
        </w:rPr>
        <w:t>Pfeffer v. Redstone, 283</w:t>
      </w:r>
    </w:p>
    <w:p>
      <w:pPr>
        <w:spacing w:after="80"/>
      </w:pPr>
      <w:r>
        <w:rPr>
          <w:b w:val="0"/>
          <w:i w:val="0"/>
        </w:rPr>
        <w:t>Portnoy v. Cryo-Cell International, 580</w:t>
      </w:r>
    </w:p>
    <w:p>
      <w:pPr>
        <w:spacing w:after="80"/>
      </w:pPr>
      <w:r>
        <w:rPr>
          <w:b w:val="0"/>
          <w:i w:val="0"/>
        </w:rPr>
        <w:t>Red Oak Fund, L.P. v. Digirad Corporation, 587</w:t>
      </w:r>
    </w:p>
    <w:p>
      <w:pPr>
        <w:spacing w:after="80"/>
      </w:pPr>
      <w:r>
        <w:rPr>
          <w:b w:val="0"/>
          <w:i w:val="0"/>
        </w:rPr>
        <w:t>Rich v. Chong, 240</w:t>
      </w:r>
    </w:p>
    <w:p>
      <w:pPr>
        <w:spacing w:after="80"/>
      </w:pPr>
      <w:r>
        <w:rPr>
          <w:b w:val="0"/>
          <w:i w:val="0"/>
        </w:rPr>
        <w:t>Riggs Inv. Mgmt. Corp. v. Columbia Partners, L.L.C., 339</w:t>
      </w:r>
    </w:p>
    <w:p>
      <w:pPr>
        <w:spacing w:after="80"/>
      </w:pPr>
      <w:r>
        <w:rPr>
          <w:b w:val="0"/>
          <w:i w:val="0"/>
        </w:rPr>
        <w:t>Rondeau v. Mosinee Paper Corp., 527</w:t>
      </w:r>
    </w:p>
    <w:p>
      <w:pPr>
        <w:spacing w:after="80"/>
      </w:pPr>
      <w:r>
        <w:rPr>
          <w:b w:val="0"/>
          <w:i w:val="0"/>
        </w:rPr>
        <w:t>Schoon v. Smith, 743</w:t>
      </w:r>
    </w:p>
    <w:p>
      <w:pPr>
        <w:spacing w:after="80"/>
      </w:pPr>
      <w:r>
        <w:rPr>
          <w:b w:val="0"/>
          <w:i w:val="0"/>
        </w:rPr>
        <w:t>Schreiber v. Carney, 514</w:t>
      </w:r>
    </w:p>
    <w:p>
      <w:pPr>
        <w:spacing w:after="80"/>
      </w:pPr>
      <w:r>
        <w:rPr>
          <w:b w:val="0"/>
          <w:i w:val="0"/>
        </w:rPr>
        <w:t>SEC v. Bank of America, 420</w:t>
      </w:r>
    </w:p>
    <w:p>
      <w:pPr>
        <w:spacing w:after="80"/>
      </w:pPr>
      <w:r>
        <w:rPr>
          <w:b w:val="0"/>
          <w:i w:val="0"/>
        </w:rPr>
        <w:t>SEC v. Blinder, Robinson &amp; Co., 59</w:t>
      </w:r>
    </w:p>
    <w:p>
      <w:pPr>
        <w:spacing w:after="80"/>
      </w:pPr>
      <w:r>
        <w:rPr>
          <w:b w:val="0"/>
          <w:i w:val="0"/>
        </w:rPr>
        <w:t>SEC v. Jenkins, 411</w:t>
      </w:r>
    </w:p>
    <w:p>
      <w:pPr>
        <w:spacing w:after="80"/>
      </w:pPr>
      <w:r>
        <w:rPr>
          <w:b w:val="0"/>
          <w:i w:val="0"/>
        </w:rPr>
        <w:t>Seidman and Associates, L.L.C v. G.A. Financial, Inc., 491</w:t>
      </w:r>
    </w:p>
    <w:p>
      <w:pPr>
        <w:spacing w:after="80"/>
      </w:pPr>
      <w:r>
        <w:rPr>
          <w:b w:val="0"/>
          <w:i w:val="0"/>
        </w:rPr>
        <w:t>Seinfeld v. Verizon Communications, Inc., 646</w:t>
      </w:r>
    </w:p>
    <w:p>
      <w:pPr>
        <w:spacing w:after="80"/>
      </w:pPr>
      <w:r>
        <w:rPr>
          <w:b w:val="0"/>
          <w:i w:val="0"/>
        </w:rPr>
        <w:t>Selectica, Inc. v. Versata Enterprises, Inc., 601</w:t>
      </w:r>
    </w:p>
    <w:p>
      <w:pPr>
        <w:spacing w:after="80"/>
      </w:pPr>
      <w:r>
        <w:rPr>
          <w:b w:val="0"/>
          <w:i w:val="0"/>
        </w:rPr>
        <w:t>Seybold v. Groenink, 938</w:t>
      </w:r>
    </w:p>
    <w:p>
      <w:pPr>
        <w:spacing w:after="80"/>
      </w:pPr>
      <w:r>
        <w:rPr>
          <w:b w:val="0"/>
          <w:i w:val="0"/>
        </w:rPr>
        <w:t>Smith v. Van Gorkom, 195</w:t>
      </w:r>
    </w:p>
    <w:p>
      <w:pPr>
        <w:spacing w:after="80"/>
      </w:pPr>
      <w:r>
        <w:rPr>
          <w:b w:val="0"/>
          <w:i w:val="0"/>
        </w:rPr>
        <w:t>Sosa v. Alvarez-Machain, 878</w:t>
      </w:r>
    </w:p>
    <w:p>
      <w:pPr>
        <w:spacing w:after="80"/>
      </w:pPr>
      <w:r>
        <w:rPr>
          <w:b w:val="0"/>
          <w:i w:val="0"/>
        </w:rPr>
        <w:t>Stone v. Ritter, 232</w:t>
      </w:r>
    </w:p>
    <w:p>
      <w:pPr>
        <w:spacing w:after="80"/>
      </w:pPr>
      <w:r>
        <w:rPr>
          <w:b w:val="0"/>
          <w:i w:val="0"/>
        </w:rPr>
        <w:t>The Business Roundtable v. Securities and Exchange Commission, 68</w:t>
      </w:r>
    </w:p>
    <w:p>
      <w:pPr>
        <w:spacing w:after="80"/>
      </w:pPr>
      <w:r>
        <w:rPr>
          <w:b w:val="0"/>
          <w:i w:val="0"/>
        </w:rPr>
        <w:t>Theodora Holding Corp. v. Henderson, 835</w:t>
      </w:r>
    </w:p>
    <w:p>
      <w:pPr>
        <w:spacing w:after="80"/>
      </w:pPr>
      <w:r>
        <w:rPr>
          <w:b w:val="0"/>
          <w:i w:val="0"/>
        </w:rPr>
        <w:t>Third Point LLC v. Ruprecht, 607</w:t>
      </w:r>
    </w:p>
    <w:p>
      <w:pPr>
        <w:spacing w:after="80"/>
      </w:pPr>
      <w:r>
        <w:rPr>
          <w:b w:val="0"/>
          <w:i w:val="0"/>
        </w:rPr>
        <w:t>Tooley v. Donaldson, Lufkin &amp; Jenrette, Inc., 739</w:t>
      </w:r>
    </w:p>
    <w:p>
      <w:pPr>
        <w:spacing w:after="80"/>
      </w:pPr>
      <w:r>
        <w:rPr>
          <w:b w:val="0"/>
          <w:i w:val="0"/>
        </w:rPr>
        <w:t>Tracinda Corp. v. Daimlerchrysler AG, 942</w:t>
      </w:r>
    </w:p>
    <w:p>
      <w:pPr>
        <w:spacing w:after="80"/>
      </w:pPr>
      <w:r>
        <w:rPr>
          <w:b w:val="0"/>
          <w:i w:val="0"/>
        </w:rPr>
        <w:t>Trinity Wall Street v. Wal-Mart Stores, Inc., 473</w:t>
      </w:r>
    </w:p>
    <w:p>
      <w:pPr>
        <w:spacing w:after="80"/>
      </w:pPr>
      <w:r>
        <w:rPr>
          <w:b w:val="0"/>
          <w:i w:val="0"/>
        </w:rPr>
        <w:t>TSC Industries, Inc. v. Northway, Inc., 679</w:t>
      </w:r>
    </w:p>
    <w:p>
      <w:pPr>
        <w:spacing w:after="80"/>
      </w:pPr>
      <w:r>
        <w:rPr>
          <w:b w:val="0"/>
          <w:i w:val="0"/>
        </w:rPr>
        <w:t>Unitrin Inc. v. American General Corp., 595</w:t>
      </w:r>
    </w:p>
    <w:p>
      <w:pPr>
        <w:spacing w:after="80"/>
      </w:pPr>
      <w:r>
        <w:rPr>
          <w:b w:val="0"/>
          <w:i w:val="0"/>
        </w:rPr>
        <w:t>Unocal Corp. v. Mesa Petroleum Co., 550</w:t>
      </w:r>
    </w:p>
    <w:p>
      <w:pPr>
        <w:spacing w:after="80"/>
      </w:pPr>
      <w:r>
        <w:rPr>
          <w:b w:val="0"/>
          <w:i w:val="0"/>
        </w:rPr>
        <w:t>VantagePoint Venture Partners v. Examen, Inc., 44</w:t>
      </w:r>
    </w:p>
    <w:p>
      <w:pPr>
        <w:spacing w:after="80"/>
      </w:pPr>
      <w:r>
        <w:rPr>
          <w:b w:val="0"/>
          <w:i w:val="0"/>
        </w:rPr>
        <w:t>Weissman v. National Association of Securities Dealers, Inc., 100</w:t>
      </w:r>
    </w:p>
    <w:p>
      <w:pPr>
        <w:spacing w:after="80"/>
      </w:pPr>
      <w:r>
        <w:rPr>
          <w:b w:val="0"/>
          <w:i w:val="0"/>
        </w:rPr>
        <w:t>Wilson v. Louisiana-Pacific Resources, Inc., 39</w:t>
      </w:r>
    </w:p>
    <w:p>
      <w:pPr>
        <w:spacing w:after="80"/>
      </w:pPr>
      <w:r>
        <w:rPr>
          <w:b w:val="0"/>
          <w:i w:val="0"/>
        </w:rPr>
        <w:t>Yucaipa American Alliance Fund II, LP v. Riggio, 598</w:t>
      </w:r>
    </w:p>
    <w:p>
      <w:pPr>
        <w:spacing w:after="80"/>
      </w:pPr>
      <w:r>
        <w:rPr>
          <w:b w:val="0"/>
          <w:i w:val="0"/>
        </w:rPr>
        <w:t>Zapata Corp. v. Maldonado, 760</w:t>
      </w:r>
    </w:p>
    <w:p>
      <w:pPr>
        <w:pStyle w:val="Heading1"/>
      </w:pPr>
      <w:r>
        <w:rPr>
          <w:rFonts w:ascii="Calibri" w:hAnsi="Calibri"/>
          <w:b/>
          <w:i w:val="0"/>
          <w:sz w:val="40"/>
        </w:rPr>
        <w:t>Lời nói đầu</w:t>
      </w:r>
    </w:p>
    <w:p>
      <w:pPr>
        <w:spacing w:after="80"/>
      </w:pPr>
      <w:r>
        <w:rPr>
          <w:b w:val="0"/>
          <w:i w:val="0"/>
        </w:rPr>
        <w:t>Viết một cuốn sách giáo khoa về quản trị doanh nghiệp (corporate governance) là một việc đặc biệt khó khăn. Giống như mọi cuốn sách giáo khoa khác, nó phải cung cấp một cái nhìn tổng quan về một lĩnh vực pháp luật theo cách đủ dễ tiếp cận cho giảng viên đang giảng dạy lớp học và cho sinh viên đang cố gắng hiểu lĩnh vực đó. Tuy nhiên, quản trị doanh nghiệp là một chủ đề đặc biệt thách thức để khai triển trong một cuốn sách tình huống (casebook) vì hai lý do.</w:t>
      </w:r>
    </w:p>
    <w:p>
      <w:pPr>
        <w:spacing w:after="80"/>
      </w:pPr>
      <w:r>
        <w:rPr>
          <w:b w:val="0"/>
          <w:i w:val="0"/>
        </w:rPr>
        <w:t>Thứ nhất, lĩnh vực này liên quan đến một cấu trúc quản lý phức tạp, là sản phẩm phụ không phải của lý trí mà của sự phụ thuộc vào lộ trình (path dependency). Các thông lệ quản trị có thể xuất phát từ chính phủ liên bang, đặc biệt là Ủy ban Chứng khoán và Giao dịch (Securities and Exchange Commission), từ chính quyền tiểu bang, với Delaware là nhân tố chủ đạo, và từ các sở giao dịch chứng khoán, những tổ chức tự quản (self-regulatory organizations) là các công ty vì lợi nhuận có trách nhiệm quản lý. Mỗi cơ quan quản lý có một cách tiếp cận triết lý khác nhau và nỗ lực thúc đẩy các mục tiêu chính sách của riêng mình. Hơn nữa, các cơ chế thực thi cũng khác nhau. Ví dụ, việc thực thi tư nhân (private enforcement) là một công cụ thực thi quan trọng theo luật chứng khoán liên bang nhưng không phải theo các quy định của sở giao dịch chứng khoán.</w:t>
      </w:r>
    </w:p>
    <w:p>
      <w:pPr>
        <w:spacing w:after="80"/>
      </w:pPr>
      <w:r>
        <w:rPr>
          <w:b w:val="0"/>
          <w:i w:val="0"/>
        </w:rPr>
        <w:t>Đồng thời, khuôn khổ pháp lý đã ở trong trạng thái biến động đáng kể. Trước đây, mọi việc được phân chia gọn gàng giữa SEC và các bang. Khi được thành lập vào năm 1934, SEC được giao nhiệm vụ quản lý việc công bố thông tin của doanh nghiệp, đặc biệt là công bố thông tin tài chính, trong khi các bang tiếp tục quản lý các tiêu chuẩn thực chất của quản trị doanh nghiệp. Nhưng để đối phó với nhiều vụ bê bối và khủng hoảng doanh nghiệp khác nhau—đáng kể nhất là sau sự sụp đổ của Enron và WorldCom vào năm 2001 và 2002—sự phân chia quyền lực thời hậu Khủng hoảng đã thay đổi.</w:t>
      </w:r>
    </w:p>
    <w:p>
      <w:pPr>
        <w:spacing w:after="80"/>
      </w:pPr>
      <w:r>
        <w:rPr>
          <w:b w:val="0"/>
          <w:i w:val="0"/>
        </w:rPr>
        <w:t>Khi thông qua Đạo luật Sarbanes-Oxley vào năm 2002, Quốc hội đã trao cho SEC quyền hạn rộng rãi hơn đối với thực chất của quản trị doanh nghiệp, đặc biệt là liên quan đến cơ cấu hội đồng quản trị. Quốc hội tiếp tục xu hướng liên bang hóa này bằng việc ban hành Đạo luật Cải cách Phố Wall và Bảo vệ Người tiêu dùng Dodd-Frank vào năm 2010. Dodd-Frank, trong số những điều khác, đã làm rõ quyền hạn của SEC trong việc cho phép cổ đông đưa các ứng viên của họ vào hội đồng quản trị vào bản tuyên bố ủy quyền của công ty và trao cho cơ quan này quyền hạn lớn hơn để định nghĩa tính độc lập của giám đốc.</w:t>
      </w:r>
    </w:p>
    <w:p>
      <w:pPr>
        <w:spacing w:after="80"/>
      </w:pPr>
      <w:r>
        <w:rPr>
          <w:b w:val="0"/>
          <w:i w:val="0"/>
        </w:rPr>
        <w:t>Thứ hai, luật quản trị doanh nghiệp đã trở nên vô cùng năng động. Trong một thời gian, lĩnh vực này có phần yên ắng. Các công ty đại chúng được điều hành bởi các giám đốc điều hành với sự can thiệp không thường xuyên của hội đồng quản trị. Hội đồng quản trị chủ yếu bao gồm nhân viên công ty hoặc những người khác có mối liên hệ tài chính với công ty. Cổ đông chủ yếu thụ động. Khi nhà đầu tư trở nên không hài lòng với ban điều hành, lựa chọn thực sự duy nhất của họ là thực hiện quyền của mình theo Quy tắc Phố Wall; họ bán cổ phần và rời khỏi công ty.</w:t>
      </w:r>
    </w:p>
    <w:p>
      <w:pPr>
        <w:spacing w:after="80"/>
      </w:pPr>
      <w:r>
        <w:rPr>
          <w:b w:val="0"/>
          <w:i w:val="0"/>
        </w:rPr>
        <w:t>Tuy nhiên, nhiều điều đã thay đổi. Các nhà đầu tư tổ chức hiện sở hữu khoảng hai phần ba số cổ phần đang lưu hành của các công ty đại chúng Hoa Kỳ. Cùng với sự thống trị ngày càng tăng của các cổ đông tổ chức, và sự tập trung ngày càng tăng của cổ phiếu công ty đại chúng trong danh mục đầu tư của các tổ chức lớn nhất, là sự tham gia ngày càng tăng của cổ đông. Cổ đông đã tìm kiếm vai trò lớn hơn trong quản trị doanh nghiệp. Trong số những điều khác, Quốc hội và SEC đã trao cho cổ đông nhiều tiếng nói hơn trong việc bầu chọn giám đốc và một cuộc bỏ phiếu tư vấn về thù lao điều hành. Đồng thời, cổ đông đã sử dụng hành động tư nhân cho các cải cách khác bao gồm yêu cầu bỏ phiếu đa số cho giám đốc và quyền truy cập lớn hơn vào bản tuyên bố ủy quyền của công ty cho các ứng viên của họ.</w:t>
      </w:r>
    </w:p>
    <w:p>
      <w:pPr>
        <w:spacing w:after="80"/>
      </w:pPr>
      <w:r>
        <w:rPr>
          <w:b w:val="0"/>
          <w:i w:val="0"/>
        </w:rPr>
        <w:t>Tương tự, hội đồng quản trị doanh nghiệp đã trải qua những thay đổi cấu trúc đáng kể. Tính độc lập của giám đốc đã nổi lên như phương pháp được chấp nhận để giảm chi phí đại diện do ban điều hành gây ra. Kết quả là, người nội bộ (ngoại trừ CEO) hầu như đã bị loại khỏi hội đồng quản trị công ty đại chúng. Vai trò của giám đốc bên ngoài với tư cách là người giám sát ban điều hành đã được tăng cường. Ví dụ, luật liên bang yêu cầu các giám đốc độc lập trong ủy ban kiểm toán của công ty đại chúng, chứ không phải CEO, có quyền thuê và sa thải kế toán viên độc lập của công ty.</w:t>
      </w:r>
    </w:p>
    <w:p>
      <w:pPr>
        <w:spacing w:after="80"/>
      </w:pPr>
      <w:r>
        <w:rPr>
          <w:b w:val="0"/>
          <w:i w:val="0"/>
        </w:rPr>
        <w:t>Sự phát triển khác là sự tham gia ngày càng tăng của lợi ích công chúng vào quá trình phát triển quản trị. Có thời, quản trị phần lớn là vấn đề giữa chủ sở hữu và người quản lý. Điều đó không còn đúng nữa. Công chúng đã quan tâm đến các nỗ lực xây dựng quy tắc của SEC. Khi SEC đề xuất một quy tắc tìm cách yêu cầu các công ty công bố tỷ lệ giữa thù lao trả cho nhân viên trung vị và CEO, hơn 280,000 thư bình luận đã được nhận. Tương tự, một kiến nghị xây dựng quy tắc tìm cách công bố bắt buộc các khoản đóng góp chính trị đã thu hút hơn một triệu bình luận. Tương tự, Quốc hội đã bắt đầu áp đặt các yêu cầu công bố thông tin nhắm vào công chúng thay vì cổ đông.</w:t>
      </w:r>
    </w:p>
    <w:p>
      <w:pPr>
        <w:spacing w:after="80"/>
      </w:pPr>
      <w:r>
        <w:rPr>
          <w:b w:val="0"/>
          <w:i w:val="0"/>
        </w:rPr>
        <w:t>Trong Dodd-Frank, ví dụ, Quốc hội đã ra lệnh các quy tắc yêu cầu các công ty công bố việc sử dụng "khoáng sản xung đột" của họ, một yêu cầu ít liên quan đến tối đa hóa lợi nhuận và mọi thứ liên quan đến việc công khai việc mua lại khoáng sản của doanh nghiệp được sử dụng để tạo điều kiện cho bạo lực ở các vùng của châu Phi. Chỉ riêng việc Quốc hội, trong Sarbanes-Oxley và Dodd-Frank, đã chọn can thiệp vào quá trình quản trị cho thấy rằng các cải cách sẽ ngày càng được xác định nhiều hơn bởi lợi ích của cử tri thay vì lợi ích của chủ sở hữu và người quản lý. Điều này hứa hẹn sẽ thêm sự không chắc chắn đáng kể vào quá trình tiến hóa.</w:t>
      </w:r>
    </w:p>
    <w:p>
      <w:pPr>
        <w:spacing w:after="80"/>
      </w:pPr>
      <w:r>
        <w:rPr>
          <w:b w:val="0"/>
          <w:i w:val="0"/>
        </w:rPr>
        <w:t>Cuốn sách giáo khoa này cố gắng làm sáng tỏ và thích ứng cả khuôn khổ pháp lý phức tạp và tính chất năng động của luật quản trị doanh nghiệp. Các chương thường bao gồm cả ba lĩnh vực quy định—liên bang, tiểu bang và SRO. Chúng tôi xem xét quản trị doanh nghiệp như luật thực định, nhưng chúng tôi cũng bao gồm các quan điểm quy phạm và thậm chí thực nghiệm về học thuyết. Chúng tôi đã kết hợp các thảo luận về những phát triển mới và thực tiễn đang phát triển, thường trong các bình luận và câu hỏi sau mỗi phần. Tuy nhiên, lĩnh vực luật này, theo định nghĩa, đại diện cho một sự cân bằng phức tạp mà chúng tôi, với tư cách là tác giả, đã cố gắng mô tả, và các bạn, đội ngũ giảng viên và sinh viên sử dụng cuốn sách giáo khoa, sẽ khám phá trong quá trình sư phạm.</w:t>
      </w:r>
    </w:p>
    <w:p>
      <w:pPr>
        <w:spacing w:after="80"/>
      </w:pPr>
      <w:r>
        <w:rPr>
          <w:b w:val="0"/>
          <w:i w:val="0"/>
        </w:rPr>
        <w:t>Vì chúng tôi đã viết cuốn sách này như một công cụ giảng dạy, chúng tôi đã biên tập các vụ án và tài liệu khác rất nhiều để hỗ trợ khả năng đọc của văn bản. Các trích dẫn và chú thích thường đã được lược bỏ, phần lớn không có chỉ dẫn. Mặc dù ấn bản thứ hai này không bao gồm một phụ lục luật riêng, chúng tôi đã bao gồm, trong văn bản, các trích đoạn của các luật và quy định chính, và tất nhiên, các bản sao đầy đủ của các luật và quy tắc liên quan có thể dễ dàng truy cập trên internet.</w:t>
      </w:r>
    </w:p>
    <w:p>
      <w:pPr>
        <w:spacing w:after="80"/>
      </w:pPr>
      <w:r>
        <w:rPr>
          <w:b w:val="0"/>
          <w:i w:val="0"/>
        </w:rPr>
        <w:t>Chúng tôi sẽ thiếu sót nếu không đề cập đến một số người đã giúp chúng tôi với cuốn sách giáo khoa này. Steven E. Baum đã làm một công việc tuyệt vời trong việc xin phê duyệt bản quyền, trong đó có rất nhiều. Sana Hamelin, JP Thibeault, Susan Beblavi, và Samual Hagreen đã có nhiệm vụ không mấy dễ chịu là đọc các chương và loại bỏ các lỗi có thể len lỏi vào một bản thảo có kích thước như thế này. Họ đã thực hiện ở mức cao nhất. Robert Hutchison, Andrew Smith, Catherine Zung, và thủ thư Warren Rees đã đóng góp kỹ năng nghiên cứu xuất sắc của họ cho dự án này trong nhiều tháng, và Robert, Catherine, và Andrew cũng đã hỗ trợ với nhiệm vụ thường tẻ nhạt là biên tập các vụ án và những thứ tương tự. Suzie Vervynckt đã ân cần giúp định dạng văn bản. Chúng tôi biết ơn tất cả những đóng góp của họ . . . và sự hài hước tốt của họ!</w:t>
      </w:r>
    </w:p>
    <w:p>
      <w:pPr>
        <w:spacing w:after="80"/>
      </w:pPr>
      <w:r>
        <w:rPr>
          <w:b w:val="0"/>
          <w:i w:val="0"/>
        </w:rPr>
        <w:t>Chúng tôi mong nhận được bình luận và đề xuất của bạn.</w:t>
      </w:r>
    </w:p>
    <w:p>
      <w:pPr>
        <w:spacing w:after="80"/>
        <w:jc w:val="right"/>
      </w:pPr>
      <w:r>
        <w:rPr>
          <w:b w:val="0"/>
          <w:i w:val="0"/>
        </w:rPr>
        <w:t>J. Robert Brown, Jr.</w:t>
      </w:r>
      <w:r>
        <w:br/>
      </w:r>
      <w:r>
        <w:rPr>
          <w:b w:val="0"/>
          <w:i w:val="0"/>
        </w:rPr>
        <w:t xml:space="preserve"> Lisa L. Casey</w:t>
      </w:r>
      <w:r>
        <w:br/>
      </w:r>
      <w:r>
        <w:rPr>
          <w:b w:val="0"/>
          <w:i w:val="0"/>
        </w:rPr>
        <w:t xml:space="preserve"> June 15, 2016</w:t>
      </w:r>
    </w:p>
    <w:p>
      <w:pPr>
        <w:pStyle w:val="Heading1"/>
      </w:pPr>
      <w:r>
        <w:rPr>
          <w:rFonts w:ascii="Calibri" w:hAnsi="Calibri"/>
          <w:b/>
          <w:i w:val="0"/>
          <w:sz w:val="40"/>
        </w:rPr>
        <w:t>Chương 1</w:t>
      </w:r>
    </w:p>
    <w:p>
      <w:pPr>
        <w:pStyle w:val="Heading1"/>
      </w:pPr>
      <w:r>
        <w:rPr>
          <w:rFonts w:ascii="Calibri" w:hAnsi="Calibri"/>
          <w:b/>
          <w:i w:val="0"/>
          <w:sz w:val="40"/>
        </w:rPr>
        <w:t>Giới thiệu về Quản trị Doanh nghiệp</w:t>
      </w:r>
    </w:p>
    <w:p>
      <w:pPr>
        <w:spacing w:after="80"/>
      </w:pPr>
      <w:r>
        <w:rPr>
          <w:b w:val="0"/>
          <w:i w:val="0"/>
        </w:rPr>
        <w:t>Chỉ ba mươi năm trước, thuật ngữ "quản trị doanh nghiệp" hiếm khi xuất hiện "bên ngoài thế giới bí ẩn của các văn bản trường luật và luận thuyết học thuật." Tuy nhiên, ngày nay, quản trị doanh nghiệp là một chủ đề được công chúng quan tâm đáng kể và gây tranh cãi. Các chuyên gia quản trị doanh nghiệp được trích dẫn trong các báo cáo báo chí thường xuyên về việc quản lý yếu kém của công ty đại chúng và thù lao điều hành quá mức. Các chính trị gia và nhà bình luận tranh luận về các đề xuất cải cách quản trị doanh nghiệp. Các cổ đông tổ chức nhận thông tin từ các cố vấn quản trị doanh nghiệp về cách đầu tư tiền của họ và bỏ phiếu cổ phần của họ. Các công ty nghiên cứu đánh giá các công ty đại chúng theo chất lượng thực tiễn quản trị doanh nghiệp của họ. Các luật sư chuyên về thực hành quản trị doanh nghiệp, và các công ty luật xuất bản các bản tin quản trị doanh nghiệp. Quản trị doanh nghiệp không chỉ là một lĩnh vực nghiên cứu chuyên môn và học thuật ngày càng quan trọng, mà quản trị doanh nghiệp đã trở thành một chủ đề được đánh giá lại liên tục về mặt lập pháp và quy định ở Hoa Kỳ và quốc tế.</w:t>
      </w:r>
    </w:p>
    <w:p>
      <w:pPr>
        <w:spacing w:after="80"/>
      </w:pPr>
      <w:r>
        <w:rPr>
          <w:b w:val="0"/>
          <w:i w:val="0"/>
        </w:rPr>
        <w:t>Đặc biệt trong thập kỷ qua, quản trị của các công ty đại chúng Hoa Kỳ đã bị chỉ trích gay gắt từ các quan chức được bầu, những người ủng hộ cổ đông, và các học giả. Những lo ngại như vậy đã thống trị các tiêu đề kinh doanh bắt đầu từ năm 2002, sau những tiết lộ về gian lận tài chính quy mô lớn và việc tự giao dịch tai tiếng của ban điều hành tại Enron, WorldCom, Tyco, và hàng chục công ty đại chúng lớn khác. Các nhà quan sát đã hỏi một cách hợp lý, "Các giám đốc đã ở đâu?" Và câu trả lời đáng lo ngại, theo nhiều nhà phê bình, là các thành viên hội đồng quản trị doanh nghiệp đã cố ý nhắm mắt trước hành vi sai trái của ban điều hành cho đến khi quá muộn. Các công ty đã thất bại hoặc gần như thất bại. Cổ đông đã mất hàng tỷ đồng tiết kiệm và rút lui khỏi thị trường chứng khoán. Niềm tin của công chúng vào doanh nghiệp và các nhà lãnh đạo doanh nghiệp đã giảm mạnh.</w:t>
      </w:r>
    </w:p>
    <w:p>
      <w:pPr>
        <w:spacing w:after="80"/>
      </w:pPr>
      <w:r>
        <w:rPr>
          <w:b w:val="0"/>
          <w:i w:val="0"/>
        </w:rPr>
        <w:t>Đáp lại làn sóng phản đối của công chúng và giá cổ phiếu lao dốc, chính phủ liên bang đã hành động. Tổng thống George W. Bush đã đề cập đến quản trị doanh nghiệp trong bài phát biểu Thông điệp Liên bang năm 2002, và Quốc hội đã ban hành luật thay đổi các thông lệ trong phòng họp hội đồng quản trị. Đạo luật Sarbanes-Oxley năm 2002 (Sarbanes-Oxley hay SOX) đã bắt buộc các thủ tục quản trị doanh nghiệp cụ thể đối với các công ty đại chúng, thể chế hóa cải cách “bằng cách chuyển đổi những gì trước đây là các thông lệ tốt nhất mang tính tự nguyện ‘nên có’ thành các tiêu chuẩn tối thiểu ‘phải có’ đối với cơ cấu, thành phần và ở một mức độ nào đó là trách nhiệm của hội đồng quản trị.” Hơn nữa, Sở Giao dịch Chứng khoán New York và NASDAQ đã sửa đổi các yêu cầu niêm yết của họ, điều chỉnh quy định để yêu cầu các công ty niêm yết phải thực hiện các thông lệ tốt nhất trong phòng họp hội đồng quản trị. Sự xói mòn niềm tin của nhà đầu tư thậm chí còn thúc đẩy các hiệp hội ngành và từng công ty riêng lẻ tự nguyện hành động để khắc phục những thiếu sót được nhận thấy. Các hội đồng quản trị đã sa thải những “CEO đế chế” tại các công ty đại chúng nổi tiếng như Disney và Hewlett-Packard. Bắt đầu từ quý cuối năm 2002, giá cổ phiếu tăng đều đặn. Dường như nước Mỹ doanh nghiệp đã hồi phục.</w:t>
      </w:r>
    </w:p>
    <w:p>
      <w:pPr>
        <w:spacing w:after="80"/>
      </w:pPr>
      <w:r>
        <w:rPr>
          <w:b w:val="0"/>
          <w:i w:val="0"/>
        </w:rPr>
        <w:t xml:space="preserve">Tuy nhiên, vào năm 2008, thị trường tài chính lại trải qua một cuộc khủng hoảng khác, thậm chí còn tốn kém hơn. Bất chấp cả những cải cách quản trị doanh nghiệp do chính phủ bắt buộc lẫn tự nguyện, giá cổ phiếu doanh nghiệp đã giảm trong năm 2008 nhiều hơn bất kỳ năm dương lịch nào khác kể từ Đại Suy thoái. Người nộp thuế đã cứu trợ các tổ chức tài chính quá lớn để sụp đổ của quốc gia, cung cấp khoảng 700 tỷ đô la cho các ngân hàng khổng lồ. Ngoài việc chỉ trích sự giám sát yếu kém của các giám đốc điều hành ngân hàng cấp cao, một số nhà bình luận còn đổ lỗi cho sự sụp đổ của thị trường (hoặc ít nhất là mức độ nghiêm trọng của cuộc khủng hoảng tài chính) là do quản lý rủi ro kém cỏi của hội đồng quản trị các tổ chức tài chính lớn. Các giám đốc Phố Wall cũng bị chỉ trích vì đã phê duyệt các thông lệ thù lao điều hành khuyến khích chấp nhận rủi ro quá mức. Cùng với lòng tham của các giám đốc điều hành, sự giám sát tồi tệ của các giám đốc đối với ban quản lý cũng được viện dẫn như nguyên nhân dẫn đến sự sụp đổ của Bear Stearns, sự phá sản của Lehman Brothers và những thất bại doanh nghiệp khác trong năm 2008 và 2009. Một bài bình luận trên tạp chí </w:t>
      </w:r>
      <w:r>
        <w:rPr>
          <w:b w:val="0"/>
          <w:i/>
        </w:rPr>
        <w:t>Business Week</w:t>
      </w:r>
      <w:r>
        <w:rPr>
          <w:b w:val="0"/>
          <w:i w:val="0"/>
        </w:rPr>
        <w:t xml:space="preserve"> tuyên bố: “Các hội đồng quản trị lại thất bại.” Một bài khác, đăng trên </w:t>
      </w:r>
      <w:r>
        <w:rPr>
          <w:b w:val="0"/>
          <w:i/>
        </w:rPr>
        <w:t>New York Times</w:t>
      </w:r>
      <w:r>
        <w:rPr>
          <w:b w:val="0"/>
          <w:i w:val="0"/>
        </w:rPr>
        <w:t>, hỏi: “Cần một công việc? 17.000 đô la một giờ. Không cần thành công.”</w:t>
      </w:r>
    </w:p>
    <w:p>
      <w:pPr>
        <w:spacing w:after="80"/>
      </w:pPr>
      <w:r>
        <w:rPr>
          <w:b w:val="0"/>
          <w:i w:val="0"/>
        </w:rPr>
        <w:t>Biến động tài chính và suy thoái kinh tế đã tạo ra sự ủng hộ chính trị mới cho cải cách quản trị doanh nghiệp, đặc biệt là tại các ngân hàng lớn thống trị lĩnh vực tài chính. Các nhà đầu tư hoạt động và những người ủng hộ họ đã vận động Quốc hội và Ủy ban Chứng khoán và Giao dịch tăng quyền biểu quyết của họ bằng cách cho phép cổ đông đề cử giám đốc trên lá phiếu của công ty. Cổ đông cũng kêu gọi các nhà lập pháp cho họ tiếng nói lớn hơn trong việc phê duyệt thù lao điều hành. Đạo luật Cải cách Phố Wall và Bảo vệ Người tiêu dùng Dodd-Frank (Dodd-Frank), được Quốc hội ban hành năm 2010, bao gồm một số điều khoản đáp ứng yêu cầu của cổ đông. Liệu những đổi mới này, cùng với các cải cách quản trị doanh nghiệp tự nguyện khác, đã nâng cao hay làm suy yếu giá trị cổ đông là những câu hỏi đã tạo ra nhiều cuộc thảo luận và bất đồng đáng kể.</w:t>
      </w:r>
    </w:p>
    <w:p>
      <w:pPr>
        <w:pStyle w:val="Heading2"/>
      </w:pPr>
      <w:r>
        <w:rPr>
          <w:rFonts w:ascii="Calibri" w:hAnsi="Calibri"/>
          <w:b/>
          <w:i w:val="0"/>
          <w:sz w:val="32"/>
        </w:rPr>
        <w:t>I. Quản trị doanh nghiệp là gì?</w:t>
      </w:r>
    </w:p>
    <w:p>
      <w:pPr>
        <w:spacing w:after="80"/>
      </w:pPr>
      <w:r>
        <w:rPr>
          <w:b w:val="0"/>
          <w:i w:val="0"/>
        </w:rPr>
        <w:t>Quản trị doanh nghiệp nói chung đề cập đến hàng loạt các nguyên tắc và thông lệ pháp lý lẫn phi pháp lý ảnh hưởng đến việc kiểm soát các công ty kinh doanh đại chúng. Mặc dù thuật ngữ “quản trị doanh nghiệp” dường như áp dụng cho bất kỳ hiệp hội kinh doanh đã đăng ký thành lập nào, việc nghiên cứu quản trị doanh nghiệp chủ yếu liên quan đến việc xem xét các công ty đại chúng; tức là những công ty mà chứng khoán được giao dịch trên các thị trường đầu tư có tính thanh khoản, thường là trên các sàn giao dịch được quản lý. Rộng nhất, quản trị doanh nghiệp không chỉ ảnh hưởng đến việc ai kiểm soát các công ty đại chúng và vì mục đích gì mà còn ảnh hưởng đến việc phân bổ rủi ro và lợi nhuận từ hoạt động của công ty giữa các bên tham gia khác nhau trong công ty, bao gồm cổ đông và nhà quản lý cũng như chủ nợ, nhân viên, khách hàng và thậm chí cả cộng đồng. Tuy nhiên, học thuyết quản trị doanh nghiệp Mỹ chủ yếu quy định các quyền kiểm soát và trách nhiệm liên quan của ba nhóm chính: (1) cổ đông của công ty, những người cung cấp vốn và phải phê duyệt các giao dịch lớn của công ty, (2) hội đồng quản trị của công ty, được cổ đông bầu ra để giám sát việc quản lý công ty, và (3) các giám đốc điều hành cấp cao của công ty, những người chịu trách nhiệm về hoạt động hàng ngày của công ty. Như Tòa án Tối cao Delaware đã tuyên bố: “Các nguyên tắc cơ bản nhất của quản trị doanh nghiệp là một hàm số của việc phân bổ quyền lực trong một công ty giữa cổ đông và hội đồng quản trị.” Do đó, cuốn sách tình huống này tập trung chủ yếu vào mối quan hệ giữa cổ đông công ty đại chúng và các giám đốc cùng các quan chức được giao nhiệm vụ quản lý những công ty đó.</w:t>
      </w:r>
    </w:p>
    <w:p>
      <w:pPr>
        <w:spacing w:after="80"/>
      </w:pPr>
      <w:r>
        <w:rPr>
          <w:b w:val="0"/>
          <w:i w:val="0"/>
        </w:rPr>
        <w:t>Quản trị doanh nghiệp định hướng hành vi của ban quản lý doanh nghiệp, khuyến khích sử dụng hiệu quả nguồn lực công ty và buộc ban quản lý phải chịu trách nhiệm về việc lạm dụng những nguồn lực đó. Áp dụng các thông lệ quản trị phù hợp, các công ty thuê và tạo động lực cho các nhà quản lý chuyên nghiệp có kỹ năng. Các cơ cấu quản trị vững mạnh cũng giúp các công ty hiểu rõ hơn các nguồn rủi ro, bao gồm cả những mối đe dọa mới chớm nở đối với công ty. Quản trị doanh nghiệp mạnh mẽ giúp đảm bảo rằng những người quản lý công ty sử dụng hiệu quả vốn đầu tư, giảm rủi ro đầu tư và đóng góp vào tăng trưởng. Những người ủng hộ quản trị mạnh mẽ lập luận rằng các thông lệ tốt nhất nâng cao cả hiệu quả hoạt động của công ty lẫn sự vận hành tốt của thị trường chứng khoán.</w:t>
      </w:r>
    </w:p>
    <w:p>
      <w:pPr>
        <w:spacing w:after="80"/>
      </w:pPr>
      <w:r>
        <w:rPr>
          <w:b w:val="0"/>
          <w:i w:val="0"/>
        </w:rPr>
        <w:t>Có lẽ vì “quản trị” (governance) gợi lên “chính phủ” (government), một số nhà quan sát đã sử dụng ngôn ngữ của khoa học chính trị, và thậm chí chuyển giao các lý thuyết về thể chế cộng hòa, vào các tường thuật quy phạm của họ về quyền và nghĩa vụ của các chủ thể doanh nghiệp. Những người thảo luận này nói về các cơ cấu “tam quyền”, các hệ thống “kiểm tra và cân bằng” vận hành trong công ty, và quyền “bầu cử” của cổ đông cùng “nền dân chủ” doanh nghiệp. Các nhà lý thuyết vẽ ra sự tương đồng giữa hội đồng quản trị với nhánh lập pháp và giữa các giám đốc điều hành doanh nghiệp với nhánh hành pháp. Tuy nhiên, các công ty đại chúng thực tế sử dụng các cơ cấu quản trị đa dạng, dù trong giới hạn của các quy tắc pháp lý hiện hành và tiêu chuẩn niêm yết trên thị trường chứng khoán. Thật vậy, theo luật công ty của bang mang tính cho phép, các văn bản hiến định của chính công ty—điều lệ và quy chế của nó—phần lớn quyết định việc phân bổ quyền lực giữa hội đồng quản trị, các nhà quản lý điều hành và cổ đông của công ty.</w:t>
      </w:r>
    </w:p>
    <w:p>
      <w:pPr>
        <w:pStyle w:val="Heading2"/>
      </w:pPr>
      <w:r>
        <w:rPr>
          <w:rFonts w:ascii="Calibri" w:hAnsi="Calibri"/>
          <w:b/>
          <w:i w:val="0"/>
          <w:sz w:val="32"/>
        </w:rPr>
        <w:t>II. Ai là ai trong quản trị doanh nghiệp</w:t>
      </w:r>
    </w:p>
    <w:p>
      <w:pPr>
        <w:spacing w:after="80"/>
      </w:pPr>
      <w:r>
        <w:rPr>
          <w:b w:val="0"/>
          <w:i w:val="0"/>
        </w:rPr>
        <w:t>Vì một công ty không thể làm gì hơn những gì các cá nhân hành động nhân danh hoặc thay mặt nó có thể làm, nên việc điểm qua ngắn gọn danh tính và vai trò của những người thường xuyên giao dịch, tác động và chịu tác động bởi công ty là hữu ích.</w:t>
      </w:r>
    </w:p>
    <w:p>
      <w:pPr>
        <w:pStyle w:val="Heading3"/>
      </w:pPr>
      <w:r>
        <w:rPr>
          <w:rFonts w:ascii="Calibri" w:hAnsi="Calibri"/>
          <w:b/>
          <w:i w:val="0"/>
          <w:sz w:val="26"/>
        </w:rPr>
        <w:t>A. Các giám đốc</w:t>
      </w:r>
    </w:p>
    <w:p>
      <w:pPr>
        <w:spacing w:after="80"/>
      </w:pPr>
      <w:r>
        <w:rPr>
          <w:b w:val="0"/>
          <w:i w:val="0"/>
        </w:rPr>
        <w:t>Hoạt động với tư cách một hội đồng, các giám đốc nói chung giám sát các hoạt động của công ty. Đường nét chính xác về quyền hạn của hội đồng thường được quy định rõ trong quy chế công ty, nhưng hầu hết các hội đồng chịu trách nhiệm chọn các quan chức, phê duyệt các quyết định lớn và cung cấp cho cổ đông bản báo cáo về các hoạt động của công ty. Mục 141 của Luật Công ty Đại cương Delaware yêu cầu quy chế của công ty phải ấn định số lượng giám đốc trong hội đồng, trừ khi số đó được nêu trong giấy chứng nhận thành lập.</w:t>
      </w:r>
    </w:p>
    <w:p>
      <w:pPr>
        <w:spacing w:after="80"/>
      </w:pPr>
      <w:r>
        <w:rPr>
          <w:b w:val="0"/>
          <w:i w:val="0"/>
        </w:rPr>
        <w:t>Cổ đông bầu giám đốc hàng năm tại đại hội đồng cổ đông hoặc, thuận tiện hơn, bằng cách bỏ phiếu ủy quyền. Yêu cầu cổ đông bầu ra hội đồng quản trị phân biệt công ty với các hình thức tổ chức kinh doanh khác được thành lập theo luật bang. Các đề cử cho lá phiếu bầu giám đốc do hội đồng hoặc, chính xác hơn, do một ủy ban đề cử gồm các thành viên hội đồng thực hiện. Cổ đông hiếm khi đề cử ứng viên, vì những lý do được thảo luận trong Chương 8. Các giám đốc cũng có thể bị cổ đông bãi miễn. Trừ khi có quy định khác, đa số cổ đông có quyền biểu quyết tại bất kỳ đại hội đồng cổ đông nào đều có thể bãi miễn một giám đốc. Luật Công ty Đại cương của Delaware cũng cho phép phân chia nhiệm kỳ của các giám đốc theo từng nhóm để hội đồng không thay đổi hoàn toàn sau mỗi kỳ bầu cử.</w:t>
      </w:r>
    </w:p>
    <w:p>
      <w:pPr>
        <w:spacing w:after="80"/>
      </w:pPr>
      <w:r>
        <w:rPr>
          <w:b w:val="0"/>
          <w:i w:val="0"/>
        </w:rPr>
        <w:t>Điều quan trọng là, các giám đốc phải là thể nhân, nghĩa là các công ty, hợp danh hoặc thực thể khác không thể làm thành viên hội đồng. Mục 141(b) của Delaware nêu rõ rằng giám đốc không nhất thiết phải là cổ đông, mặc dù giấy chứng nhận thành lập hoặc quy chế có thể quy định các tiêu chuẩn cần thiết cho thành viên hội đồng. Trong nhiều công ty, một hoặc nhiều giám đốc điều hành sẽ làm giám đốc. Các giám đốc đồng thời được công ty tuyển dụng thường được gọi là “giám đốc nội bộ”, và họ thường sở hữu cổ phần trong công ty. Ngược lại, các giám đốc không có vai trò quản lý hoặc vị trí việc làm nào khác tại công ty được coi là “giám đốc bên ngoài”. Vì các giám đốc bên ngoài không có chức năng quản lý nào khác trong công ty, họ thường mang đến những góc nhìn và chuyên môn độc đáo cho hội đồng. Mặt khác, vì các giám đốc bên ngoài không tham gia vào hoạt động hàng ngày của công ty, họ thường phải được thông báo về thông tin liên quan trước khi có thể xem xét và biểu quyết về các đề xuất đưa ra trước hội đồng. Như chúng ta sẽ thấy, các giám đốc bên ngoài tất yếu sẽ dựa vào các giám đốc nội bộ, các nhà quản lý doanh nghiệp khác và các chuyên gia để có thông tin.</w:t>
      </w:r>
    </w:p>
    <w:p>
      <w:pPr>
        <w:pStyle w:val="Heading3"/>
      </w:pPr>
      <w:r>
        <w:rPr>
          <w:rFonts w:ascii="Calibri" w:hAnsi="Calibri"/>
          <w:b/>
          <w:i w:val="0"/>
          <w:sz w:val="26"/>
        </w:rPr>
        <w:t>B. Các quan chức</w:t>
      </w:r>
    </w:p>
    <w:p>
      <w:pPr>
        <w:spacing w:after="80"/>
      </w:pPr>
      <w:r>
        <w:rPr>
          <w:b w:val="0"/>
          <w:i w:val="0"/>
        </w:rPr>
        <w:t>Đôi khi được gọi là các nhà quản lý hoặc giám đốc điều hành, các quan chức là những nhân viên cá nhân của công ty được giao nhiệm vụ điều hành công ty và đưa ra các quyết định kinh doanh hàng ngày. Như đã thảo luận ở trên, các quan chức có thể làm giám đốc trong một số công ty, nhưng nhiều người thì không. Hai vai trò này nên được coi là riêng biệt. Mục 142(a) của Luật Công ty Đại cương Delaware nêu rõ rằng một cá nhân có thể giữ bất kỳ số lượng chức vụ nào miễn là không có gì trong giấy chứng nhận thành lập hoặc quy chế cấm việc đảm nhiệm đó.</w:t>
      </w:r>
    </w:p>
    <w:p>
      <w:pPr>
        <w:spacing w:after="80"/>
      </w:pPr>
      <w:r>
        <w:rPr>
          <w:b w:val="0"/>
          <w:i w:val="0"/>
        </w:rPr>
        <w:t>Trong khi luật của Delaware bao gồm các điều khoản cụ thể liên quan đến việc chọn giám đốc công ty, thì điều tương tự không đúng với các quan chức. Mục 142(b) chỉ quy định rằng các quan chức công ty sẽ được chọn theo bất kỳ cách nào mà quy chế công ty quy định. Điều tương tự cũng đúng với nhiệm kỳ phục vụ của các quan chức. Hơn nữa, nghĩa vụ chính thức duy nhất được mô tả cụ thể trong luật là yêu cầu của Mục 142(a) rằng các biên bản của các cuộc họp cổ đông và cuộc họp hội đồng quản trị phải được ghi lại trong một cuốn sổ được lưu giữ cho mục đích đó. Có lẽ, nhiệm vụ này có thể được giao cho bất kỳ quan chức công ty nào. Các hội đồng quản trị công ty có quyền quyết định rộng rãi trong việc tạo ra các chức vụ và tuyển dụng các giám đốc điều hành để đảm nhiệm những vị trí đó. Thật vậy, chức danh và chức năng của các quan chức có thể và thực tế thay đổi đáng kể giữa các công ty, tùy thuộc vào ngành của công ty, nhu cầu quản lý của doanh nghiệp và thị trường tuyển dụng giám đốc điều hành doanh nghiệp.</w:t>
      </w:r>
    </w:p>
    <w:p>
      <w:pPr>
        <w:spacing w:after="80"/>
      </w:pPr>
      <w:r>
        <w:rPr>
          <w:b w:val="0"/>
          <w:i w:val="0"/>
        </w:rPr>
        <w:t>Trong hầu hết các tập đoàn, giám đốc điều hành cấp cao (hay CEO) là người điều hành có cấp bậc cao nhất. Chịu trách nhiệm đưa ra quyết định cuối cùng cho gần như mọi quyết định vận hành, CEO sẽ nhận báo cáo từ các cán bộ cấp dưới trong tập đoàn. Các CEO thường nổi bật trong vai trò lãnh đạo của mình, đóng vai trò là bộ mặt công chúng của tập đoàn. Không hiếm khi một CEO giao phó nhiều quyết định vận hành thường nhật cho các cán bộ khác trong khi hoạt động tích cực hơn ở mảng chiến lược và hoạch định. Ngoài ra, các CEO của công ty đại chúng Hoa Kỳ cũng không hiếm khi kiêm nhiệm chức chủ tịch hội đồng quản trị, mặc dù tính mong muốn của việc kết hợp hai chức năng này đã ngày càng bị đặt dấu hỏi trong thập kỷ qua. Ở những tập đoàn đã chọn tách biệt các vai trò này, chủ tịch hội đồng quản trị thường là một giám đốc phi điều hành (bên ngoài).</w:t>
      </w:r>
    </w:p>
    <w:p>
      <w:pPr>
        <w:spacing w:after="80"/>
      </w:pPr>
      <w:r>
        <w:rPr>
          <w:b w:val="0"/>
          <w:i w:val="0"/>
        </w:rPr>
        <w:t>Có sự khác biệt lớn về chức danh và chức năng giữa các cán bộ của công ty đại chúng. Một số tập đoàn chọn không chỉ định một người giữ chức chủ tịch công ty. Khi một cán bộ điều hành giữ chức chủ tịch, người đó có khả năng chịu trách nhiệm về hoạt động hằng ngày của công ty, giải phóng CEO để hoạch định chiến lược và tham gia vào việc lập kế hoạch hướng tới tương lai. Ở một tập đoàn không có CEO với chức danh chính thức, chủ tịch thường là cán bộ có cấp bậc cao nhất. Ở một số công ty, cùng một cá nhân có thể vừa là CEO vừa là chủ tịch. Các tập đoàn cũng có thể bổ nhiệm các chủ tịch với quyền hạn giới hạn trong từng bộ phận hoặc khía cạnh của hoạt động kinh doanh (ví dụ: marketing hoặc bán hàng). Một số tập đoàn quyết định bổ nhiệm giám đốc vận hành cấp cao (COO) ngoài hoặc thay cho chủ tịch công ty. Các COO thường quản lý hoạt động kinh doanh hằng ngày của tập đoàn. Cùng một cán bộ điều hành có thể vừa là chủ tịch vừa là COO của tập đoàn.</w:t>
      </w:r>
    </w:p>
    <w:p>
      <w:pPr>
        <w:spacing w:after="80"/>
      </w:pPr>
      <w:r>
        <w:rPr>
          <w:b w:val="0"/>
          <w:i w:val="0"/>
        </w:rPr>
        <w:t>Ở nhiều tập đoàn lớn, đội ngũ cán bộ cấp cao cũng sẽ bao gồm thư ký, thủ quỹ và giám đốc tài chính cấp cao (CFO). Thư ký ghi chép các hoạt động kinh doanh của tập đoàn, bao gồm việc lập biên bản chính thức cho các cuộc họp hội đồng quản trị và họp cổ đông. Ngày càng nhiều, thư ký tập đoàn đảm nhận một vai trò quan trọng khác trong quản trị tập đoàn, tương tác với nhà đầu tư và chuyển những mối quan ngại của họ đến hội đồng quản trị và các cán bộ điều hành cấp cao khác. Thủ quỹ, người cũng có thể kiêm nhiệm vai trò thư ký, chịu trách nhiệm về quỹ của tập đoàn. Thường thì cả thư ký và thủ quỹ đều báo cáo trực tiếp cho hội đồng quản trị. CFO, người cũng có thể kiêm nhiệm thủ quỹ và thậm chí cả thư ký, chịu trách nhiệm về các chức năng tài chính và kế toán của tập đoàn. Ở nhiều công ty, CFO làm việc chặt chẽ với và báo cáo trực tiếp cho CEO của tập đoàn.</w:t>
      </w:r>
    </w:p>
    <w:p>
      <w:pPr>
        <w:pStyle w:val="Heading3"/>
      </w:pPr>
      <w:r>
        <w:rPr>
          <w:rFonts w:ascii="Calibri" w:hAnsi="Calibri"/>
          <w:b/>
          <w:i w:val="0"/>
          <w:sz w:val="26"/>
        </w:rPr>
        <w:t>C. Cổ đông</w:t>
      </w:r>
    </w:p>
    <w:p>
      <w:pPr>
        <w:spacing w:after="80"/>
      </w:pPr>
      <w:r>
        <w:rPr>
          <w:b w:val="0"/>
          <w:i w:val="0"/>
        </w:rPr>
        <w:t>Cổ đông (hay người nắm cổ phần) của các tập đoàn cung cấp vốn cổ phần cho doanh nghiệp. Họ không sở hữu chính tập đoàn, mà như tên gọi cho thấy, họ sở hữu cổ phiếu hoặc cổ phần do tập đoàn phát hành. Mục 151(a) của Luật Tập đoàn Đại cương Delaware cho phép một tập đoàn phát hành cổ phiếu nhưng không bắt buộc tập đoàn phải làm vậy. Tất nhiên, các công ty đại chúng—trọng tâm của cuốn sách tình huống này—đã chấp nhận lời mời phát hành cổ phiếu, thường là nhiều loại cổ phiếu khác nhau với các quyền khác nhau được gán cho mỗi loại.</w:t>
      </w:r>
    </w:p>
    <w:p>
      <w:pPr>
        <w:spacing w:after="80"/>
      </w:pPr>
      <w:r>
        <w:rPr>
          <w:b w:val="0"/>
          <w:i w:val="0"/>
        </w:rPr>
        <w:t>Quyền của cổ đông sẽ phụ thuộc vào loại cổ phiếu họ nắm giữ và các điều khoản mà tập đoàn đã phát hành cổ phần. Nói chung, cổ đông có quyền bỏ phiếu trong việc bầu chọn giám đốc và về các vấn đề quan trọng của tập đoàn, như sửa đổi điều lệ công ty, sáp nhập công ty hoặc bán toàn bộ hay phần lớn tài sản của tập đoàn, và giải thể công ty. Cổ đông cũng có quyền bán cổ phần của mình, và quyền nhận phần còn lại; tức là, tài sản còn lại, nếu có, sau khi tập đoàn đang thanh lý đã thanh toán xong các khoản nợ. Cổ đông cũng được cho là có quyền nhận cổ tức, nếu cổ tức được tuyên bố. Trên thực tế, một số cổ đông có thể được hưởng cổ tức trong khi những người khác thì không, và hơn nữa, tập đoàn nói chung không bắt buộc phải tuyên bố cổ tức.</w:t>
      </w:r>
    </w:p>
    <w:p>
      <w:pPr>
        <w:spacing w:after="80"/>
      </w:pPr>
      <w:r>
        <w:rPr>
          <w:b w:val="0"/>
          <w:i w:val="0"/>
        </w:rPr>
        <w:t>Trong khi tất cả cổ phần trong cùng một loại đều được hưởng các quyền như nhau, có khả năng khác biệt đáng kể giữa các loại cổ phiếu. Một sự phân biệt giữa các loại cổ phiếu là giữa cổ phiếu ưu đãi và cổ phiếu phổ thông. Cổ phiếu ưu đãi thường đi kèm với quyền nhận cổ tức nhưng có thể bị hạn chế về các quyền khác, như quyền biểu quyết và phân chia tài sản sau khi thanh lý. Các tập đoàn cũng có thể phát hành nhiều loại cổ phiếu phổ thông. Mục 151 của luật Delaware chỉ yêu cầu rằng bất kỳ quyền, hạn chế, điều kiện hay giới hạn nào cũng phải được nêu trong giấy chứng nhận thành lập hoặc trong nghị quyết của hội đồng quản trị phát hành cổ phần. Cũng giống như việc bổ nhiệm các cán bộ, hội đồng quản trị có quyền hạn lớn và sự linh hoạt trong các quyết định về cơ cấu vốn của mình.</w:t>
      </w:r>
    </w:p>
    <w:p>
      <w:pPr>
        <w:spacing w:after="80"/>
      </w:pPr>
      <w:r>
        <w:rPr>
          <w:b w:val="0"/>
          <w:i w:val="0"/>
        </w:rPr>
        <w:t>Khác với giám đốc hay cán bộ điều hành, cổ đông không nhất thiết phải là thể nhân; các tổ chức—như ngân hàng, tập đoàn, công ty bảo hiểm, quỹ tương hỗ, quỹ hưu trí công và tư, quỹ đầu cơ, quỹ tài trợ và tổ chức từ thiện—cũng có thể mua, bán hoặc nắm giữ cổ phiếu trong các công ty đại chúng. Thường thì các cổ đông tổ chức đóng vai trò trung gian, quản lý chuyên nghiệp các khoản đầu tư thay mặt cho người khác, chẳng hạn như các cá nhân đang tiết kiệm để đi học đại học, mua nhà mới hoặc nghỉ hưu. Ví dụ, các quỹ tương hỗ có thể đầu tư tiền tiết kiệm của cá nhân trực tiếp hoặc thông qua các phương tiện đầu tư được miễn thuế như kế hoạch 401(k). Ngày nay, các nhà đầu tư tổ chức chi phối thị trường cổ phần ở Hoa Kỳ, sở hữu hưởng lợi khoảng 75 phần trăm cổ phần của các công ty đại chúng Hoa Kỳ. Các tổ chức không chỉ mở rộng đáng kể lượng nắm giữ cổ phần Hoa Kỳ của mình trong 50 năm qua, mà mức độ tập trung sở hữu của các công ty đại chúng lớn nhất cũng đã tăng lên đáng kể.</w:t>
      </w:r>
    </w:p>
    <w:p>
      <w:pPr>
        <w:spacing w:after="80"/>
      </w:pPr>
      <w:r>
        <w:rPr>
          <w:b w:val="0"/>
          <w:i w:val="0"/>
        </w:rPr>
        <w:t>Theo thời gian, những phát triển này của thị trường vốn đã mở rộng vai trò của cổ đông trong quản trị tập đoàn và, gây tranh cãi nhất, đã biến đổi mối quan hệ giữa cổ đông và hội đồng quản trị. Ít nhất về mặt lý thuyết, việc giám sát của các nhà đầu tư tổ chức đóng vai trò như một sự kiểm soát quan trọng đối với ban điều hành. Các cổ đông hoạt động (activist shareholder) cũng đã giành được ảnh hưởng trong các vấn đề quản trị tập đoàn. Những người hoạt động là các nhà đầu tư, không hài lòng với hiệu quả hoạt động của công ty, ban điều hành hoặc một chính sách nào đó của công ty, cố gắng gây ảnh hưởng để thay đổi tập đoàn mà không cần thay đổi quyền kiểm soát tập đoàn. Các kế hoạch hưu trí công—tức là các kế hoạch quản lý tài sản vì lợi ích của cảnh sát, giáo viên và các công chức khác—đã tiên phong trong số các cổ đông tổ chức bằng việc tham gia hoạt động tích cực vào những năm 1980. Từ đó trở đi, vai trò của các tổ chức hoạt động trong việc kỷ luật ban điều hành đã trở thành một chủ đề tranh luận và nghiên cứu học thuật. Gần đây nhất, sự chú ý tập trung vào động cơ và hành vi của các quỹ đầu cơ hoạt động.</w:t>
      </w:r>
    </w:p>
    <w:p>
      <w:pPr>
        <w:pStyle w:val="Heading3"/>
      </w:pPr>
      <w:r>
        <w:rPr>
          <w:rFonts w:ascii="Calibri" w:hAnsi="Calibri"/>
          <w:b/>
          <w:i w:val="0"/>
          <w:sz w:val="26"/>
        </w:rPr>
        <w:t>D. Các bên liên quan của tập đoàn</w:t>
      </w:r>
    </w:p>
    <w:p>
      <w:pPr>
        <w:spacing w:after="80"/>
      </w:pPr>
      <w:r>
        <w:rPr>
          <w:b w:val="0"/>
          <w:i w:val="0"/>
        </w:rPr>
        <w:t>Mặc dù luật tập đoàn của các bang xác định chức năng và cấu trúc rộng rãi mối quan hệ của ba bên—giám đốc, cán bộ điều hành và cổ đông—các thành phần khác của tập đoàn cũng ảnh hưởng đến quản trị công ty. Các tài liệu nghiên cứu coi nhân viên, chủ nợ, khách hàng, nhà cung cấp của công ty, và thậm chí cả cộng đồng nơi công ty hoạt động là các bên liên quan của tập đoàn; nói cách khác, các bên liên quan là những nhóm có lợi ích được công nhận trong tập đoàn và nếu không có sự đóng góp và hỗ trợ của họ thì tập đoàn không thể hoạt động. Các bên liên quan nội bộ bao gồm các cá nhân hoặc tổ chức giao dịch kinh doanh với tập đoàn, trong khi các bên liên quan bên ngoài bị ảnh hưởng bởi hoặc có thể ảnh hưởng đến hành động của tập đoàn.</w:t>
      </w:r>
    </w:p>
    <w:p>
      <w:pPr>
        <w:spacing w:after="80"/>
      </w:pPr>
      <w:r>
        <w:rPr>
          <w:b w:val="0"/>
          <w:i w:val="0"/>
        </w:rPr>
        <w:t>Vì các bên liên quan được hưởng lợi từ thành công của công ty và có thể chịu tổn hại từ sai sót và hành vi sai trái của ban điều hành, những người ủng hộ các bên liên quan đã theo đuổi các cải cách quản trị tập đoàn nhằm buộc các giám đốc phải xem xét các lợi ích rộng lớn hơn khi quản lý công ty. Thay vì điều hành tập đoàn chỉ nhằm tối đa hóa tài sản của cổ đông, các nhóm bên liên quan đề xuất rằng ban điều hành nên xem xét phổ lợi ích rộng lớn hơn bị ảnh hưởng bởi tập đoàn. Các lập luận ủng hộ và phản đối sự tham gia của các bên liên quan vào quản trị tập đoàn được khám phá trong Chương 11 .</w:t>
      </w:r>
    </w:p>
    <w:p>
      <w:pPr>
        <w:pStyle w:val="Heading3"/>
      </w:pPr>
      <w:r>
        <w:rPr>
          <w:rFonts w:ascii="Calibri" w:hAnsi="Calibri"/>
          <w:b/>
          <w:i w:val="0"/>
          <w:sz w:val="26"/>
        </w:rPr>
        <w:t>E. Các cố vấn—Người gác cổng và Chuyên gia quản trị</w:t>
      </w:r>
    </w:p>
    <w:p>
      <w:pPr>
        <w:spacing w:after="80"/>
      </w:pPr>
      <w:r>
        <w:rPr>
          <w:b w:val="0"/>
          <w:i w:val="0"/>
        </w:rPr>
        <w:t>Kế toán viên, luật sư, nhà phân tích chứng khoán, ngân hàng đầu tư và tổ chức xếp hạng tín dụng hoạt động như những “người gác cổng” chuyên nghiệp trong hệ thống quản trị tập đoàn, thông tin và tư vấn cho hội đồng quản trị, các cán bộ điều hành cấp cao và đôi khi cả các cổ đông kiểm soát. Kế toán viên kiểm toán báo cáo tài chính của công ty để đảm bảo rằng các báo cáo trình bày trung thực và chính xác tình hình tài chính của công ty. Luật sư doanh nghiệp tư vấn cho các công ty về các giao dịch và đưa ra lời khuyên về việc tuân thủ các luật yêu cầu công ty phải công bố thông tin trọng yếu cho cổ đông. Nhà phân tích chứng khoán nghiên cứu dữ liệu tài chính của công ty và các công bố khác của tập đoàn, nỗ lực khám phá thông tin mới, truyền tải nghiên cứu của họ ra thị trường thông qua các báo cáo và khuyến nghị cho nhà đầu tư. Ngân hàng đầu tư bảo lãnh phát hành chứng khoán cho tập đoàn và tư vấn cho các tập đoàn về việc bán tài sản công ty, sáp nhập và mua lại. Thường thì các ngân hàng tìm kiếm hoạt động tư vấn sẽ đề xuất các giao dịch tiềm năng cho các cán bộ điều hành tập đoàn, và ngân hàng cũng có thể cung cấp tài chính cho giao dịch. Các tổ chức xếp hạng tín dụng gán xếp hạng tín dụng cho các tập đoàn phát hành nợ, cũng như cho chính các chứng khoán nợ (tức là trái phiếu và giấy thương mại). Nhà đầu tư sau đó sử dụng xếp hạng tín dụng để giúp đưa ra quyết định đầu tư, cùng nhiều thứ khác.</w:t>
      </w:r>
    </w:p>
    <w:p>
      <w:pPr>
        <w:spacing w:after="80"/>
      </w:pPr>
      <w:r>
        <w:rPr>
          <w:b w:val="0"/>
          <w:i w:val="0"/>
        </w:rPr>
        <w:t>Một số người gác cổng nhất định, như kế toán viên thực hiện kiểm toán, hoạt động như những trung gian uy tín, cung cấp các xác minh hoặc chứng nhận được cổ đông cũng như chủ nợ và các bên liên quan khác sử dụng. Những người gác cổng khác, bao gồm luật sư và ngân hàng đầu tư, cung cấp dịch vụ chuyên môn của họ tại những thời điểm quan trọng trong các giao dịch của tập đoàn. Những người gác cổng này thực hiện vai trò tư vấn, cố vấn cho khách hàng về các câu hỏi cấu trúc hoặc vấn đề pháp lý và đưa ra các ý kiến cần thiết về định giá, tính công bằng hoặc các yêu cầu khác cần thiết để giao dịch được hoàn tất. Vẫn còn những người gác cổng khác, ví dụ, nhà phân tích chứng khoán và tổ chức xếp hạng tín dụng, giám sát hoạt động của tập đoàn theo thời gian và công bố công khai những phát hiện và ý kiến liên quan của họ. Những người gác cổng có thể phát hiện gian lận của tập đoàn hoặc hành vi sai trái khác, và một số người gác cổng có trách nhiệm pháp lý phải điều tra hành vi sai trái tiềm ẩn và báo cáo cho hội đồng quản trị hoặc cơ quan quản lý. Là những chuyên gia có kỹ năng độc lập với công ty, những người gác cổng có thể thực hiện chức năng chứng nhận theo yêu cầu của pháp luật (ví dụ, như kế toán viên thực hiện chức năng kiểm toán tập đoàn) hoặc theo quy ước thị trường (ví dụ, như nhà phân tích chứng khoán và tổ chức xếp hạng tín dụng thực hiện chức năng trên thị trường chứng khoán).</w:t>
      </w:r>
    </w:p>
    <w:p>
      <w:pPr>
        <w:spacing w:after="80"/>
      </w:pPr>
      <w:r>
        <w:rPr>
          <w:b w:val="0"/>
          <w:i w:val="0"/>
        </w:rPr>
        <w:t>Các vụ bê bối tập đoàn và khủng hoảng tài chính trong mười lăm năm qua đã phát hiện những xung đột lợi ích nghiêm trọng giữa những người gác cổng. Những lời kêu gọi cải cách đã dẫn đến việc tăng cường quản lý đối với những người gác cổng, nếu không muốn nói là tăng trách nhiệm giải trình của họ. Ví dụ, Sarbanes-Oxley đã thiết lập quy định liên bang đối với các công ty kế toán công được thuê để kiểm toán báo cáo tài chính và kiểm soát nội bộ của tập đoàn. Được ban hành để đối phó với các vụ gian lận quy mô lớn tại Enron và WorldCom, cùng nhiều công ty khác, SOX bao gồm các tiêu chuẩn mới về tính độc lập, phê duyệt và báo cáo của kiểm toán viên. Ủy ban Giám sát Kế toán Công ty Đại chúng được SOX thành lập sẽ đăng ký và quản lý các công ty kế toán công và thiết lập các thủ tục kiểm toán cho các công ty giao dịch đại chúng. Hướng sự chú ý đến các tổ chức xếp hạng tín dụng, Quốc hội sau đó đã thông qua Đạo luật Cải cách Tổ chức Xếp hạng Tín dụng năm 2006 nhằm cải thiện chất lượng xếp hạng cho nhà đầu tư cũng như thúc đẩy trách nhiệm giải trình, tính minh bạch và cạnh tranh trong ngành xếp hạng. Vai trò của xếp hạng tín dụng trong sự sụp đổ gần như hoàn toàn của thị trường tài chính năm 2008 đã khiến các nhà lập pháp liên bang tăng cường hơn nữa sự giám sát quản lý của SEC đối với các tổ chức xếp hạng tín dụng. Trong số các cải cách khác, Dodd-Frank đã thành lập Văn phòng Xếp hạng Tín dụng để hỗ trợ SEC trong việc giám sát những người gác cổng này.</w:t>
      </w:r>
    </w:p>
    <w:p>
      <w:pPr>
        <w:spacing w:after="80"/>
      </w:pPr>
      <w:r>
        <w:rPr>
          <w:b w:val="0"/>
          <w:i w:val="0"/>
        </w:rPr>
        <w:t>Các cổ đông tổ chức cũng có thể thuê chuyên gia để tư vấn về các vấn đề quản trị công ty. Các công ty tư vấn bỏ phiếu (đôi khi được gọi là tổ chức xếp hạng quản trị) cung cấp cho cổ đông tổ chức các nghiên cứu và khuyến nghị bỏ phiếu về những vấn đề được trình ra để cổ đông biểu quyết, bao gồm bầu chọn thành viên hội đồng quản trị, phê duyệt sáp nhập và các giao dịch doanh nghiệp quan trọng khác, phê duyệt tư vấn về thù lao điều hành (cái gọi là bỏ phiếu "say-on-pay"), và các đề xuất do cổ đông khởi xướng. Hai công ty tư vấn bỏ phiếu lớn nhất, Glass Lewis &amp; Co. và Institutional Shareholder Services, thống trị thị trường. Ngoài việc hỗ trợ các nhà đầu tư tổ chức bỏ phiếu cổ phần của họ, các cố vấn bỏ phiếu còn công bố xếp hạng quản trị công ty và tư vấn cho các công ty đại chúng về các vấn đề quản trị công ty.</w:t>
      </w:r>
    </w:p>
    <w:p>
      <w:pPr>
        <w:pStyle w:val="Heading2"/>
      </w:pPr>
      <w:r>
        <w:rPr>
          <w:rFonts w:ascii="Calibri" w:hAnsi="Calibri"/>
          <w:b/>
          <w:i w:val="0"/>
          <w:sz w:val="32"/>
        </w:rPr>
        <w:t>III. Câu đố muôn thuở của quản trị công ty</w:t>
      </w:r>
    </w:p>
    <w:p>
      <w:pPr>
        <w:spacing w:after="80"/>
      </w:pPr>
      <w:r>
        <w:rPr>
          <w:b w:val="0"/>
          <w:i w:val="0"/>
        </w:rPr>
        <w:t xml:space="preserve">Mặc dù luật quản trị công ty đã trở thành một chủ đề được nghiên cứu kỹ lưỡng trong những năm gần đây, tình thế khó xử thúc đẩy sự quan tâm đến chủ đề này đã tồn tại từ lâu. Câu đố muôn thuở của quản trị công ty là sự khác biệt giữa lợi ích của các nhà quản lý và lợi ích của các cổ đông thụ động, những người không sở hữu cổ phần kiểm soát trong công ty. Thật vậy, một luận thuyết nền tảng về quản lý công ty đại chúng lớn, được xuất bản hơn 80 năm trước, đã mô tả vấn đề này rất rõ. Trong tác phẩm mang tính bước ngoặt năm 1932 của họ, </w:t>
      </w:r>
      <w:r>
        <w:rPr>
          <w:b w:val="0"/>
          <w:i/>
        </w:rPr>
        <w:t>The Modern Corporation and Private Ownership</w:t>
      </w:r>
      <w:r>
        <w:rPr>
          <w:b w:val="0"/>
          <w:i w:val="0"/>
        </w:rPr>
        <w:t xml:space="preserve"> , Adolf Berle và Gardiner Means đã trình bày chi tiết về câu đố này:</w:t>
      </w:r>
    </w:p>
    <w:p>
      <w:pPr>
        <w:spacing w:after="80"/>
      </w:pPr>
      <w:r>
        <w:rPr>
          <w:b w:val="0"/>
          <w:i w:val="0"/>
        </w:rPr>
        <w:t>Khi thảo luận về các vấn đề của doanh nghiệp, có thể phân biệt ba chức năng: có lợi ích trong một doanh nghiệp, có quyền lực đối với nó, và hành động liên quan đến nó. Một cá nhân duy nhất có thể thực hiện, ở các mức độ khác nhau, bất kỳ một hoặc nhiều chức năng này. . . . Trong hệ thống công ty, chức năng thứ hai, tức là có quyền lực đối với một doanh nghiệp, đã trở nên tách rời khỏi chức năng thứ nhất. Vị thế của chủ sở hữu đã bị giảm xuống thành việc có một tập hợp các lợi ích pháp lý và thực tế trong doanh nghiệp, trong khi nhóm mà chúng ta gọi là kiểm soát lại ở vị thế có quyền lực pháp lý và thực tế đối với nó. . . . Vậy khi chuyển sang hai nhóm mới được tạo ra từ một nhóm duy nhất trước đây, những chủ sở hữu không có quyền kiểm soát đáng kể và những người kiểm soát không có quyền sở hữu đáng kể, chúng ta phải hỏi mối quan hệ giữa họ là gì và những mối quan hệ này có thể được kỳ vọng sẽ ảnh hưởng đến việc điều hành doanh nghiệp như thế nào. Khi chủ sở hữu cũng nắm quyền kiểm soát doanh nghiệp của mình, ông ta có thể điều hành nó vì lợi ích của chính mình và triết lý xung quanh thể chế sở hữu tư nhân đã giả định rằng ông ta sẽ làm như vậy. . . .</w:t>
      </w:r>
    </w:p>
    <w:p>
      <w:pPr>
        <w:spacing w:after="80"/>
      </w:pPr>
      <w:r>
        <w:rPr>
          <w:b w:val="0"/>
          <w:i w:val="0"/>
        </w:rPr>
        <w:t>Nhưng liệu chúng ta có bất kỳ lý do chính đáng nào để giả định rằng những người nắm quyền kiểm soát một công ty hiện đại cũng sẽ chọn điều hành nó vì lợi ích của chủ sở hữu không? Câu trả lời cho câu hỏi này sẽ phụ thuộc vào mức độ mà tư lợi của những người nắm quyền kiểm soát có thể song hành với lợi ích của quyền sở hữu và, trong chừng mực chúng khác biệt, phụ thuộc vào các biện pháp kiểm soát việc sử dụng quyền lực có thể được thiết lập bởi các điều kiện chính trị, kinh tế hoặc xã hội.</w:t>
      </w:r>
    </w:p>
    <w:p>
      <w:pPr>
        <w:spacing w:after="80"/>
      </w:pPr>
      <w:r>
        <w:rPr>
          <w:b w:val="0"/>
          <w:i w:val="0"/>
        </w:rPr>
        <w:t>Cổ đông công ty có những lợi ích được xác định rõ ràng trong hoạt động của công ty, trong việc phân phối thu nhập, và trong các thị trường chứng khoán công cộng. Nói chung, lợi ích của ông ta là, thứ nhất, công ty nên được điều hành để kiếm lợi nhuận tối đa tương thích với mức độ rủi ro hợp lý; thứ hai, một tỷ lệ lớn nhất có thể của những lợi nhuận này nên được phân phối trong chừng mực lợi ích tốt nhất của doanh nghiệp cho phép, và không có gì xảy ra để làm tổn hại quyền của ông ta được nhận phần chia công bằng của mình trong số lợi nhuận được phân phối đó; và cuối cùng, cổ phần của ông ta nên vẫn có thể bán được tự do với một mức giá hợp lý. . . .</w:t>
      </w:r>
    </w:p>
    <w:p>
      <w:pPr>
        <w:spacing w:after="80"/>
      </w:pPr>
      <w:r>
        <w:rPr>
          <w:b w:val="0"/>
          <w:i w:val="0"/>
        </w:rPr>
        <w:t xml:space="preserve">Lợi ích của quyền kiểm soát không dễ được khám phá như vậy. Liệu quyền kiểm soát có khả năng muốn điều hành công ty để tạo ra lợi nhuận tối đa với rủi ro tối thiểu không; liệu nó có khả năng muốn phân phối những lợi nhuận đó một cách hào phóng và công bằng giữa các chủ sở hữu không; và liệu nó có khả năng muốn duy trì các điều kiện thị trường thuận lợi cho nhà đầu tư không? . . . Liệu chúng ta có nên giả định về ông ta những gì đã được giả định trong quá khứ đối với chủ sở hữu doanh nghiệp, rằng mục tiêu chính của ông ta là </w:t>
      </w:r>
      <w:r>
        <w:rPr>
          <w:b w:val="0"/>
          <w:i/>
        </w:rPr>
        <w:t>lợi nhuận cá nhân?</w:t>
      </w:r>
      <w:r>
        <w:rPr>
          <w:b w:val="0"/>
          <w:i w:val="0"/>
        </w:rPr>
        <w:t xml:space="preserve"> Hay chúng ta phải kỳ vọng ông ta tìm kiếm một mục đích nào đó khác—uy tín, quyền lực, hoặc sự thỏa mãn của lòng nhiệt huyết nghề nghiệp?</w:t>
      </w:r>
    </w:p>
    <w:p>
      <w:pPr>
        <w:spacing w:after="80"/>
      </w:pPr>
      <w:r>
        <w:rPr>
          <w:b w:val="0"/>
          <w:i w:val="0"/>
        </w:rPr>
        <w:t xml:space="preserve">Nếu chúng ta giả định rằng mong muốn </w:t>
      </w:r>
      <w:r>
        <w:rPr>
          <w:b w:val="0"/>
          <w:i/>
        </w:rPr>
        <w:t>lợi nhuận cá nhân</w:t>
      </w:r>
      <w:r>
        <w:rPr>
          <w:b w:val="0"/>
          <w:i w:val="0"/>
        </w:rPr>
        <w:t xml:space="preserve"> là động lực chính thúc đẩy quyền kiểm soát, chúng ta phải kết luận rằng lợi ích của quyền kiểm soát khác biệt và thường đối lập triệt để với lợi ích của quyền sở hữu; rằng các chủ sở hữu chắc chắn nhất sẽ không được phục vụ bởi một nhóm kiểm soát theo đuổi lợi nhuận . . .</w:t>
      </w:r>
    </w:p>
    <w:p>
      <w:pPr>
        <w:spacing w:after="80"/>
      </w:pPr>
      <w:r>
        <w:rPr>
          <w:b w:val="0"/>
          <w:i w:val="0"/>
        </w:rPr>
        <w:t xml:space="preserve">Do đó, chúng ta phải kết luận rằng lợi ích của quyền sở hữu và quyền kiểm soát phần lớn đối lập nhau </w:t>
      </w:r>
      <w:r>
        <w:rPr>
          <w:b w:val="0"/>
          <w:i/>
        </w:rPr>
        <w:t>nếu</w:t>
      </w:r>
      <w:r>
        <w:rPr>
          <w:b w:val="0"/>
          <w:i w:val="0"/>
        </w:rPr>
        <w:t xml:space="preserve"> lợi ích của phe sau chủ yếu nảy sinh từ mong muốn lợi ích tiền tệ cá nhân. . . .</w:t>
      </w:r>
    </w:p>
    <w:p>
      <w:pPr>
        <w:spacing w:after="80"/>
      </w:pPr>
      <w:r>
        <w:rPr>
          <w:b w:val="0"/>
          <w:i w:val="0"/>
        </w:rPr>
        <w:t>Khi xem xét sự tan rã của khái niệm cũ về tài sản và sự thống nhất cũ về doanh nghiệp tư nhân, do đó rõ ràng rằng chúng ta đang xử lý không chỉ các nhóm riêng biệt mà thường là các nhóm đối lập, quyền sở hữu ở một bên, quyền kiểm soát ở bên kia—một quyền kiểm soát có xu hướng ngày càng xa rời quyền sở hữu và cuối cùng nằm trong tay chính ban quản lý, một ban quản lý có khả năng duy trì vị trí của chính mình.</w:t>
      </w:r>
    </w:p>
    <w:p>
      <w:pPr>
        <w:spacing w:after="80"/>
      </w:pPr>
      <w:r>
        <w:rPr>
          <w:b w:val="0"/>
          <w:i w:val="0"/>
        </w:rPr>
        <w:t>Rủi ro rằng các nhà quản lý công ty sẽ thực hiện các hành động có lợi cho bản thân họ với cái giá của những người cung cấp vốn từ lâu đã là một mối lo ngại. Trong khi Berle và Means viết về sự tách biệt giữa quyền sở hữu và quyền kiểm soát trong thời kỳ Đại khủng hoảng, Adam Smith đã mô tả cùng vấn đề đó trong các công ty cổ phần hoạt động vào thời kỳ cách mạng:</w:t>
      </w:r>
    </w:p>
    <w:p>
      <w:pPr>
        <w:spacing w:after="80"/>
      </w:pPr>
      <w:r>
        <w:rPr>
          <w:b w:val="0"/>
          <w:i w:val="0"/>
        </w:rPr>
        <w:t>[C]ác giám đốc của các công ty, vì là người quản lý tiền của người khác chứ không phải của chính họ, không thể kỳ vọng rằng họ sẽ trông coi nó với cùng sự cảnh giác lo lắng như người đối tác trong một công ty hợp danh tư nhân thường trông coi tiền của chính họ. Giống như những người quản gia của một người giàu, họ có xu hướng coi việc chú ý đến những việc nhỏ nhặt là không xứng với danh dự của chủ nhân, và rất dễ tự miễn trừ cho mình khỏi việc đó. Do đó, sự cẩu thả và lãng phí luôn phải chiếm ưu thế, ít nhiều, trong việc quản lý các công việc của một công ty như vậy.</w:t>
      </w:r>
    </w:p>
    <w:p>
      <w:pPr>
        <w:spacing w:after="80"/>
      </w:pPr>
      <w:r>
        <w:rPr>
          <w:b w:val="0"/>
          <w:i w:val="0"/>
        </w:rPr>
        <w:t>Lời cảnh báo thường được trích dẫn của Smith cho thấy rõ bản chất không có gì đặc biệt và khó giải quyết của vấn đề này.</w:t>
      </w:r>
    </w:p>
    <w:p>
      <w:pPr>
        <w:spacing w:after="80"/>
      </w:pPr>
      <w:r>
        <w:rPr>
          <w:b w:val="0"/>
          <w:i w:val="0"/>
        </w:rPr>
        <w:t>Mặc dù được cổ đông bầu chọn, các hội đồng quản trị công ty có thể không theo đuổi lợi ích tốt nhất của cổ đông. Các thành viên hội đồng quản trị có thể thiếu học vấn, kinh nghiệm, hoặc thời gian cần thiết để hoàn thành trách nhiệm của mình, hoặc lòng trung thành của họ có thể thuộc về các giám đốc điều hành cấp cao của công ty thay vì cổ đông. Bởi vì lợi ích của các nhà quản lý và lợi ích của cổ đông không đồng nhất, việc tập trung quyền lực quản lý, tuy hiệu quả và có lợi cho công ty, không phải là không có chi phí. Trong chừng mực cổ đông của các công ty lớn giao phó vốn của họ cho một công ty được kiểm soát bởi các nhà quản lý chuyên nghiệp, các xung đột lợi ích chắc chắn nảy sinh. Khi các giám đốc điều hành thực hiện các hành động có lợi cho bản thân họ thay vì cho công ty, cổ đông cuối cùng phải chịu tổn thất. Hơn bốn thập kỷ sau khi Berle và Means xuất bản tác phẩm mang tính biểu tượng của họ, các nhà kinh tế đã gọi các xung đột giữa ban quản lý và cổ đông là vấn đề "đại diện" (agency) và những sự kém hiệu quả phát sinh là "chi phí đại diện" (agency costs).</w:t>
      </w:r>
    </w:p>
    <w:p>
      <w:pPr>
        <w:spacing w:after="80"/>
      </w:pPr>
      <w:r>
        <w:rPr>
          <w:b w:val="0"/>
          <w:i w:val="0"/>
        </w:rPr>
        <w:t>Lý thuyết đại diện cho rằng các nhà quản lý công ty—những người đại diện—hành động vì tư lợi kinh tế, và rằng, khi hành động để tối đa hóa tư lợi của mình, họ có thể gây hại cho công ty và cổ đông của nó—những người ủy thác. Các nhà quản lý có thể gây tổn hại bằng cách không thực hiện trách nhiệm của mình (vấn đề rủi ro đạo đức), hoặc bằng cách xuyên tạc kỹ năng và khả năng của mình để làm công việc mà họ được thuê (vấn đề lựa chọn đối nghịch). Các nhà quản lý cũng có thể gây hại cho công ty thông qua việc tự giao dịch, bằng cách chuyển hướng các cơ hội của công ty cho bản thân hoặc cạnh tranh với công ty, và bằng cách trích xuất thù lao quá mức. Vì cổ đông sở hữu quyền đối với phần thặng dư còn lại của công ty, chi phí đại diện làm giảm tài sản của họ. Những vấn đề này càng trầm trọng hơn vì cổ đông không thể xác định dễ dàng liệu hiệu quả hoạt động kém của công ty là do sự trốn tránh trách nhiệm hay do sự tự giao dịch của các nhà quản lý, và cổ đông cũng không có khả năng sẽ cố gắng làm điều đó. Cổ đông của các công ty đại chúng lớn, chỉ sở hữu một phần nhỏ vốn cổ phần đang lưu hành của công ty, là những người thờ ơ một cách hợp lý; họ thiếu động lực kinh tế để giám sát chặt chẽ ban quản lý. Quyền sở hữu cổ phần phân tán bởi các cổ đông thụ động, kết hợp với quyền kiểm soát quản lý không bị kiểm chế, làm gia tăng chi phí đại diện của công ty đại chúng.</w:t>
      </w:r>
    </w:p>
    <w:p>
      <w:pPr>
        <w:spacing w:after="80"/>
      </w:pPr>
      <w:r>
        <w:rPr>
          <w:b w:val="0"/>
          <w:i w:val="0"/>
        </w:rPr>
        <w:t>Để giảm những chi phí đại diện này, cần có một hệ thống các quy tắc và chuẩn mực pháp lý và phi pháp lý để gắn kết lợi ích của ban quản lý với lợi ích của cổ đông và để khuyến khích ban quản lý hành động vì lợi ích tốt nhất của công ty. Berle và Means, những người chủ yếu tập trung vào vấn đề tự giao dịch của ban quản lý, ủng hộ việc áp đặt các ràng buộc pháp lý lên ban quản lý. Cụ thể, họ kêu gọi tăng cường các nghĩa vụ ủy thác do tòa án áp đặt lên ban quản lý, sửa đổi luật công ty để đối xử với các nhà quản lý công ty giống như luật ủy thác đối xử với người được ủy thác. Ngoài ra, Berle và Means ủng hộ một giới hạn công bằng đối với quyền hạn của ban quản lý công ty (hoặc bất kỳ nhóm nào khác trong công ty), yêu cầu ban quản lý thực thi quyền lực của mình vì lợi ích có thể chia đều cho tất cả cổ đông.</w:t>
      </w:r>
    </w:p>
    <w:p>
      <w:pPr>
        <w:spacing w:after="80"/>
      </w:pPr>
      <w:r>
        <w:rPr>
          <w:b w:val="0"/>
          <w:i w:val="0"/>
        </w:rPr>
        <w:t>Tất nhiên, không có hệ thống quản trị doanh nghiệp nào có thể loại bỏ hoàn toàn mọi hành vi cơ hội của ban lãnh đạo. Cấu trúc quản trị doanh nghiệp tối ưu sẽ cân bằng giữa rủi ro và mức tổn thất từ chi phí đại diện (agency costs) với mức giảm chi phí đại diện dự kiến và các khoản chi phí phát sinh để triển khai và thực thi các biện pháp kiểm soát quản trị. Những vụ bê bối doanh nghiệp và thất bại quy mô lớn, như đã xảy ra vào đầu thiên niên kỷ này, thúc đẩy chính phủ can thiệp vào các vấn đề nội bộ của doanh nghiệp.</w:t>
      </w:r>
    </w:p>
    <w:p>
      <w:pPr>
        <w:pStyle w:val="Heading2"/>
      </w:pPr>
      <w:r>
        <w:rPr>
          <w:rFonts w:ascii="Calibri" w:hAnsi="Calibri"/>
          <w:b/>
          <w:i w:val="0"/>
          <w:sz w:val="32"/>
        </w:rPr>
        <w:t>IV. Cuộc cách mạng quản trị doanh nghiệp</w:t>
      </w:r>
    </w:p>
    <w:p>
      <w:pPr>
        <w:spacing w:after="80"/>
      </w:pPr>
      <w:r>
        <w:rPr>
          <w:b w:val="0"/>
          <w:i w:val="0"/>
        </w:rPr>
        <w:t>Để mở đầu cho các chủ đề được đề cập trong cuốn sách tình huống này, sẽ rất hữu ích khi xem xét mức độ quan tâm của công chúng đối với quản trị doanh nghiệp đã tăng lên như thế nào trong tám thập kỷ qua. Giáo sư Brian Cheffins đã phác họa một lịch sử hữu ích như sau.</w:t>
      </w:r>
    </w:p>
    <w:p>
      <w:pPr>
        <w:pStyle w:val="Heading4"/>
      </w:pPr>
      <w:r>
        <w:rPr>
          <w:rFonts w:ascii="Calibri" w:hAnsi="Calibri"/>
          <w:b/>
          <w:i w:val="0"/>
          <w:sz w:val="23"/>
        </w:rPr>
        <w:t xml:space="preserve">Brian R. Cheffins, </w:t>
      </w:r>
      <w:r>
        <w:rPr>
          <w:rFonts w:ascii="Calibri" w:hAnsi="Calibri"/>
          <w:b/>
          <w:i/>
          <w:sz w:val="23"/>
        </w:rPr>
        <w:t>Did Corporate Governance “Fail” during the</w:t>
      </w:r>
      <w:r>
        <w:br/>
      </w:r>
      <w:r>
        <w:rPr>
          <w:rFonts w:ascii="Calibri" w:hAnsi="Calibri"/>
          <w:b/>
          <w:i/>
          <w:sz w:val="23"/>
        </w:rPr>
        <w:t xml:space="preserve"> 2008 Stock Market Meltdown? The Case of the S&amp;P 500</w:t>
      </w:r>
    </w:p>
    <w:p>
      <w:pPr>
        <w:spacing w:after="80"/>
      </w:pPr>
      <w:r>
        <w:rPr>
          <w:b w:val="0"/>
          <w:i w:val="0"/>
        </w:rPr>
        <w:t>65 Bus. Law. 1 (2009)</w:t>
      </w:r>
    </w:p>
    <w:p>
      <w:pPr>
        <w:spacing w:after="80"/>
      </w:pPr>
      <w:r>
        <w:rPr>
          <w:b w:val="0"/>
          <w:i w:val="0"/>
        </w:rPr>
        <w:t>GIỚI THIỆU</w:t>
      </w:r>
    </w:p>
    <w:p>
      <w:pPr>
        <w:spacing w:after="80"/>
      </w:pPr>
      <w:r>
        <w:rPr>
          <w:b w:val="0"/>
          <w:i w:val="0"/>
        </w:rPr>
        <w:t>Năm 2008, giới doanh nghiệp Mỹ trải qua cơn hỗn loạn tài chính vượt xa mọi thứ từng gặp kể từ thời Đại khủng hoảng. Giá cổ phiếu giảm mạnh hơn bất kỳ năm nào kể từ thập niên 1930. Những ngân hàng đầu tư danh tiếng, lâu đời trên Phố Wall bị bán với giá phá sản (ví dụ: Bear Stearns), rơi vào tình trạng phá sản (Lehman Brothers), hoặc buộc phải chuyển đổi thành ngân hàng thương mại (Goldman Sachs, J.P. Morgan Chase). Trong khi lĩnh vực ngân hàng thương mại phải được chống đỡ bằng các kế hoạch giải cứu của chính phủ, những tên tuổi đầu ngành như Washington Mutual và Wachovia vẫn biến mất.</w:t>
      </w:r>
    </w:p>
    <w:p>
      <w:pPr>
        <w:spacing w:after="80"/>
      </w:pPr>
      <w:r>
        <w:rPr>
          <w:b w:val="0"/>
          <w:i w:val="0"/>
        </w:rPr>
        <w:t>Một điểm đáng chú ý của cuộc sụp đổ thị trường chứng khoán năm 2008 là nó xảy ra bất chấp việc quản trị doanh nghiệp Mỹ đã được củng cố trong vài thập kỷ qua và định hướng lại theo hướng thúc đẩy giá trị cổ đông. Khi thế kỷ XX khép lại, sự gia tăng thể chế hóa quyền sở hữu cổ phần đã thúc đẩy sự chuyển dịch sang các nhà đầu tư định hướng theo giá, ít thụ động hơn trong việc điều hành các vấn đề doanh nghiệp so với cổ đông cá nhân điển hình. Các phòng họp hội đồng quản trị trở nên chiếm ưu thế bởi các giám đốc độc lập, những người không dễ bị "thâu tóm" bởi người trong nội bộ doanh nghiệp. Thù lao điều hành trở nên gắn với động lực khuyến khích nhiều hơn, ngụ ý rằng các nhà quản lý mang lại kết quả tốt cho cổ đông sẽ thu lợi hậu hĩnh. Những vụ bê bối doanh nghiệp được đưa ra ánh sáng vào đầu thập niên 2000 đã cho thấy những điểm yếu trong trách nhiệm giải trình của ban lãnh đạo, nhưng phản ứng lập pháp kịp thời dưới hình thức Đạo luật Sarbanes-Oxley năm 2002 đã tìm cách củng cố mô hình quản trị doanh nghiệp hiện có.</w:t>
      </w:r>
    </w:p>
    <w:p>
      <w:pPr>
        <w:spacing w:after="80"/>
      </w:pPr>
      <w:r>
        <w:rPr>
          <w:b w:val="0"/>
          <w:i w:val="0"/>
        </w:rPr>
        <w:t xml:space="preserve">Giá cổ phiếu tăng mạnh trong giữa thập niên 2000, ngụ ý rằng mọi thứ đều ổn. Rồi đến năm 2008, khi giá trị cổ đông bị tổn thất nặng nề. Nhiều người tin rằng cuộc sụp đổ thị trường chứng khoán đã chứng minh các thỏa thuận quản trị doanh nghiệp hiện hành không phù hợp với mục đích của chúng. "Boards Fail—Again," một bài viết năm 2008 trên </w:t>
      </w:r>
      <w:r>
        <w:rPr>
          <w:b w:val="0"/>
          <w:i/>
        </w:rPr>
        <w:t>Business Week</w:t>
      </w:r>
      <w:r>
        <w:rPr>
          <w:b w:val="0"/>
          <w:i w:val="0"/>
        </w:rPr>
        <w:t xml:space="preserve"> , cho rằng "những thất bại của hội đồng quản trị thể hiện . . . một sự thất bại rõ ràng của phong trào [quản trị doanh nghiệp] rộng lớn đã giành được đà phát triển vào đầu thập kỷ này." Người đứng đầu bộ phận quản trị doanh nghiệp tại Hệ thống Hưu trí Công chức California ("CalPERS"), một quỹ hưu trí công lớn, đồng tình trong một bài bình luận năm 2009, nói rằng "thâm hụt quản trị . . . chắc chắn đã làm trầm trọng thêm quy mô và mức độ của cuộc khủng hoảng tài chính" và "[c]uộc khủng hoảng tài chính đã phơi bày nhiều hội đồng quản trị là yếu kém và bất tài." Một báo cáo năm 2009 của Tổ chức Hợp tác và Phát triển Kinh tế ("OECD") kết luận "rằng cuộc khủng hoảng tài chính ở một mức độ quan trọng có thể được quy cho những thất bại và điểm yếu trong các thỏa thuận quản trị doanh nghiệp." Tương tự, Đạo luật Tuyên ngôn Quyền cổ đông năm 2009, được Charles Schumer và Maria Cantwell trình lên Thượng viện vào tháng 5 năm 2009, có một điều khoản coi Quốc hội đã nhận thấy "một trong những nguyên nhân trung tâm của các cuộc khủng hoảng tài chính và kinh tế mà Hoa Kỳ đang đối mặt ngày nay là sự thất bại lan rộng của quản trị doanh nghiệp."</w:t>
      </w:r>
    </w:p>
    <w:p>
      <w:pPr>
        <w:spacing w:after="80"/>
      </w:pPr>
      <w:r>
        <w:rPr>
          <w:b w:val="0"/>
          <w:i w:val="0"/>
        </w:rPr>
        <w:t>SỰ PHÁT TRIỂN CỦA QUẢN TRỊ DOANH NGHIỆP TẠI</w:t>
      </w:r>
      <w:r>
        <w:br/>
      </w:r>
      <w:r>
        <w:rPr>
          <w:b w:val="0"/>
          <w:i w:val="0"/>
        </w:rPr>
        <w:t xml:space="preserve"> CÁC CÔNG TY ĐẠI CHÚNG HOA KỲ</w:t>
      </w:r>
    </w:p>
    <w:p>
      <w:pPr>
        <w:spacing w:after="80"/>
      </w:pPr>
      <w:r>
        <w:rPr>
          <w:b w:val="0"/>
          <w:i/>
        </w:rPr>
        <w:t>Chủ nghĩa tư bản quản lý trong kỷ nguyên hậu Thế chiến II</w:t>
      </w:r>
    </w:p>
    <w:p>
      <w:pPr>
        <w:spacing w:after="80"/>
      </w:pPr>
      <w:r>
        <w:rPr>
          <w:b w:val="0"/>
          <w:i w:val="0"/>
        </w:rPr>
        <w:t>Để đánh giá mức độ đáp ứng của quản trị doanh nghiệp trước cơn hỗn loạn thị trường chứng khoán năm 2008, cần thiết, như một vấn đề sơ bộ, phải xác định các cơ chế quản trị doanh nghiệp chính trong các công ty đại chúng và xác định vai trò mà chúng được kỳ vọng đảm nhận. Về điểm này, lịch sử rất hữu ích, vì nó tiết lộ những thách thức quản trị doanh nghiệp đã được giải quyết và logic đằng sau các "giải pháp" đã phát triển. . . .</w:t>
      </w:r>
    </w:p>
    <w:p>
      <w:pPr>
        <w:spacing w:after="80"/>
      </w:pPr>
      <w:r>
        <w:rPr>
          <w:b w:val="0"/>
          <w:i w:val="0"/>
        </w:rPr>
        <w:t>[T]rong những năm ngay sau Thế chiến II, dường như ít quan trọng liệu có các cơ chế đảm bảo nhà quản lý chịu trách nhiệm đúng đắn trước cổ đông hay không. Với việc Hoa Kỳ là nền kinh tế thống trị thế giới và trải qua thời kỳ bùng nổ kinh tế kéo dài sau chiến tranh, các tập đoàn thành công phát triển nhanh chóng và, như một sản phẩm phụ ngẫu nhiên, cổ đông thu lợi. Giữa sự thịnh vượng doanh nghiệp này, quản trị nội bộ của các công ty không phải là ưu tiên cao. Đồng thuận chung là những người dựa vào các tập đoàn để có việc làm, hàng hóa và dịch vụ cũng như lợi nhuận đầu tư có thể đặt niềm tin vào các giám đốc điều hành doanh nghiệp. Các hội đồng quản trị, được cho là những người bảo vệ quyền cổ đông, được kỳ vọng sẽ mang tính đồng nghiệp và ủng hộ ban lãnh đạo, một giả định hợp lý vì các giám đốc điều hành hàng đầu có ảnh hưởng mạnh mẽ đến việc lựa chọn giám đốc. Còn về cổ đông, họ "nổi tiếng với sự thờ ơ với mọi thứ về các công ty họ sở hữu ngoại trừ cổ tức và giá cổ phiếu gần đúng."</w:t>
      </w:r>
    </w:p>
    <w:p>
      <w:pPr>
        <w:spacing w:after="80"/>
      </w:pPr>
      <w:r>
        <w:rPr>
          <w:b w:val="0"/>
          <w:i w:val="0"/>
        </w:rPr>
        <w:t>Với các tập đoàn thành công như IBM, General Motors, General Electric, Sears, US Steel và Alcoa trở thành không chỉ những cái tên quen thuộc mà còn là nguyên mẫu toàn cầu của chủ nghĩa tư bản quản lý, mô hình công ty định hướng theo nhà quản lý đã chiếm ưu thế. Tuy nhiên, thực tế rằng các giám đốc điều hành thiếu động lực mạnh mẽ để tập trung vào lợi nhuận cổ đông ngày càng trở nên rõ ràng. Thù lao CEO chủ yếu bao gồm lương và lương có tương quan chặt chẽ với quy mô công ty. Kết quả là, các giám đốc điều hành thường háo hức phát triển công ty bằng cách mua lại các công ty khác, thường hoạt động trong các lĩnh vực kinh tế khác nhau. Tuy nhiên, tăng trưởng bằng mua lại thường không phải là tin tốt cho cổ đông.</w:t>
      </w:r>
    </w:p>
    <w:p>
      <w:pPr>
        <w:spacing w:after="80"/>
      </w:pPr>
      <w:r>
        <w:rPr>
          <w:b w:val="0"/>
          <w:i w:val="0"/>
        </w:rPr>
        <w:t>Một vấn đề là nhiều thương vụ không đạt được kỳ vọng và cuối cùng phá hủy giá trị cổ đông. Hơn nữa, các giám đốc điều hành gặp khó khăn trong việc duy trì kiểm soát đế chế doanh nghiệp mở rộng của họ. Penn Central, một công ty đường sắt đã đa dạng hóa sang đường ống, khách sạn, khu công nghiệp và bất động sản thương mại, sụp đổ năm 1970 giữa những xung đột cá nhân, quản lý yếu kém và giám sát lỏng lẻo của hội đồng quản trị. International Telephone and Telegraph, một tập đoàn mở rộng khác, bị rung chuyển vào đầu thập niên 1970 bởi các cáo buộc rằng các giám đốc điều hành cấp cao đã cho phép các khoản quyên góp chính trị không đúng đắn để đảm bảo sự đối xử thuận lợi về chống độc quyền và đã tham gia vào việc lật đổ gây tranh cãi một chính phủ cánh tả ở Chile. Sau đó, hàng chục công ty đại chúng, do bị đe dọa truy tố, đã thừa nhận đã thực hiện hối lộ, hoa hồng ngầm hoặc các khoản thanh toán bất hợp pháp khác cho doanh nghiệp ở nước ngoài và tại Hoa Kỳ. Trong hậu quả, rõ ràng rằng trong khi các giám đốc điều hành cấp cao thường nhận thức rõ về các khoản thanh toán, các giám đốc bên ngoài lại quá "xa rời vòng trong" để có thể hành động như một biện pháp kiểm tra hành vi doanh nghiệp phi đạo đức.</w:t>
      </w:r>
    </w:p>
    <w:p>
      <w:pPr>
        <w:spacing w:after="80"/>
      </w:pPr>
      <w:r>
        <w:rPr>
          <w:b w:val="0"/>
          <w:i/>
        </w:rPr>
        <w:t>Phản ứng ngược của quản trị doanh nghiệp</w:t>
      </w:r>
    </w:p>
    <w:p>
      <w:pPr>
        <w:spacing w:after="80"/>
      </w:pPr>
      <w:r>
        <w:rPr>
          <w:b w:val="0"/>
          <w:i w:val="0"/>
        </w:rPr>
        <w:t>Việc nhận thức rộng rãi rằng các giám đốc đã thụ động trong vụ sụp đổ Penn Central và bê bối “các khoản thanh toán đáng ngờ” đã tạo nên sự đồng thuận rằng hội đồng quản trị của các công ty đại chúng nên chủ động thực hiện giám sát độc lập để tăng cường trách nhiệm giải trình của ban điều hành. Năm 1977, Sở Giao dịch Chứng khoán New York (NYSE), theo yêu cầu của Ủy ban Chứng khoán và Giao dịch Liên bang (SEC), đã sửa đổi các yêu cầu niêm yết để buộc mỗi công ty niêm yết phải duy trì một ủy ban kiểm toán gồm các giám đốc độc lập. Dù trước đó các cơ quan quản lý chưa từng tập trung vào các ủy ban của hội đồng quản trị hay các giám đốc bên ngoài, sáng kiến này không hẳn mang tính cấp tiến vì các công ty đại chúng vốn đã đang tái cấu trúc hội đồng quản trị của mình. Ngay cả trước khi NYSE sửa đổi quy chế niêm yết để quy định việc thành lập các ủy ban kiểm toán, gần 90% các tập đoàn lớn nhất ở Mỹ đã thực hiện bước này. Tương tự, một báo cáo năm 1978 về trách nhiệm giải trình của doanh nghiệp dựa trên các cuộc phỏng vấn với các công ty ở 17 quốc gia đã gọi Hoa Kỳ là một “cái nồi thử nghiệm”, với xu hướng chuyển dịch cơ bản là hướng tới những hội đồng quản trị năng động và độc lập hơn.</w:t>
      </w:r>
    </w:p>
    <w:p>
      <w:pPr>
        <w:spacing w:after="80"/>
      </w:pPr>
      <w:r>
        <w:rPr>
          <w:b w:val="0"/>
          <w:i w:val="0"/>
        </w:rPr>
        <w:t>Đến đầu những năm 1980, đã có sự đồng thuận ngày càng lớn rằng “giám đốc ‘bên ngoài’ đã thắng”. Các cải cách pháp lý đã ấn định chiến thắng này. Trong suốt những năm 1980, các phán quyết của tòa án Delaware liên quan đến kiện tụng phái sinh và việc viện dẫn các biện pháp phòng vệ chống thâu tóm cho thấy sự chấp nhận của tư pháp đối với các quyết định nhằm gạt bỏ các vụ kiện phái sinh và các đề nghị thâu tóm thù địch đều phụ thuộc vào việc các giám đốc bên ngoài đóng vai trò quyết định trong khi hành động theo một quy trình được thiết kế để đảm bảo họ đang thực thi phán đoán độc lập. Năm 1993, Quốc hội đã tán thành quan điểm rằng thù lao điều hành nên được xử lý bởi các giám đốc độc lập, quy định rằng thù lao điều hành dựa trên hiệu suất chỉ có thể được miễn trừ khỏi mức giới hạn khấu trừ mới 1 triệu đô la theo Bộ luật Thuế vụ Liên bang nếu một ủy ban thù lao gồm hoàn toàn các giám đốc bên ngoài phê duyệt các thỏa thuận liên quan.</w:t>
      </w:r>
    </w:p>
    <w:p>
      <w:pPr>
        <w:spacing w:after="80"/>
      </w:pPr>
      <w:r>
        <w:rPr>
          <w:b w:val="0"/>
          <w:i w:val="0"/>
        </w:rPr>
        <w:t>Đến lượt mình, các giám đốc bên ngoài ngày càng trở nên cảnh giác hơn trong vai trò giám sát ban điều hành, nhận thức rằng họ có nhiệm vụ soi xét các lãnh đạo điều hành tách biệt và khác với các chức năng cố vấn và quản lý của mình. Tương ứng, đến những năm 1990, các hội đồng quản trị ngày càng đánh giá hiệu suất của ban điều hành dựa trên giá trị cổ đông và trở nên sẵn sàng hơn trong việc sa thải các tổng giám đốc điều hành kém hiệu quả. Sự nhấn mạnh của phòng họp hội đồng quản trị vào lợi nhuận cho cổ đông ăn khớp với các xu hướng quản trị doanh nghiệp khác. Một xu hướng là sự trỗi dậy của các nhà đầu tư tổ chức (chủ yếu là các quỹ hưu trí và quỹ tương hỗ), những người đã trở thành những người ủng hộ mạnh mẽ cho mô hình công ty định hướng cổ đông cùng lúc họ trở thành nhóm chi phối dòng tiền chảy vào thị trường chứng khoán. Theo truyền thống, các cổ đông, dù là cá nhân hay tổ chức, đều mặc nhiên coi rằng phản ứng thích hợp khi bất mãn với cách một công ty được điều hành là áp dụng “quy tắc Phố Wall” và bán đi. Trong những năm 1980 và 1990, các nhà đầu tư tổ chức bắt đầu chuyển dịch khỏi cách tiếp cận thuần túy phản ứng này để thay vào đó thách thức ban điều hành tạo ra giá trị cho cổ đông. Họ làm điều này từ một vị thế mạnh mẽ, khi tỷ lệ cổ phần trong các công ty đại chúng Mỹ do các hộ gia đình và các nhà đầu tư tổ chức trong nước nắm giữ lần lượt chuyển từ 84% và 14% năm 1965 thành 49% và 44% tương ứng vào năm 1985.</w:t>
      </w:r>
    </w:p>
    <w:p>
      <w:pPr>
        <w:spacing w:after="80"/>
      </w:pPr>
      <w:r>
        <w:rPr>
          <w:b w:val="0"/>
          <w:i w:val="0"/>
        </w:rPr>
        <w:t>Các cổ đông tổ chức, trong chế độ hoạt động tích cực mới của mình, ban đầu tập trung vào việc chống lại các sáng kiến chống thâu tóm. Những năm 1980 được biết đến như “Thập kỷ Giao dịch”, được minh họa bởi việc các bên chào mua dựa vào các kỹ thuật tài chính táo bạo, đổi mới để dàn dựng những đề nghị thâu tóm táo bạo. Các lãnh đạo điều hành phản ứng phòng thủ và tìm cách đưa ra các thiết bị cố thủ ban điều hành như viên thuốc độc. Các nhà đầu tư tổ chức, những người thường bán các khối cổ phần lớn trong các vụ thâu tóm, lại phản ứng bằng cách phản đối các nỗ lực của ban điều hành nhằm chặn các đề nghị chào mua không được hoan nghênh và bằng cách vận động hành lang để bảo vệ quyền chào bán cổ phần của mình cho người trả giá cao nhất.</w:t>
      </w:r>
    </w:p>
    <w:p>
      <w:pPr>
        <w:spacing w:after="80"/>
      </w:pPr>
      <w:r>
        <w:rPr>
          <w:b w:val="0"/>
          <w:i w:val="0"/>
        </w:rPr>
        <w:t>Các cổ đông tổ chức sớm mở rộng chương trình nghị sự của mình. Vào cuối những năm 1980 và đầu những năm 1990, họ bắt đầu tập trung vào hội đồng quản trị như một phương tiện để cải thiện trách nhiệm giải trình của ban điều hành và tương ứng gây sức ép cho những thay đổi được thiết kế để tăng cường khả năng giám sát của các giám đốc, chẳng hạn như đảm bảo các ủy ban chủ chốt của hội đồng quản trị được bố trí hoàn toàn bằng các giám đốc độc lập. Các nhà đầu tư tổ chức cũng gây sức ép buộc các công ty đại tu các thỏa thuận thù lao điều hành hiện có để thay thế khuynh hướng truyền thống thiên về “trả theo quy mô” bằng trả theo hiệu suất. Thông điệp đã được tiếp nhận, khi sự gia tăng đáng kể trong thù lao dựa trên cổ phần—nổi bật nhất là việc trao quyền chọn cổ phiếu—đã làm tăng độ nhạy cảm giữa thù lao và hiệu suất lên gấp mười lần đối với các tổng giám đốc điều hành từ năm 1980 đến 1998.</w:t>
      </w:r>
    </w:p>
    <w:p>
      <w:pPr>
        <w:spacing w:after="80"/>
      </w:pPr>
      <w:r>
        <w:rPr>
          <w:b w:val="0"/>
          <w:i w:val="0"/>
        </w:rPr>
        <w:t>Khi những năm 1990 dần khép lại, các xu hướng trong quản trị doanh nghiệp có vẻ rất tích cực. Các hội đồng quản trị đã được củng cố, thù lao điều hành đã được tái cấu trúc để gắn kết thù lao chặt chẽ hơn với hiệu suất và các cổ đông dường như đã sẵn sàng bắt đầu bước lên để bảo vệ lợi ích của mình. Các nhà kinh tế Bengt Holmstrom và Steven Kaplan tương ứng đã dự đoán trong một khảo sát năm 2001 về quản trị doanh nghiệp rằng “một nền quản trị doanh nghiệp định hướng thị trường hơn so với trước đầu những năm 1980 sẽ tồn tại lâu dài.” Hơn nữa, với việc cải cách quản trị doanh nghiệp trùng khớp với tăng trưởng kinh tế mạnh mẽ ở Mỹ, đà phát triển về ý thức hệ và do thị trường thúc đẩy đã tích tụ để các công ty ở nơi khác hội tụ về một mô hình quản trị doanh nghiệp định hướng cổ đông theo phong cách Mỹ. Trích lời Holmstrom và Kaplan một lần nữa, “kể từ giữa những năm 1980, phong cách quản trị doanh nghiệp của Mỹ đã tự tái tạo, và phần còn lại của thế giới dường như đang theo cùng con đường.”</w:t>
      </w:r>
    </w:p>
    <w:p>
      <w:pPr>
        <w:spacing w:after="80"/>
      </w:pPr>
      <w:r>
        <w:rPr>
          <w:b w:val="0"/>
          <w:i/>
        </w:rPr>
        <w:t>Rồi đến Enron</w:t>
      </w:r>
    </w:p>
    <w:p>
      <w:pPr>
        <w:spacing w:after="80"/>
      </w:pPr>
      <w:r>
        <w:rPr>
          <w:b w:val="0"/>
          <w:i w:val="0"/>
        </w:rPr>
        <w:t>Trong khi Holmstrom và Kaplan mạnh mẽ tán thành quản trị doanh nghiệp Mỹ vào năm 2001, chỉ bốn năm sau họ đã thừa nhận rằng “[đ]ối với một người quan sát hời hợt, hệ thống quản trị doanh nghiệp của Hoa Kỳ hẳn phải có vẻ đang trong tình trạng tồi tệ.” Sự sụt giảm mạnh mẽ của giá cổ phiếu đã tạo bối cảnh cho sự vỡ mộng. Với sự cáo chung của thị trường tăng giá “dot-com” cuối những năm 1990, Chỉ số Công nghiệp Dow Jones (“DJIA”) đã giảm 36% từ tháng 1 năm 2000 đến tháng 9 năm 2002 và S&amp;P 500 giảm 48% từ tháng 3 năm 2000 đến tháng 9 năm 2002. Một loạt bê bối quản trị doanh nghiệp lớn đồng thời làm chấn động các nhà đầu tư, với gần 313 tỷ đô la giá trị tài sản cổ đông bị xóa sổ tại Enron, WorldCom, Tyco, Global Crossing và Adelphia do hành vi sai trái của ban điều hành.</w:t>
      </w:r>
    </w:p>
    <w:p>
      <w:pPr>
        <w:spacing w:after="80"/>
      </w:pPr>
      <w:r>
        <w:rPr>
          <w:b w:val="0"/>
          <w:i w:val="0"/>
        </w:rPr>
        <w:t>Một số người giải thích các bê bối quản trị doanh nghiệp như một bản cáo trạng đanh thép đối với chủ nghĩa tư bản định hướng cổ đông đã phát triển trong những năm 1980 và 1990 và kêu gọi một sự đánh giá lại sâu sắc các giáo điều hiện có. Những người khác, dù sẵn sàng thừa nhận các bê bối đã phơi bày nhiều khiếm khuyết khác nhau cần được giải quyết bằng can thiệp quản lý, lại lập luận rằng bất kỳ sự đại tu cơ bản nào cũng sẽ là không khôn ngoan vì hệ thống tư bản định hướng thị trường của Mỹ đã chứng tỏ thành công trong việc tạo ra tăng trưởng và thịnh vượng vượt trội so với tất cả các quốc gia khác. Quan điểm sau cuối cùng đã thắng thế, khi các quan chức công quyền nhanh chóng đưa ra Đạo luật Sarbanes-Oxley liên bang năm 2002 (SOX) để khôi phục niềm tin vào thị trường.</w:t>
      </w:r>
    </w:p>
    <w:p>
      <w:pPr>
        <w:spacing w:after="80"/>
      </w:pPr>
      <w:r>
        <w:rPr>
          <w:b w:val="0"/>
          <w:i w:val="0"/>
        </w:rPr>
        <w:t>Tổng thống George W. Bush nói SOX bao gồm “những cải cách sâu rộng nhất đối với thực tiễn kinh doanh Mỹ kể từ Franklin Delano Roosevelt” và đạo luật này đã gây nhiều tranh cãi khi được ban hành. Sarbanes-Oxley thực sự đã áp đặt nhiều yêu cầu mới đối với các công ty đại chúng cùng các lãnh đạo điều hành và giám đốc của họ. Tuy nhiên, nhìn chung, Đạo luật không tạo thành một sự rời bỏ cấp tiến khỏi thực tiễn trước đây, mà thay vào đó xây dựng dựa trên các quy định liên bang, luật tiểu bang, thực tiễn kế toán và các quy ước quản trị doanh nghiệp hiện có. Kết quả là, SOX là một phần [của] một quá trình lớn hơn nhằm củng cố quản trị doanh nghiệp chứ không phải là một sự rời bỏ cơ bản khỏi các xu hướng trước đây. Như Ira Millstein, một chuyên gia nổi tiếng về quản trị doanh nghiệp, đã nói: “SOX đã trực tiếp làm điều mà nó được cho là phải làm: lấy các thực tiễn tốt nhất về tính độc lập của giám đốc và các thủ tục kiểm toán và biến chúng thành bắt buộc. . . . Tất cả những gì Sarbanes làm là lấy ‘nên’ và ‘có thể’ và biến thành phải. Và nó đã hiệu quả.”</w:t>
      </w:r>
    </w:p>
    <w:p>
      <w:pPr>
        <w:spacing w:after="80"/>
      </w:pPr>
      <w:r>
        <w:rPr>
          <w:b w:val="0"/>
          <w:i w:val="0"/>
        </w:rPr>
        <w:t>Các cải cách mà SOX đưa ra liên quan đến hội đồng quản trị và báo cáo tài chính minh họa cách đạo luật này xây dựng dựa trên các xu hướng quản trị doanh nghiệp hiện có. Với hội đồng quản trị, các ủy ban kiểm toán vốn đã là một khía cạnh cố thủ của quản trị doanh nghiệp trước Enron. Từ điểm xuất phát này, SOX đã ra lệnh thay đổi các quy chế niêm yết của NYSE và NASDAQ National Market, quy định rõ các nhiệm vụ chính thức của ủy ban kiểm toán, yêu cầu các công ty phải có một ủy ban kiểm toán gồm hoàn toàn các giám đốc độc lập, và buộc các công ty phải đưa ra giải thích nếu ủy ban thiếu một thành viên là “chuyên gia tài chính.”</w:t>
      </w:r>
    </w:p>
    <w:p>
      <w:pPr>
        <w:spacing w:after="80"/>
      </w:pPr>
      <w:r>
        <w:rPr>
          <w:b w:val="0"/>
          <w:i w:val="0"/>
        </w:rPr>
        <w:t>Về báo cáo tài chính, SOX đã tạo ra một ban giám sát mới để điều chỉnh các kế toán viên và kỷ luật các kiểm toán viên, cấm các công ty kiểm toán cung cấp một loạt rộng các dịch vụ tư vấn cho các công ty mà họ kiểm toán, và buộc các tổng giám đốc điều hành và giám đốc tài chính của các công ty đại chúng phải chứng nhận tính chính xác và đầy đủ của các báo cáo tài chính hàng quý và hàng năm. Một phần động lực cho các cải cách SOX định hướng kế toán có thể được truy nguyên về sự chuyển dịch từ thù lao điều hành dựa trên tiền mặt sang dựa trên cổ phần bắt đầu một cách nghiêm túc vào những năm 1990. Như giáo sư luật Jack Coffee đã chỉ ra, một “mặt tối” của thù lao dựa trên quyền chọn là càng nhiều quyền chọn cổ phiếu thường có nghĩa là càng nhiều gian lận, vì các lãnh đạo điều hành cấp cao có động cơ tài chính mạnh mẽ để thao túng thu nhập nhằm tối đa hóa các khoản chi trả có được từ việc thực hiện quyền chọn. Việc điều chỉnh lại thu nhập trở nên phổ biến khi những năm 1990 khép lại, phản ánh ít nhất một phần mong muốn của các lãnh đạo điều hành đạt được các mục tiêu thù lao định hướng hiệu suất, và các vụ gian lận kế toán phức tạp được thiết kế để chống đỡ giá cổ phiếu là dấu ấn của các bê bối Enron và WorldCom mang tính biểu tượng. Tất cả điều này ngụ ý rằng các biện pháp kiểm soát hiện có, như kiểm toán viên bên ngoài và hội đồng quản trị độc lập, là một đối trọng không đủ đối với “mặt tối” của thù lao điều hành dựa trên cổ phần. SOX trên thực tế nhằm khôi phục lại sự cân bằng mà không làm mất đi khả năng của các công ty đại chúng trong việc tìm cách thúc đẩy các lãnh đạo điều hành của mình bằng thù lao định hướng hiệu suất.</w:t>
      </w:r>
    </w:p>
    <w:p>
      <w:pPr>
        <w:spacing w:after="80"/>
      </w:pPr>
      <w:r>
        <w:rPr>
          <w:b w:val="0"/>
          <w:i/>
        </w:rPr>
        <w:t>Vốn cổ phần tư nhân</w:t>
      </w:r>
    </w:p>
    <w:p>
      <w:pPr>
        <w:spacing w:after="80"/>
      </w:pPr>
      <w:r>
        <w:rPr>
          <w:b w:val="0"/>
          <w:i w:val="0"/>
        </w:rPr>
        <w:t>Theo giáo sư luật Jonathan Macey, “Thành phần quan trọng nhất lấy cảm hứng từ thị trường trong cơ sở hạ tầng quản trị doanh nghiệp của Mỹ là thị trường kiểm soát doanh nghiệp.” Thị trường này liên quan đến việc mua và bán các quyền lợi kiểm soát trong các công ty và cung cấp động cơ cho các nhà quản lý để tối đa hóa giá trị cổ đông vì họ biết rằng một đề nghị thâu tóm kiểm soát không được hoan nghênh có thể sắp xảy ra nếu giá cổ phiếu đang ảm đạm. Nó đặc biệt sôi động trong “Thập kỷ Giao dịch” những năm 1980, với loại giao dịch nổi bật nhất là việc mua lại từ đại chúng thành tư nhân, nơi các nhà tài chính hoạt động như các hiệp hội LBO (mua lại có đòn bẩy) sẽ vay nặng để mua hết toàn bộ cổ phần thuộc sở hữu đại chúng của một công ty và đưa công ty thành tư nhân.</w:t>
      </w:r>
    </w:p>
    <w:p>
      <w:pPr>
        <w:spacing w:after="80"/>
      </w:pPr>
      <w:r>
        <w:rPr>
          <w:b w:val="0"/>
          <w:i w:val="0"/>
        </w:rPr>
        <w:t>Khi những năm 1980 khép lại, các tòa án Delaware và các cơ quan lập pháp tiểu bang đã cung cấp sự hậu thuẫn pháp lý mạnh mẽ cho các nhà quản lý có ý định chống lại các đề nghị chào mua không được hoan nghênh. Việc thắt chặt thị trường tín dụng cũng khiến việc dàn dựng các vụ mua lại từ đại chúng thành tư nhân trở nên khó khăn hơn nhiều. Holmstrom và Kaplan đã lập luận trong khảo sát năm 2001 của họ về quản trị doanh nghiệp rằng loại giao dịch này dù sao cũng đã lỗi thời. Họ lý luận rằng lý do chính yếu cho một giao dịch từ đại chúng thành tư nhân, cụ thể là tái cấu trúc các tài sản kém hiệu quả, không còn phù hợp nữa vì các lãnh đạo điều hành công ty đại chúng, được thúc đẩy bởi thù lao điều hành dựa trên khuyến khích và sự giám sát chặt chẽ hơn từ cổ đông và giám đốc, vốn đã đang tìm cách tối đa hóa giá trị cổ đông. Trên thực tế, một sự hồi sinh của giao dịch từ đại chúng thành tư nhân chỉ còn cách một bước chân.</w:t>
      </w:r>
    </w:p>
    <w:p>
      <w:pPr>
        <w:spacing w:after="80"/>
      </w:pPr>
      <w:r>
        <w:rPr>
          <w:b w:val="0"/>
          <w:i w:val="0"/>
        </w:rPr>
        <w:t>Các hiệp hội LBO—được đổi tên thành các công ty vốn cổ phần tư nhân—đã đạt được thành công lớn trong phần lớn thập niên 2000 trong việc đảm bảo sự hậu thuẫn cho các quỹ đầu tư mà họ khởi xướng giữa sự nhiệt tình chung đối với các chiến lược đầu tư “thay thế” trong giới quỹ hưu trí, quỹ tài trợ và các nhà đầu tư tư nhân giàu có, những người thất vọng với lợi nhuận thị trường chứng khoán không đồng đều, để tích lũy những nguồn vốn khổng lồ sẵn có cho việc mua lại. Các công ty vốn cổ phần tư nhân cũng nhận thấy việc vay những khoản tiền lớn với các điều khoản hấp dẫn là dễ dàng, nghĩa là họ có hỏa lực tài chính cần thiết để thâu tóm tất cả trừ những công ty đại chúng lớn nhất. Tương ứng, “[t]rong năm 2006, giá trị của . . . các vụ mua lại ‘từ đại chúng thành tư nhân’ đã tăng vọt lên mức kỷ lục 120 tỷ đô la, tương đương khoảng 1,5% Tổng sản phẩm quốc nội, tăng từ chỉ hơn 70 tỷ đô la vào năm 2005.”</w:t>
      </w:r>
    </w:p>
    <w:p>
      <w:pPr>
        <w:spacing w:after="80"/>
      </w:pPr>
      <w:r>
        <w:rPr>
          <w:b w:val="0"/>
          <w:i w:val="0"/>
        </w:rPr>
        <w:t>Trong khi private equity (vốn cổ phần tư nhân) nổi tiếng với việc đưa các công ty ra khỏi thị trường chứng khoán, làn sóng mua lại bằng private equity có khả năng đã tạo ra một chất xúc tác cho quản trị doanh nghiệp tốt hơn ở các công ty đại chúng nói chung. Các nhà thầu private equity thích hợp tác với ban điều hành hiện hữu hơn là đưa ra các lời đề nghị "thù địch". Tuy nhiên, trong các cuộc đàm phán mua lại, vị thế thương lượng của đội ngũ quản lý hiện hữu sẽ được củng cố nếu công ty được điều hành tốt, và những giám đốc điều hành kém hiệu quả có thể dễ dàng thấy mình bị gạt ra ngoài trong một cuộc tái cấu trúc của private equity. Do đó, private equity có khả năng tạo ra hiệu ứng kỷ luật đối với các công ty đại chúng, phần nào giống như các lời đề nghị thâu tóm thù địch kiểu cũ. Như nhà kinh tế học Irwin Stelzer đã nói vào năm 2007:</w:t>
      </w:r>
    </w:p>
    <w:p>
      <w:pPr>
        <w:spacing w:after="80"/>
      </w:pPr>
      <w:r>
        <w:rPr>
          <w:b w:val="0"/>
          <w:i w:val="0"/>
        </w:rPr>
        <w:t>Có thể chúng ta đang bước vào một giai đoạn mới của chủ nghĩa tư bản. Các công ty bị các quỹ private equity tiếp quản sẽ phải cải thiện hiệu quả hoạt động của mình; các công ty thuộc sở hữu đại chúng cạnh tranh với chúng sẽ phải phản ứng bằng cách cải thiện lợi nhuận của chính mình. Cuộc sống ở tầng cao nhất của giới doanh nghiệp Mỹ sẽ bớt dễ chịu hơn. Đó chính là ý nghĩa của chủ nghĩa tư bản năng động—sự thay đổi khiến những kẻ an nhàn cảm thấy không thoải mái.</w:t>
      </w:r>
    </w:p>
    <w:p>
      <w:pPr>
        <w:spacing w:after="80"/>
      </w:pPr>
      <w:r>
        <w:rPr>
          <w:b w:val="0"/>
          <w:i/>
        </w:rPr>
        <w:t>Chủ nghĩa hoạt động của quỹ đầu cơ</w:t>
      </w:r>
    </w:p>
    <w:p>
      <w:pPr>
        <w:spacing w:after="80"/>
      </w:pPr>
      <w:r>
        <w:rPr>
          <w:b w:val="0"/>
          <w:i w:val="0"/>
        </w:rPr>
        <w:t>Thị trường kiểm soát doanh nghiệp xoay quanh các lời đề nghị mua lại (tender offers) được thiết kế để giành được cổ phần chi phối đảm bảo rằng nhà thầu có thể chọn các giám đốc của công ty mục tiêu và qua đó kiểm soát công ty. Một nhà đầu tư nhắm vào một công ty hoạt động kém hiệu quả có thể thay vào đó không tìm cách giành quyền kiểm soát biểu quyết mà thay vào đó "tấn công" bằng cách tích lũy một lượng cổ phần thiểu số đủ lớn để thu hút sự chú ý của ban quản lý và sử dụng đòn bẩy đó để vận động cho những thay đổi nhằm gia tăng giá trị cổ đông. Trong suốt thập niên 1990, một số ít cổ đông tổ chức—nổi bật nhất là CalPERS—bắt đầu phân tích hiệu quả hoạt động của các giám đốc điều hành và hội đồng quản trị để xác định các công ty hoạt động kém để nhắm tới hành động cổ đông. Tuy nhiên, các quỹ hưu trí và quỹ tương hỗ cuối cùng tỏ ra miễn cưỡng trong việc đi xa hơn trong việc thách thức các công ty đại chúng ngoài việc định kỳ tuân theo các khuyến nghị của một dịch vụ cố vấn cổ đông để bỏ phiếu chống lại các chính sách mà ban quản lý ủng hộ. Một trở ngại chính là những nhà đầu tư này nhấn mạnh đa dạng hóa như một triết lý đầu tư. Vì lợi nhuận được cải thiện ở một công ty cụ thể chỉ có khả năng tác động biên đến một danh mục đầu tư đa dạng hóa và vì chủ nghĩa hoạt động tốn thời gian, tốn kém và không phải lúc nào cũng thành công, nên các con số đơn giản là không hợp lý.</w:t>
      </w:r>
    </w:p>
    <w:p>
      <w:pPr>
        <w:spacing w:after="80"/>
      </w:pPr>
      <w:r>
        <w:rPr>
          <w:b w:val="0"/>
          <w:i w:val="0"/>
        </w:rPr>
        <w:t>Trong khi cả quỹ hưu trí lẫn quỹ tương hỗ đều không tỏ ra sẵn sàng tham gia vào chủ nghĩa hoạt động cổ đông "tấn công", các nhà quản lý quỹ đầu cơ bắt đầu từ thập niên 2000 bước lên một cách nghiêm túc và nhắm vào các công ty hoạt động kém hiệu quả. Chiến thuật điển hình là âm thầm tích lũy một vị thế lớn trong công ty mục tiêu và khuấy động đòi thay đổi, với những yêu cầu phổ biến là ban quản lý trả lại tiền mặt cho cổ đông thông qua việc mua lại cổ phiếu hoặc trả cổ tức một lần, bán các bộ phận yếu kém, hoặc thậm chí đưa chính công ty ra bán. Đối với các quỹ đầu cơ hoạt động, sức hấp dẫn là triển vọng bán ra với lợi nhuận đáng kể sau khi các thay đổi gia tăng giá trị đã diễn ra. Lợi nhuận tiềm năng có thể đặc biệt hấp dẫn nếu quỹ đầu cơ có thể mua cổ phiếu của mình với giá chiết khấu trước khi buộc phải tiết lộ cổ phần của mình theo Schedule 13D của Đạo luật Giao dịch Chứng khoán năm 1934, đạo luật yêu cầu nộp báo cáo sở hữu trong vòng mười ngày sau khi mua được 5 phần trăm hoặc hơn cổ phiếu của một công ty đại chúng.</w:t>
      </w:r>
    </w:p>
    <w:p>
      <w:pPr>
        <w:spacing w:after="80"/>
      </w:pPr>
      <w:r>
        <w:rPr>
          <w:b w:val="0"/>
          <w:i w:val="0"/>
        </w:rPr>
        <w:t xml:space="preserve">Các quỹ đầu cơ hoạt động nói chung ít có khả năng nhắm vào các công ty lớn hơn là các công ty nhỏ vì cần một lượng vốn lớn để có được một khối biểu quyết đủ lớn để khiến chủ nghĩa hoạt động tấn công trở nên đáng giá. Tuy nhiên, với tài sản do các quỹ đầu cơ quản lý tăng đáng kể trong thập niên 2000, và với việc các quỹ đầu cơ có thể tăng hỏa lực tài chính của mình một cách dễ dàng thông qua vay mượn do nợ dồi dào và "rẻ", các nhà quản lý quỹ đầu cơ có nhiệm vụ hoạt động cổ đông có thể, và đã, thách thức ban quản lý tại các công ty rất lớn. Điều này có nghĩa là "[c]ác quỹ đầu cơ [đã] trở thành những nhân tố then chốt trong . . . quản trị doanh nghiệp." Tờ </w:t>
      </w:r>
      <w:r>
        <w:rPr>
          <w:b w:val="0"/>
          <w:i/>
        </w:rPr>
        <w:t>New York Times</w:t>
      </w:r>
      <w:r>
        <w:rPr>
          <w:b w:val="0"/>
          <w:i w:val="0"/>
        </w:rPr>
        <w:t xml:space="preserve"> đã nói mạnh mẽ hơn vào năm 2007, rằng "những nhà hoạt động đã chiếm được vòng trung tâm và đang điều khiển sự kiện chính." Một nhà bình luận của tờ </w:t>
      </w:r>
      <w:r>
        <w:rPr>
          <w:b w:val="0"/>
          <w:i/>
        </w:rPr>
        <w:t>Wall Street Journal</w:t>
      </w:r>
      <w:r>
        <w:rPr>
          <w:b w:val="0"/>
          <w:i w:val="0"/>
        </w:rPr>
        <w:t xml:space="preserve"> cũng nhận xét tương tự vào năm 2008, "Giống như một chính trị gia nổi loạn tuyên bố chiến thắng, các cổ đông có thể tuyên bố cuộc cách mạng của họ gần như đã hoàn tất."</w:t>
      </w:r>
    </w:p>
    <w:p>
      <w:pPr>
        <w:spacing w:after="80"/>
      </w:pPr>
      <w:r>
        <w:rPr>
          <w:b w:val="0"/>
          <w:i w:val="0"/>
        </w:rPr>
        <w:t>Những người chỉ trích chủ nghĩa hoạt động của quỹ đầu cơ lập luận rằng các quỹ đầu cơ là những nhà giao dịch siêu năng động, dễ gây áp lực buộc các nhà quản lý của một công ty mục tiêu thực hiện các bước có thể nâng giá cổ phiếu trong ngắn hạn nhưng sẽ không giúp ích cho công ty, và thậm chí có thể gây hại cho công ty, trong dài hạn. Những người khác đưa ra đánh giá thuận lợi hơn, nói rằng các quỹ đầu cơ đang cải thiện quản trị doanh nghiệp bằng cách tăng cường khả năng đáp ứng của ban quản lý đối với giá trị cổ đông. Ví dụ, các giáo sư tài chính Alon Brav và Wei Jiang cùng các giáo sư luật Frank Partnoy và Randall Thomas đã tuyên bố trên cơ sở một nghiên cứu thực nghiệm chi tiết về chủ nghĩa hoạt động của quỹ đầu cơ "rằng các quỹ đầu cơ hoạt động chiếm một vùng trung gian quan trọng giữa giám sát nội bộ bởi các cổ đông lớn và giám sát bên ngoài bởi những kẻ săn mồi doanh nghiệp."</w:t>
      </w:r>
    </w:p>
    <w:p>
      <w:pPr>
        <w:spacing w:after="80"/>
      </w:pPr>
      <w:r>
        <w:rPr>
          <w:b w:val="0"/>
          <w:i w:val="0"/>
        </w:rPr>
        <w:t>Giáo sư Macey đã đưa ra lập luận ủng hộ chủ nghĩa hoạt động của quỹ đầu cơ thậm chí mạnh mẽ hơn, nói rằng "các quỹ đầu cơ . . . là một bổ sung cực kỳ quan trọng cho thị trường kiểm soát doanh nghiệp trong kho vũ khí các thiết chế quản trị doanh nghiệp của bất kỳ quốc gia nào." Ông lập luận rằng những lợi ích không chỉ mở rộng đến các công ty mà quỹ đầu cơ nhắm tới. Thay vào đó,</w:t>
      </w:r>
    </w:p>
    <w:p>
      <w:pPr>
        <w:spacing w:after="80"/>
      </w:pPr>
      <w:r>
        <w:rPr>
          <w:b w:val="0"/>
          <w:i w:val="0"/>
        </w:rPr>
        <w:t>vai trò then chốt mà các quỹ đầu cơ đang đảm nhận . . . trong quản trị doanh nghiệp ảnh hưởng đến tất cả các công ty theo một cách rất sâu sắc. Ngay cả những công ty muốn tránh trở thành mục tiêu của một quỹ hoạt động cũng chỉ có thể làm điều này bằng cách cải thiện quản trị doanh nghiệp một cách toàn diện để không còn bất kỳ khả năng chênh lệch giá nào cho phép các nhà quản lý quỹ nắm giữ một vị thế trong công ty mục tiêu và sau đó bắt đầu khuấy động đòi cải cách.</w:t>
      </w:r>
    </w:p>
    <w:p>
      <w:pPr>
        <w:spacing w:after="80"/>
      </w:pPr>
      <w:r>
        <w:rPr>
          <w:b w:val="0"/>
          <w:i w:val="0"/>
        </w:rPr>
        <w:t>Trong chừng mực đánh giá này là chính xác, sự xuất hiện của các quỹ đầu cơ như những nhà hoạt động cổ đông tấn công trong thập niên 2000 sẽ bổ sung cho các cơ chế quản trị doanh nghiệp hiện có, vốn phục vụ việc cung cấp cho các nhà quản lý những động lực để tập trung vào lợi nhuận cổ đông.</w:t>
      </w:r>
    </w:p>
    <w:p>
      <w:pPr>
        <w:pStyle w:val="Heading5"/>
      </w:pPr>
      <w:r>
        <w:rPr>
          <w:rFonts w:ascii="Calibri" w:hAnsi="Calibri"/>
          <w:b/>
          <w:i/>
          <w:sz w:val="22"/>
        </w:rPr>
        <w:t>Bình luận và Câu hỏi</w:t>
      </w:r>
    </w:p>
    <w:p>
      <w:pPr>
        <w:spacing w:after="80"/>
      </w:pPr>
      <w:r>
        <w:rPr>
          <w:b w:val="0"/>
          <w:i w:val="0"/>
        </w:rPr>
        <w:t>1. Tường thuật của Giáo sư Cheffins minh họa một trong những chủ đề lặp đi lặp lại trong nghiên cứu của chúng ta về quản trị doanh nghiệp: "Quản trị, giống như tôn giáo, không thu hút tín đồ trong thời kỳ tốt đẹp." Ở Hoa Kỳ, các cải cách quản trị doanh nghiệp đã theo sau sự sụp đổ của các công ty đại chúng lớn và, liên quan đến đó, những tiết lộ sau khi chết về gian lận, tư lợi, hoặc hành vi bất hợp pháp khác của các nhà quản lý công ty. Giống như sự sụp đổ của Enron khoảng ba thập kỷ sau đó, sự phá sản năm 1970 của tập đoàn khổng lồ Penn Central đã làm chấn động các cổ đông của nó (nhiều người trong số họ là nhân viên đường sắt) cũng như các thị trường vốn. Các cuộc điều tra của chính phủ về sự thất bại của tập đoàn lớn thứ sáu của quốc gia đã tiết lộ không chỉ rằng ban quản lý Penn Central đã xuyên tạc tình hình tài chính của công ty và làm giả sổ sách để che giấu thua lỗ, mà còn rằng các giám đốc của Penn Central đã nhận được thông tin tài chính không đầy đủ, không phản hồi các cảnh báo cụ thể về tình trạng tài chính thực tế của công ty, và đứng nhìn trong khi các giám đốc điều hành tự trả cho mình những mức lương xa hoa và giao dịch dựa trên thông tin nội bộ. SEC đã chỉ trích hội đồng quản trị vì thiếu tính độc lập và vì đã phớt lờ các cảnh báo về cả thảm họa tài chính sắp xảy ra của công ty lẫn hành vi đáng ngờ của các viên chức quan trọng nhất của nó. Tương tự, một báo cáo của nhân viên ủy ban Quốc hội đã chỉ trích các giám đốc của Penn Central vì đã dựa vào các bài trình bày bằng lời nói và không thu thập được thông tin tài chính đầy đủ cần thiết để giám sát ban quản lý một cách hiệu quả.</w:t>
      </w:r>
    </w:p>
    <w:p>
      <w:pPr>
        <w:spacing w:after="80"/>
      </w:pPr>
      <w:r>
        <w:rPr>
          <w:b w:val="0"/>
          <w:i w:val="0"/>
        </w:rPr>
        <w:t xml:space="preserve">Đáng tiếc thay, Penn Central không phải là trường hợp duy nhất về lạm dụng doanh nghiệp được phát hiện trong giai đoạn này. Các tập đoàn khác bị gian lận quản lý và tư lợi hoành hành—Equity Funding và Stirling Homex, chỉ kể tên hai—cũng sụp đổ bất ngờ. Hàng trăm tập đoàn khác thừa nhận rằng họ đã hối lộ hoặc thực hiện các khoản thanh toán bất hợp pháp khác cho các quan chức ở nước ngoài. Các công tố viên liên bang còn nhắm vào nhiều công ty khác vì vi phạm luật tài chính chiến dịch tranh cử trong nước. Sau một thập kỷ dường như có hành vi sai trái lan tràn, một bài báo đặc biệt trên tạp chí </w:t>
      </w:r>
      <w:r>
        <w:rPr>
          <w:b w:val="0"/>
          <w:i/>
        </w:rPr>
        <w:t>Fortune</w:t>
      </w:r>
      <w:r>
        <w:rPr>
          <w:b w:val="0"/>
          <w:i w:val="0"/>
        </w:rPr>
        <w:t xml:space="preserve"> năm 1980 đã hỏi, "Các công ty lớn vô pháp đến mức nào?" Bài báo đưa tin rằng khoảng 11 phần trăm các tập đoàn lớn của Mỹ đã tham gia vào các hành vi tham nhũng (không bao gồm hối lộ nước ngoài và tiền lại quả) trong thập kỷ trước, với nhiều công ty phạm nhiều tội.</w:t>
      </w:r>
    </w:p>
    <w:p>
      <w:pPr>
        <w:spacing w:after="80"/>
      </w:pPr>
      <w:r>
        <w:rPr>
          <w:b w:val="0"/>
          <w:i w:val="0"/>
        </w:rPr>
        <w:t>2. Các vụ bê bối doanh nghiệp gây chú ý trên các tiêu đề trong thập niên 1970 đã tạo ra sự chỉ trích rộng rãi đối với các doanh nghiệp lớn và sự đồng thuận chung về nhu cầu cải cách quản trị doanh nghiệp. Như Giáo sư Cheffins chỉ ra, hầu hết các cải cách được đề xuất đều tập trung vào việc bầu thêm các giám đốc bên ngoài vào hội đồng quản trị, những người độc lập với ban quản lý, những người sẽ giám sát các giám đốc điều hành một cách khách quan và tích cực. Tuy nhiên, tranh cãi đã nảy sinh về việc liệu nên quy định phòng họp hội đồng quản trị của các công ty đại chúng hay dựa vào giới doanh nghiệp Mỹ để tự tái cấu trúc một cách tự nguyện. Ngay cả khi các công ty đưa nhiều người ngoài vào hội đồng quản trị của mình, các chuyên gia quản trị vẫn nghi ngờ rằng thay đổi có ý nghĩa sẽ xảy ra nếu không có một mệnh lệnh pháp lý. Như Giáo sư Myles Mace của Trường Kinh doanh Harvard đã viết vào năm 1979:</w:t>
      </w:r>
    </w:p>
    <w:p>
      <w:pPr>
        <w:spacing w:after="80"/>
      </w:pPr>
      <w:r>
        <w:rPr>
          <w:b w:val="0"/>
          <w:i w:val="0"/>
        </w:rPr>
        <w:t>Thật không hợp lý khi mong đợi các CEO tự nguyện từ bỏ hoặc hạn chế quyền kiểm soát trên thực tế của họ trong các công ty tương ứng của mình. Như trường hợp mười năm trước, các CEO vẫn kiểm soát tư cách thành viên hội đồng quản trị; quyết định những gì hội đồng quản trị làm và không làm; xếp đặt hội đồng quản trị của mình với nhân viên và với những người cung cấp dịch vụ chuyên môn cho ban quản lý như các chủ ngân hàng đầu tư, chủ ngân hàng thương mại, và cố vấn pháp lý bên ngoài; kiểm soát chương trình nghị sự và hệ thống thông tin quản lý; và quản lý các gói thù lao cho các giám đốc điều hành chủ chốt, bao gồm các đặc quyền. Nhiều CEO thích nó như hiện tại. Các khuyến nghị về bất kỳ thay đổi nào có vẻ như bào mòn quyền kiểm soát trên thực tế đều bị chống lại, bị gạt bỏ như phản tác dụng hoặc, như được phân loại theo lời của một giám đốc điều hành, là phi Mỹ và phá hoại hệ thống doanh nghiệp tự do.</w:t>
      </w:r>
    </w:p>
    <w:p>
      <w:pPr>
        <w:spacing w:after="80"/>
      </w:pPr>
      <w:r>
        <w:rPr>
          <w:b w:val="0"/>
          <w:i w:val="0"/>
        </w:rPr>
        <w:t>Năm 1980, cả hai viện của Quốc hội đã xem xét các dự luật thiết lập các tiêu chuẩn tối thiểu liên bang cho thành phần hội đồng quản trị doanh nghiệp, nghĩa vụ của giám đốc, và quyền của cổ đông. Tuy nhiên, luật được đề xuất đã bị đình trệ sau cuộc bầu cử năm 1980 của Tổng thống Ronald Reagan và sự chuyển dịch chính trị tương ứng rời xa việc chính phủ quy định doanh nghiệp. Khi chúng ta bắt đầu nghiên cứu về quản trị doanh nghiệp, quan điểm của bạn về nhu cầu chính phủ sắp đặt các công việc nội bộ của doanh nghiệp là gì? Giả sử có sự cần thiết của một số can thiệp của chính phủ, liệu các công việc nội bộ của doanh nghiệp được quy định tốt nhất bởi các bang hay bởi chính phủ liên bang? Trong chương tiếp theo, chúng ta xem xét lịch sử và phạm vi của các mệnh lệnh của bang và liên bang ảnh hưởng đến quản trị doanh nghiệp.</w:t>
      </w:r>
    </w:p>
    <w:p>
      <w:pPr>
        <w:spacing w:after="80"/>
      </w:pPr>
      <w:r>
        <w:rPr>
          <w:b w:val="0"/>
          <w:i w:val="0"/>
        </w:rPr>
        <w:t>3. Giáo sư Cheffins lưu ý rằng các giám đốc bên ngoài (outside directors) từng bị coi là quá xa rời hoạt động kinh doanh hằng ngày của công ty để có thể giám sát gian lận của ban lãnh đạo và các hành vi sai trái khác. Tuy nhiên, đến đầu thập niên 1980, đã hình thành sự đồng thuận rằng “giám đốc ‘bên ngoài’ đã thắng”. Các giám đốc bên ngoài được giao trách nhiệm giám sát ban lãnh đạo nhằm ngăn chặn hành vi sai trái và đẩy lùi sự lạm dụng. Ngay cả các giám đốc điều hành doanh nghiệp và những người ủng hộ họ, như Business Roundtable, cũng khuyến khích bầu thêm các giám đốc không thuộc ban lãnh đạo (“bên ngoài”) vào hội đồng quản trị công ty. Điều gì lý giải cho sự thay đổi quan điểm này? Tại sao các CEO có thể đồng ý đề cử các giám đốc mới không thuộc quyền quản lý của họ?</w:t>
      </w:r>
    </w:p>
    <w:p>
      <w:pPr>
        <w:spacing w:after="80"/>
      </w:pPr>
      <w:r>
        <w:rPr>
          <w:b w:val="0"/>
          <w:i w:val="0"/>
        </w:rPr>
        <w:t xml:space="preserve">4. Bài viết của Giáo sư Cheffins cũng đề cập đến một chủ đề chính khác trong nghiên cứu của chúng ta: những thay đổi trong quyền sở hữu cổ phần của công ty đại chúng ảnh hưởng như thế nào đến luật, quy định và chuẩn mực quản trị công ty. Trong thời kỳ Đại suy thoái, khi Berle và Means viết </w:t>
      </w:r>
      <w:r>
        <w:rPr>
          <w:b w:val="0"/>
          <w:i/>
        </w:rPr>
        <w:t>The Modern Corporation and Private Property,</w:t>
      </w:r>
      <w:r>
        <w:rPr>
          <w:b w:val="0"/>
          <w:i w:val="0"/>
        </w:rPr>
        <w:t xml:space="preserve"> các cá nhân (đôi khi được gọi là nhà đầu tư bán lẻ) sở hữu phần lớn cổ phiếu đang lưu hành của các công ty đại chúng Hoa Kỳ. Như Berle và Means đã nhận ra, những cổ đông như vậy thường thiếu cả phương tiện lẫn động lực để giám sát các nhà quản lý công ty, chứ chưa nói đến việc kiểm soát họ. Các cổ đông thường làm gì nếu họ trở nên bất mãn với kết quả hoạt động của công ty và/hoặc ban lãnh đạo của công ty?</w:t>
      </w:r>
    </w:p>
    <w:p>
      <w:pPr>
        <w:spacing w:after="80"/>
      </w:pPr>
      <w:r>
        <w:rPr>
          <w:b w:val="0"/>
          <w:i w:val="0"/>
        </w:rPr>
        <w:t>Những giới hạn được chấp nhận đối với sự tham gia của cổ đông đã thay đổi khi ngày càng nhiều nhà đầu tư tổ chức tham gia thị trường, mua và bán chứng khoán do các công ty đại chúng chào bán. Theo thời gian, khi lượng nắm giữ của các tổ chức đối với cổ phiếu Hoa Kỳ tăng lên, tiềm năng — nếu không phải là thực tế — ảnh hưởng của cổ đông đối với quản trị công ty cũng mở rộng. Vì họ có thể bỏ phiếu cho các khối cổ phần lớn, hoặc bán các vị thế lớn của mình và gây ảnh hưởng tiêu cực đến giá cổ phiếu, các nhà đầu tư tổ chức có đòn bẩy để đòi hỏi một vai trò tích cực hơn trong quản trị doanh nghiệp so với các cổ đông cá nhân phân tán rộng rãi. Với kỹ năng và sự tinh thông của các nhà đầu tư chuyên nghiệp, các tổ chức có thể giám sát tích cực hơn và tìm cách thay thế các thành viên hội đồng quản trị của những công ty hoạt động kém hiệu quả. Đến thập niên 1970, Quốc hội và SEC đã nhận ra triển vọng từ sự tham gia của các nhà đầu tư tổ chức vào quản trị công ty, và họ đã triệu tập các phiên điều trần công khai để xem xét sự tham gia của cổ đông.</w:t>
      </w:r>
    </w:p>
    <w:p>
      <w:pPr>
        <w:spacing w:after="80"/>
      </w:pPr>
      <w:r>
        <w:rPr>
          <w:b w:val="0"/>
          <w:i w:val="0"/>
        </w:rPr>
        <w:t>Các nhà lập pháp và cơ quan quản lý đã nghe những quan điểm trái chiều về việc liệu cổ đông có quan tâm đến việc trở nên tích cực hơn trong quản trị doanh nghiệp hay không. Phát hiện này lẽ ra không nên làm các nhà làm luật ngạc nhiên, vì các tổ chức không đồng nhất. Sử dụng các cấu trúc tổ chức và quản lý khác nhau, các tổ chức theo đuổi những mục tiêu đầu tư riêng biệt, dùng vô số chiến lược, trong nhiều khung thời gian khác nhau. Các nhà đầu tư tổ chức cũng chịu các cơ chế quản lý riêng biệt (mặc dù một số cổ đông tổ chức phần lớn không bị quản lý), và họ đối mặt với những xung đột lợi ích khác nhau, tùy thuộc vào người thụ hưởng và mô hình kinh doanh của họ. Tại sao một số cổ đông tổ chức nhất định có thể tìm kiếm tiếng nói lớn hơn trong các vấn đề nội bộ của công ty? Những loại cổ đông tổ chức nào có thể thích duy trì đầu tư thụ động?</w:t>
      </w:r>
    </w:p>
    <w:p>
      <w:pPr>
        <w:spacing w:after="80"/>
      </w:pPr>
      <w:r>
        <w:rPr>
          <w:b w:val="0"/>
          <w:i w:val="0"/>
        </w:rPr>
        <w:t>Các nhà làm luật cũng được nghe rằng các đạo luật và quy định hiện hành lúc bấy giờ, cùng với thông tin không đầy đủ, đã cản trở cổ đông thực hiện đầy đủ quyền đề cử, bầu và bãi miễn các thành viên hội đồng quản trị. Đáp lại phản hồi này từ các nhà đầu tư, SEC bắt đầu xem xét lại các quy tắc ủy quyền (proxy) liên bang. Chúng ta sẽ xem xét vai trò của SEC trong việc tạo điều kiện cho sự tham gia của cổ đông vào quản trị công ty, bắt đầu từ chương tiếp theo.</w:t>
      </w:r>
    </w:p>
    <w:p>
      <w:pPr>
        <w:spacing w:after="80"/>
      </w:pPr>
      <w:r>
        <w:rPr>
          <w:b w:val="0"/>
          <w:i w:val="0"/>
        </w:rPr>
        <w:t>5. Trong Thập kỷ Giao dịch (Deal Decade) của thập niên 1980, thị trường kiểm soát công ty (market for corporate control) vận hành để kỷ luật ban lãnh đạo các công ty niêm yết, buộc họ hành động vì lợi ích tốt nhất của cổ đông. Thị trường kiểm soát công ty thúc đẩy ban lãnh đạo như thế nào? Các tổ chức hoạt động tích cực đã làm gì để tạo điều kiện cho các thương vụ thâu tóm thù địch (hostile takeover) trong Thập kỷ Giao dịch?</w:t>
      </w:r>
    </w:p>
    <w:p>
      <w:pPr>
        <w:spacing w:after="80"/>
      </w:pPr>
      <w:r>
        <w:rPr>
          <w:b w:val="0"/>
          <w:i w:val="0"/>
        </w:rPr>
        <w:t>Trong số các lập luận khác chống lại các thương vụ thâu tóm, những người phản đối cho rằng ngay cả khi cổ đông thu lợi từ các giao dịch đó, họ đã làm vậy với cái giá của các bên liên quan khác trong công ty, bao gồm nhân viên của các công ty và cộng đồng địa phương nơi các công ty hoạt động. Chúng ta sẽ xem xét luận điểm này, và cách các cơ quan lập pháp tiểu bang phản ứng với mối lo ngại này, khi chúng ta xem xét thị trường kiểm soát công ty trong Chương 8.</w:t>
      </w:r>
    </w:p>
    <w:p>
      <w:pPr>
        <w:spacing w:after="80"/>
      </w:pPr>
      <w:r>
        <w:rPr>
          <w:b w:val="0"/>
          <w:i w:val="0"/>
        </w:rPr>
        <w:t>6. Đoạn trích bài viết kể lại một số sự kiện dẫn đến việc ban hành Sarbanes-Oxley vào năm 2002, bao gồm sự vỡ bong bóng thị trường chứng khoán công nghệ (“dot com”), sự phá sản của các gã khổng lồ doanh nghiệp Enron và WorldCom, và việc phát hiện các vụ gian lận tài chính lan rộng cùng hành vi tự tư tự lợi của ban lãnh đạo tại nhiều công ty đại chúng khác, bao gồm Tyco, Global Crossing và Adelphia. “Cơn bão hoàn hảo” gồm các vụ bê bối doanh nghiệp này đã khiến Quốc hội phải xem xét lại các chính sách bãi bỏ quy định và đặc biệt là việc cấp vốn thiếu nghiêm trọng cho SEC trong thập kỷ trước đó. Để khôi phục niềm tin của nhà đầu tư, các nhà làm luật liên bang đã thông qua Sarbanes-Oxley với số phiếu gần như nhất trí. Theo Giáo sư Cheffins, đạo luật này mang lại những lợi ích gì cho cổ đông?</w:t>
      </w:r>
    </w:p>
    <w:p>
      <w:pPr>
        <w:spacing w:after="80"/>
      </w:pPr>
      <w:r>
        <w:rPr>
          <w:b w:val="0"/>
          <w:i w:val="0"/>
        </w:rPr>
        <w:t>Mặc dù SOX nhận được sự ủng hộ lưỡng đảng áp đảo khi được ban hành, chỉ một năm sau, một số nhà làm luật đã ủng hộ các lời kêu gọi bãi bỏ đạo luật, hoặc ít nhất là sửa đổi nó một cách đáng kể. Các học giả đã nghiên cứu liệu các quy định bắt buộc của luật này cuối cùng có giúp ích hay gây hại cho cổ đông. Trong Chương 13, chúng ta sẽ xem xét một số nghiên cứu này và cân nhắc liệu SOX có phải là quy định khiếm khuyết... “lang băm” trong quản trị công ty hay không. Ở thời điểm này, bạn có cho rằng các công ty được quản trị tốt hơn (ví dụ: các công ty có hội đồng quản trị đa số độc lập) mang lại lợi nhuận đầu tư vượt trội cho cổ đông không? Tại sao có hoặc tại sao không? Nếu bằng chứng không hỗ trợ một cách đáng tin cậy cho lợi nhuận cao hơn cho nhà đầu tư, tại sao cổ đông vẫn có thể thích các hội đồng quản trị công ty do các giám đốc độc lập chiếm ưu thế?</w:t>
      </w:r>
    </w:p>
    <w:p>
      <w:pPr>
        <w:spacing w:after="80"/>
      </w:pPr>
      <w:r>
        <w:rPr>
          <w:b w:val="0"/>
          <w:i w:val="0"/>
        </w:rPr>
        <w:t>7. Một số nhà quan sát cho rằng việc Doanh nghiệp Hoa Kỳ tiếp tục bị ám ảnh với kết quả hoạt động ngắn hạn là thất bại quản trị đáng lo ngại nhất trong vài thập kỷ qua. Ban lãnh đạo cảm thấy buộc phải đạt được các ước tính thu nhập hằng quý, hiểu rằng chỉ cần thấp hơn dự báo của Phố Wall dù chỉ một xu cũng có thể khiến giá cổ phiếu của công ty giảm mạnh. Bị cổ đông và thị trường tài chính gây áp lực phải tối đa hóa thu nhập hằng quý, các giám đốc điều hành có thể chấp nhận rủi ro quá mức, bị cám dỗ thao túng báo cáo tài chính, hoặc thực hiện các giao dịch nhằm mục đích thổi phồng kết quả hoạt động của công ty. Hơn nữa, việc ban lãnh đạo tập trung vào giá cổ phiếu ngắn hạn làm suy yếu tăng trưởng kinh tế bằng cách khiến các công ty không muốn chi vốn cho các công nghệ đổi mới, nghiên cứu và phát triển, các lĩnh vực kinh doanh mới và cải thiện lực lượng lao động. Các công ty cắt giảm chi phí và do đó tăng lợi nhuận cho cổ đông trong quý hiện tại, nhưng họ làm vậy với cái giá của năng suất, hiệu quả và khả năng cạnh tranh của doanh nghiệp trong tương lai.</w:t>
      </w:r>
    </w:p>
    <w:p>
      <w:pPr>
        <w:spacing w:after="80"/>
      </w:pPr>
      <w:r>
        <w:rPr>
          <w:b w:val="0"/>
          <w:i w:val="0"/>
        </w:rPr>
        <w:t>Trước cuộc bầu cử tổng thống năm 2016, các chính trị gia đã đưa ra nhiều đề xuất khác nhau để chống lại “chủ nghĩa tư bản hằng quý” (quarterly capitalism) và thúc đẩy tăng trưởng kinh tế bền vững. Các giám đốc điều hành doanh nghiệp và những người ủng hộ họ tìm kiếm các cải cách pháp lý trao cho họ quyền tự chủ lớn hơn khỏi cổ đông — đặc biệt là khỏi các quỹ đầu cơ hoạt động tích cực (activist hedge fund) — để cho phép họ quản lý công ty vì mục tiêu dài hạn. Những lời phàn nàn của các giám đốc điều hành ngày nay lặp lại những lời phàn nàn của những người tiền nhiệm trong thập niên 1980, khi các công ty đại chúng không đáp ứng kỳ vọng của nhà đầu tư đã gây ra các thương vụ thâu tóm thù địch thay vì các quỹ đầu cơ hoạt động tích cực. Khi đó cũng như bây giờ, các học giả tranh luận liệu các công ty có theo đuổi lợi nhuận ngắn hạn với cái giá của tăng trưởng dài hạn, gây tổn hại cho nền kinh tế Hoa Kỳ hay không, và nếu có, thì quản trị công ty ảnh hưởng như thế nào đến các động lực và hành vi liên quan của giám đốc, cán bộ điều hành và cổ đông.</w:t>
      </w:r>
    </w:p>
    <w:p>
      <w:pPr>
        <w:spacing w:after="80"/>
      </w:pPr>
      <w:r>
        <w:rPr>
          <w:b w:val="0"/>
          <w:i w:val="0"/>
        </w:rPr>
        <w:t>Giả sử rằng cổ đông muốn các công ty tối đa hóa lợi nhuận trong ngắn hạn, liệu luật có nên buộc các giám đốc và cán bộ điều hành quản lý công ty chủ yếu vì lợi ích của cổ đông không? Nếu các động lực có ý nghĩa, làm thế nào các công ty có thể trả thù lao cho giám đốc điều hành để chống lại “sự chuyên chế của chủ nghĩa ngắn hạn” (tyranny of short-termism)?</w:t>
      </w:r>
    </w:p>
    <w:p>
      <w:pPr>
        <w:spacing w:after="80"/>
      </w:pPr>
      <w:r>
        <w:rPr>
          <w:b w:val="0"/>
          <w:i w:val="0"/>
        </w:rPr>
        <w:t>8. Sự phát triển của hoạt động tích cực của quỹ đầu cơ, cùng với sự tập trung lớn hơn của các cổ đông tổ chức, đã trao quyền cho nhiều cổ đông hơn để lên tiếng trong thiên niên kỷ mới. Giáo sư Cheffins phân biệt hoạt động tích cực của cổ đông tổ chức trong thập niên 1980 và 1990 với các chiến lược hoạt động tích cực “tấn công” mới hơn mà các quỹ đầu cơ sử dụng bắt đầu từ khoảng năm 2000. Hoạt động tích cực gần đây của quỹ đầu cơ khác với các chiến lược mà các hiệp hội LBO sử dụng trong những thập kỷ trước như thế nào?</w:t>
      </w:r>
    </w:p>
    <w:p>
      <w:pPr>
        <w:spacing w:after="80"/>
      </w:pPr>
      <w:r>
        <w:rPr>
          <w:b w:val="0"/>
          <w:i w:val="0"/>
        </w:rPr>
        <w:t>Một số cuộc tranh luận sôi nổi nhất trong quản trị công ty vài năm qua liên quan đến lợi ích và chi phí của hoạt động tích cực của quỹ đầu cơ. Các chiến lược được các quỹ đầu cơ ưa chuộng — như mua lại cổ phiếu, trả cổ tức đặc biệt và bán tài sản sinh lời — có thể mang lại cho cổ đông công ty lợi nhuận tức thì. Tuy nhiên, những người chỉ trích cho rằng các chiến thuật này đi ngược lại giá trị dài hạn. Ngoài ra, khi các quỹ đầu cơ yêu cầu các công ty mục tiêu cắt giảm chi tiêu vốn cho nhà máy và thiết bị, từ bỏ nghiên cứu và phát triển, và chấm dứt các nỗ lực của công ty nhằm phát triển lực lượng lao động có kỹ năng, các quỹ đầu cơ làm suy yếu tăng trưởng dài hạn của cả công ty lẫn nền kinh tế nói chung. Các quỹ đầu cơ và những người ủng hộ họ phản bác rằng ngay cả khi họ gây ảnh hưởng thành công đến các nhà quản lý công ty để sửa đổi kế hoạch kinh doanh của công ty, các khuyến nghị của họ thúc đẩy việc sử dụng vốn hiệu quả và củng cố các công ty mục tiêu bằng cách tối ưu hóa cấu trúc vốn, loại bỏ các nhà quản lý kém cỏi và bán các tài sản hoạt động kém hiệu quả. Trong chừng mực các công ty phân phối lượng dự trữ tiền mặt dư thừa cho cổ đông, họ có thể tái phân bổ vốn vào các khoản đầu tư mang lại lợi nhuận vượt trội. Bạn thấy những lập luận nào thuyết phục hơn? Tại sao?</w:t>
      </w:r>
    </w:p>
    <w:p>
      <w:pPr>
        <w:spacing w:after="80"/>
      </w:pPr>
      <w:r>
        <w:rPr>
          <w:b w:val="0"/>
          <w:i w:val="0"/>
        </w:rPr>
        <w:t>9. Ngoại trừ khi phản ứng trước các thách thức của cổ đông hoặc khủng hoảng doanh nghiệp, các hội đồng quản trị theo truyền thống không tương tác trực tiếp với cổ đông. Thay vào đó, ban lãnh đạo dẫn dắt các hoạt động tương tác, thường thông qua bộ phận quan hệ nhà đầu tư của công ty, thư ký công ty hoặc giám đốc quản trị. Tuy nhiên, gần đây, những thay đổi về quy định và nhu cầu ngày càng tăng của nhà đầu tư về việc giao tiếp không qua lọc với giám đốc đã khiến nhiều hội đồng quản trị tương tác trực tiếp và thực sự chủ động với cổ đông. Năm 2015, các nhà đầu tư tổ chức lớn, bao gồm Vanguard và BlackRock, đã viết thư cho các công ty trong danh mục đầu tư của họ (các công ty đại chúng mà họ đã đầu tư) để thúc đẩy tăng cường tương tác với giám đốc. Theo ý kiến của Chủ tịch SEC Mary Jo White, “[H]ội đồng quản trị là — hoặc nên là — nhân tố trung tâm trong tương tác với cổ đông.” Các tổ chức mới, như Shareholder-Director Exchange và Conference Board Governance Center Task Force on Corporate/Investor Engagement, đã được thành lập để khuyến khích đối thoại, cung cấp các giao thức tương tác và tổng hợp các thông lệ tốt nhất cho các tương tác giữa thành viên hội đồng quản trị và nhà đầu tư. Tại sao các hội đồng quản trị có thể chọn tương tác trực tiếp với cổ đông công ty? Về những chủ đề quản trị nào cổ đông muốn đối thoại với giám đốc của công ty thay vì với các giám đốc điều hành? Về những chủ đề quản trị nào cổ đông có thể có đủ chuyên môn và thông tin để giao tiếp hiệu quả với giám đốc? Giả sử rằng họ chọn giữ cổ phiếu thay vì bán chúng, tại sao nhà đầu tư lại áp dụng chiến lược tương tác thay vì chỉ bỏ phiếu cho cổ phiếu của mình?</w:t>
      </w:r>
    </w:p>
    <w:p>
      <w:pPr>
        <w:spacing w:after="80"/>
      </w:pPr>
      <w:r>
        <w:rPr>
          <w:b w:val="0"/>
          <w:i w:val="0"/>
        </w:rPr>
        <w:t>10. Việc xuất bản tác phẩm mang tính bước ngoặt của Berle và Means đã châm ngòi cho một cuộc tranh luận học thuật kéo dài về vai trò đúng đắn của công ty trong xã hội. Giáo sư Merrick Dodd cho rằng các công ty kinh doanh tồn tại như những thiết chế xã hội vì lợi ích của người lao động và cộng đồng, không chỉ để tạo lợi nhuận cho cổ đông. Dodd còn lập luận rằng ban lãnh đạo công ty nên phục vụ cộng đồng thay vì chỉ hành động để tối đa hóa tài sản của cổ đông. Tranh cãi về việc liệu các công ty kinh doanh có (hoặc nên có) trách nhiệm xã hội hay không vẫn tiếp diễn đến ngày nay. Bạn nghĩ sao? Các giám đốc có nên coi phúc lợi của cổ đông là mục tiêu duy nhất của họ không? Luật có nên cho phép ban lãnh đạo công ty theo đuổi các mục tiêu khác ngoài việc tối đa hóa lợi nhuận cho cổ đông không? Tại sao có hoặc tại sao không? Hãy xem xét lại những câu hỏi này khi bạn nghiên cứu các nghĩa vụ pháp lý của giám đốc công ty trong các chương tiếp theo. Trong Chương 11, chúng ta sẽ xem xét cụ thể hoạt động từ thiện của doanh nghiệp và trách nhiệm xã hội của doanh nghiệp cũng như các đề xuất của cổ đông nhằm gây ảnh hưởng đến hội đồng quản trị để thực hiện các hành động mang lại lợi ích cho môi trường, nhân quyền và các vấn đề khác thuộc mối quan tâm xã hội.</w:t>
      </w:r>
    </w:p>
    <w:p>
      <w:pPr>
        <w:spacing w:after="80"/>
      </w:pPr>
      <w:r>
        <w:rPr>
          <w:b w:val="0"/>
          <w:i w:val="0"/>
        </w:rPr>
        <w:t>1 . MARGARET M. BLAIR , QUYỀN SỞ HỮU VÀ KIỂM SOÁT : SUY NGHĨ LẠI VỀ QUẢN TRỊ DOANH NGHIỆP CHO THẾ KỶ XXI 1 (1995).</w:t>
      </w:r>
    </w:p>
    <w:p>
      <w:pPr>
        <w:spacing w:after="80"/>
      </w:pPr>
      <w:r>
        <w:rPr>
          <w:b w:val="0"/>
          <w:i w:val="0"/>
        </w:rPr>
        <w:t>2 . MARK J. EPSTEIN &amp; KIRK O. HANSON , CÔNG TY CÓ TRÁCH NHIỆM GIẢI TRÌNH , Tập 1, 6 (2005).</w:t>
      </w:r>
    </w:p>
    <w:p>
      <w:pPr>
        <w:spacing w:after="80"/>
      </w:pPr>
      <w:r>
        <w:rPr>
          <w:b w:val="0"/>
          <w:i w:val="0"/>
        </w:rPr>
        <w:t xml:space="preserve">3 . Ben W. Heineman, </w:t>
      </w:r>
      <w:r>
        <w:rPr>
          <w:b w:val="0"/>
          <w:i/>
        </w:rPr>
        <w:t>Các hội đồng quản trị thất bại—một lần nữa</w:t>
      </w:r>
      <w:r>
        <w:rPr>
          <w:b w:val="0"/>
          <w:i w:val="0"/>
        </w:rPr>
        <w:t xml:space="preserve"> , BUS . WEEK , ngày 26 tháng 9 năm 2008.</w:t>
      </w:r>
    </w:p>
    <w:p>
      <w:pPr>
        <w:spacing w:after="80"/>
      </w:pPr>
      <w:r>
        <w:rPr>
          <w:b w:val="0"/>
          <w:i w:val="0"/>
        </w:rPr>
        <w:t xml:space="preserve">4 . Nicholas D. Kristof, </w:t>
      </w:r>
      <w:r>
        <w:rPr>
          <w:b w:val="0"/>
          <w:i/>
        </w:rPr>
        <w:t>Cần việc làm? 17.000 đô-la một giờ. Không cần thành công</w:t>
      </w:r>
      <w:r>
        <w:rPr>
          <w:b w:val="0"/>
          <w:i w:val="0"/>
        </w:rPr>
        <w:t xml:space="preserve"> , N.Y. TIMES , ngày 18 tháng 9 năm 2008, tại A35.</w:t>
      </w:r>
    </w:p>
    <w:p>
      <w:pPr>
        <w:spacing w:after="80"/>
      </w:pPr>
      <w:r>
        <w:rPr>
          <w:b w:val="0"/>
          <w:i w:val="0"/>
        </w:rPr>
        <w:t>5 . MM Companies, Inc. v. Liquid Audio, Inc., 813 A.2d 1118, 1126 (Del. 2003) (lược bỏ chú thích cuối trang).</w:t>
      </w:r>
    </w:p>
    <w:p>
      <w:pPr>
        <w:spacing w:after="80"/>
      </w:pPr>
      <w:r>
        <w:rPr>
          <w:b w:val="0"/>
          <w:i w:val="0"/>
        </w:rPr>
        <w:t xml:space="preserve">6 . Adolf A. Berle &amp; Gardiner C. Means, </w:t>
      </w:r>
      <w:r>
        <w:rPr>
          <w:b w:val="0"/>
          <w:i/>
        </w:rPr>
        <w:t>Công ty hiện đại và tài sản tư nhân</w:t>
      </w:r>
      <w:r>
        <w:rPr>
          <w:b w:val="0"/>
          <w:i w:val="0"/>
        </w:rPr>
        <w:t xml:space="preserve"> (1932).</w:t>
      </w:r>
    </w:p>
    <w:p>
      <w:pPr>
        <w:spacing w:after="80"/>
      </w:pPr>
      <w:r>
        <w:rPr>
          <w:b w:val="0"/>
          <w:i w:val="0"/>
        </w:rPr>
        <w:t>7 . ADAM SMITH , SỰ GIÀU CÓ CỦA CÁC QUỐC GIA (1776).</w:t>
      </w:r>
    </w:p>
    <w:p>
      <w:pPr>
        <w:spacing w:after="80"/>
      </w:pPr>
      <w:r>
        <w:rPr>
          <w:b w:val="0"/>
          <w:i w:val="0"/>
        </w:rPr>
        <w:t xml:space="preserve">8 . Michael C. Jensen &amp; William H. Meckling, </w:t>
      </w:r>
      <w:r>
        <w:rPr>
          <w:b w:val="0"/>
          <w:i/>
        </w:rPr>
        <w:t>Lý thuyết về doanh nghiệp: Hành vi quản lý, chi phí đại diện và cấu trúc sở hữu</w:t>
      </w:r>
      <w:r>
        <w:rPr>
          <w:b w:val="0"/>
          <w:i w:val="0"/>
        </w:rPr>
        <w:t xml:space="preserve"> , 3 J. Fin. Econ. 305 (1976).</w:t>
      </w:r>
    </w:p>
    <w:p>
      <w:pPr>
        <w:spacing w:after="80"/>
      </w:pPr>
      <w:r>
        <w:rPr>
          <w:b w:val="0"/>
          <w:i w:val="0"/>
        </w:rPr>
        <w:t xml:space="preserve">9 . </w:t>
      </w:r>
      <w:r>
        <w:rPr>
          <w:b w:val="0"/>
          <w:i/>
        </w:rPr>
        <w:t>Quản trị doanh nghiệp có “thất bại” trong cuộc khủng hoảng thị trường chứng khoán năm 2008 không? Trường hợp của S&amp;P 500</w:t>
      </w:r>
      <w:r>
        <w:rPr>
          <w:b w:val="0"/>
          <w:i w:val="0"/>
        </w:rPr>
        <w:t xml:space="preserve"> , bởi Brian R. Cheffins, 2009, Business Lawyer, 65:1. © Bản quyền 2009 thuộc Hiệp hội Luật sư Hoa Kỳ. Được tái bản với sự cho phép. Thông tin này hoặc bất kỳ phần nào của nó không được sao chép hoặc phổ biến dưới bất kỳ hình thức nào hoặc bằng bất kỳ phương tiện nào hoặc lưu trữ trong cơ sở dữ liệu điện tử hoặc hệ thống truy xuất mà không có sự đồng ý bằng văn bản rõ ràng của Hiệp hội Luật sư Hoa Kỳ.</w:t>
      </w:r>
    </w:p>
    <w:p>
      <w:pPr>
        <w:spacing w:after="80"/>
      </w:pPr>
      <w:r>
        <w:rPr>
          <w:b w:val="0"/>
          <w:i w:val="0"/>
        </w:rPr>
        <w:t xml:space="preserve">10 . Roger Lowenstein, </w:t>
      </w:r>
      <w:r>
        <w:rPr>
          <w:b w:val="0"/>
          <w:i/>
        </w:rPr>
        <w:t>Một ông chủ cho một ông chủ</w:t>
      </w:r>
      <w:r>
        <w:rPr>
          <w:b w:val="0"/>
          <w:i w:val="0"/>
        </w:rPr>
        <w:t xml:space="preserve"> , N.Y. Times (ngày 14 tháng 12 năm 2003).</w:t>
      </w:r>
    </w:p>
    <w:p>
      <w:pPr>
        <w:spacing w:after="80"/>
      </w:pPr>
      <w:r>
        <w:rPr>
          <w:b w:val="0"/>
          <w:i w:val="0"/>
        </w:rPr>
        <w:t xml:space="preserve">11 . Ross, </w:t>
      </w:r>
      <w:r>
        <w:rPr>
          <w:b w:val="0"/>
          <w:i/>
        </w:rPr>
        <w:t>Các công ty lớn phi pháp đến mức nào?</w:t>
      </w:r>
      <w:r>
        <w:rPr>
          <w:b w:val="0"/>
          <w:i w:val="0"/>
        </w:rPr>
        <w:t xml:space="preserve"> , Fortune (ngày 1 tháng 12 năm 1980) tại 56.</w:t>
      </w:r>
    </w:p>
    <w:p>
      <w:pPr>
        <w:spacing w:after="80"/>
      </w:pPr>
      <w:r>
        <w:rPr>
          <w:b w:val="0"/>
          <w:i w:val="0"/>
        </w:rPr>
        <w:t xml:space="preserve">12 . Myles Mace, </w:t>
      </w:r>
      <w:r>
        <w:rPr>
          <w:b w:val="0"/>
          <w:i/>
        </w:rPr>
        <w:t>Các giám đốc: Huyền thoại và thực tế—Mười năm sau</w:t>
      </w:r>
      <w:r>
        <w:rPr>
          <w:b w:val="0"/>
          <w:i w:val="0"/>
        </w:rPr>
        <w:t xml:space="preserve"> , 32 Rutgers L. Rev. 293, 307–08 (1979).</w:t>
      </w:r>
    </w:p>
    <w:p>
      <w:pPr>
        <w:spacing w:after="80"/>
      </w:pPr>
      <w:r>
        <w:rPr>
          <w:b w:val="0"/>
          <w:i w:val="0"/>
        </w:rPr>
        <w:t>13 . Được thành lập vào năm 1972, Business Roundtable là một hiệp hội gồm các CEO của các công ty lớn hàng đầu Hoa Kỳ, chuyên vận động cho các thành viên của mình và tài trợ cho các nghiên cứu hỗ trợ nỗ lực vận động hành lang.</w:t>
      </w:r>
    </w:p>
    <w:p>
      <w:pPr>
        <w:spacing w:after="80"/>
      </w:pPr>
      <w:r>
        <w:rPr>
          <w:b w:val="0"/>
          <w:i w:val="0"/>
        </w:rPr>
        <w:t>14 . Dự luật đã được thông qua tại Hạ viện với tỷ lệ phiếu 423 thuận 3 chống (với tám phiếu trắng) và tại Thượng viện với tỷ lệ phiếu 99 thuận 0 chống (với một phiếu trắng).</w:t>
      </w:r>
    </w:p>
    <w:p>
      <w:pPr>
        <w:spacing w:after="80"/>
      </w:pPr>
      <w:r>
        <w:rPr>
          <w:b w:val="0"/>
          <w:i w:val="0"/>
        </w:rPr>
        <w:t>15 . Bài phát biểu, Mary Jo White, Đối thoại Quản trị Doanh nghiệp Xuyên Đại Tây Dương lần thứ 10 (ngày 3 tháng 12 năm 2013).</w:t>
      </w:r>
    </w:p>
    <w:p>
      <w:pPr>
        <w:pStyle w:val="Heading1"/>
      </w:pPr>
      <w:r>
        <w:rPr>
          <w:rFonts w:ascii="Calibri" w:hAnsi="Calibri"/>
          <w:b/>
          <w:i w:val="0"/>
          <w:sz w:val="40"/>
        </w:rPr>
        <w:t>Chương 2</w:t>
      </w:r>
    </w:p>
    <w:p>
      <w:pPr>
        <w:pStyle w:val="Heading1"/>
      </w:pPr>
      <w:r>
        <w:rPr>
          <w:rFonts w:ascii="Calibri" w:hAnsi="Calibri"/>
          <w:b/>
          <w:i w:val="0"/>
          <w:sz w:val="40"/>
        </w:rPr>
        <w:t>Quản trị doanh nghiệp, Sự phụ thuộc lộ trình, và Các nguồn quy định</w:t>
      </w:r>
    </w:p>
    <w:p>
      <w:pPr>
        <w:spacing w:after="80"/>
      </w:pPr>
      <w:r>
        <w:rPr>
          <w:b w:val="0"/>
          <w:i w:val="0"/>
        </w:rPr>
        <w:t>Quản trị doanh nghiệp ở Hoa Kỳ được điều chỉnh bởi nhiều cơ quan khác nhau, bao gồm các bang, các tổ chức tự quản như sở giao dịch chứng khoán, và chính phủ liên bang, đặc biệt là Ủy ban Chứng khoán và Giao dịch (SEC). Mỗi bên đặt ra các thông số pháp lý cho nhà quản lý và chủ sở hữu. Tuy nhiên, mỗi bên lại chịu trách nhiệm trước những nhóm cử tri khác nhau và có những cách tiếp cận quản trị khác nhau.</w:t>
      </w:r>
    </w:p>
    <w:p>
      <w:pPr>
        <w:spacing w:after="80"/>
      </w:pPr>
      <w:r>
        <w:rPr>
          <w:b w:val="0"/>
          <w:i w:val="0"/>
        </w:rPr>
        <w:t>Quốc hội thành lập SEC vào năm 1934 trong một nỗ lực, trớ trêu thay, không phải để tăng cường mà là để làm suy yếu việc thực thi các luật chứng khoán. Là một cơ quan liên bang "độc lập", vai trò của SEC trong quá trình quản trị chủ yếu giới hạn ở việc đảm bảo công bố thông tin đầy đủ và giám sát quá trình thu thập ủy quyền biểu quyết. Tuy nhiên, đặc biệt kể từ đầu thiên niên kỷ mới, cơ quan này đã được giao thêm trách nhiệm đáng kể và được đưa trực tiếp hơn vào quá trình quản trị doanh nghiệp.</w:t>
      </w:r>
    </w:p>
    <w:p>
      <w:pPr>
        <w:spacing w:after="80"/>
      </w:pPr>
      <w:r>
        <w:rPr>
          <w:b w:val="0"/>
          <w:i w:val="0"/>
        </w:rPr>
        <w:t>Các sở giao dịch chứng khoán ban đầu là những tổ chức tư nhân chủ yếu cung cấp một địa điểm tập trung để giao dịch chứng khoán. Quốc hội, khi thông qua các luật chứng khoán, đã giao một số trách nhiệm quản lý nhất định cho các sở giao dịch và đặt chúng dưới sự giám sát của SEC. Các sở giao dịch điều chỉnh các thực tiễn quản trị doanh nghiệp chủ yếu thông qua phương tiện là các tiêu chuẩn niêm yết. Đây là những nghĩa vụ mà các công ty phải đảm nhận khi họ đồng ý để cổ phiếu của mình được giao dịch trên sở giao dịch.</w:t>
      </w:r>
    </w:p>
    <w:p>
      <w:pPr>
        <w:spacing w:after="80"/>
      </w:pPr>
      <w:r>
        <w:rPr>
          <w:b w:val="0"/>
          <w:i w:val="0"/>
        </w:rPr>
        <w:t>Đồng thời, tầm quan trọng trung tâm của chúng trên thị trường chứng khoán đã suy giảm. Trong những năm gần đây, cả Nasdaq và NYSE đều đã chuyển đổi thành các công ty vì lợi nhuận trong khi vẫn giữ trách nhiệm quản lý của mình. Trong giai đoạn sau chuyển đổi, NYSE đã chứng kiến khối lượng giao dịch của các công ty mà nó niêm yết giảm từ 80% xuống khoảng 20%. Những thay đổi này cho thấy vai trò của các sở giao dịch trong quá trình quản trị đang trải qua quá trình tiến hóa.</w:t>
      </w:r>
    </w:p>
    <w:p>
      <w:pPr>
        <w:spacing w:after="80"/>
      </w:pPr>
      <w:r>
        <w:rPr>
          <w:b w:val="0"/>
          <w:i w:val="0"/>
        </w:rPr>
        <w:t>Các bang có lẽ là nhân tố quan trọng nhất trong quá trình quản trị doanh nghiệp. Theo học thuyết công việc nội bộ, quyền của giám đốc và cổ đông được xác định bởi bang nơi thành lập công ty. Do đó, chính bang nơi thành lập công ty là bên đặt ra các tiêu chuẩn ủy thác cho giám đốc và quyền biểu quyết cho cổ đông. Khi xác định bang nơi thành lập, các công ty sẽ chọn bang có luật thuận lợi nhất. Trong trường hợp các công ty đại chúng lớn, Delaware là lựa chọn ưa thích không thể tranh cãi, với khoảng 60% các công ty trong Fortune 500 thành lập tại bang đó.</w:t>
      </w:r>
    </w:p>
    <w:p>
      <w:pPr>
        <w:spacing w:after="80"/>
      </w:pPr>
      <w:r>
        <w:rPr>
          <w:b w:val="0"/>
          <w:i w:val="0"/>
        </w:rPr>
        <w:t>Nguồn quy định rất quan trọng đối với mục đích thực thi, như sẽ được khám phá đầy đủ hơn trong chương này. Mặc dù mỗi cơ quan quản lý đều có một số thẩm quyền thực thi, quyền của các bên tư nhân trong việc khởi kiện thay đổi đáng kể tùy thuộc vào nguồn của yêu cầu. Các vụ kiện tư nhân theo luật chứng khoán thường được đưa ra như là các vi phạm công bố thông tin, điều thường đòi hỏi bằng chứng về tính trọng yếu và ý đồ phạm tội. Không có quyền khởi kiện tư nhân đối với các vi phạm tiêu chuẩn niêm yết của các sở giao dịch chứng khoán. Đối với các vụ kiện của bang, chúng thường được đưa ra như là các vụ kiện phái sinh, với các tiêu chuẩn biện hộ cao và các rào cản thủ tục phải được giải quyết.</w:t>
      </w:r>
    </w:p>
    <w:p>
      <w:pPr>
        <w:spacing w:after="80"/>
      </w:pPr>
      <w:r>
        <w:rPr>
          <w:b w:val="0"/>
          <w:i w:val="0"/>
        </w:rPr>
        <w:t xml:space="preserve">Sẽ là sai lầm nếu xem hệ thống nhiều cơ quan quản lý này là sản phẩm của thiết kế có chủ đích. Hệ thống quản lý có thể được mô tả chính xác hơn như là một vấn đề của sự tình cờ lịch sử hoặc sự phụ thuộc lộ trình. Kết quả là có nhiều sự kém hiệu quả. Như Giáo sư Gilson đã lưu ý: "Trong một môi trường phụ thuộc lộ trình, ảnh hưởng của các yếu tố như lợi nhuận gia tăng và ngoại ứng mạng có nghĩa là một trạng thái cân bằng được quan sát có thể không phải là trạng thái 'hiệu quả nhất'." Ronald J. Gilson, </w:t>
      </w:r>
      <w:r>
        <w:rPr>
          <w:b w:val="0"/>
          <w:i/>
        </w:rPr>
        <w:t>Path Dependence and Comparative Corporate Governance: Corporate Governance and Economic Efficiency: When Do Institutions Matter?</w:t>
      </w:r>
      <w:r>
        <w:rPr>
          <w:b w:val="0"/>
          <w:i w:val="0"/>
        </w:rPr>
        <w:t xml:space="preserve"> , 74 Wash. U. L. Q. 327, 329 (1996).</w:t>
      </w:r>
    </w:p>
    <w:p>
      <w:pPr>
        <w:pStyle w:val="Heading2"/>
      </w:pPr>
      <w:r>
        <w:rPr>
          <w:rFonts w:ascii="Calibri" w:hAnsi="Calibri"/>
          <w:b/>
          <w:i w:val="0"/>
          <w:sz w:val="32"/>
        </w:rPr>
        <w:t>I. Quy định của Bang</w:t>
      </w:r>
    </w:p>
    <w:p>
      <w:pPr>
        <w:pStyle w:val="Heading3"/>
      </w:pPr>
      <w:r>
        <w:rPr>
          <w:rFonts w:ascii="Calibri" w:hAnsi="Calibri"/>
          <w:b/>
          <w:i w:val="0"/>
          <w:sz w:val="26"/>
        </w:rPr>
        <w:t>A. Học thuyết Công việc Nội bộ</w:t>
      </w:r>
    </w:p>
    <w:p>
      <w:pPr>
        <w:spacing w:after="80"/>
      </w:pPr>
      <w:r>
        <w:rPr>
          <w:b w:val="0"/>
          <w:i w:val="0"/>
        </w:rPr>
        <w:t>Ngoại trừ một số ít công ty được liên bang cấp phép, chủ yếu là các tổ chức tài chính, các công ty được thành lập theo luật bang. Một công ty có thể chọn bất kỳ bang nào để thành lập và không bị giới hạn ở khu vực pháp lý nơi nó có hoạt động kinh doanh hoặc trụ sở chính. Kết quả là, các công ty có thể chọn một bang cụ thể vì bất kỳ lý do gì, bao gồm cả tính linh hoạt của các yêu cầu pháp lý.</w:t>
      </w:r>
    </w:p>
    <w:p>
      <w:pPr>
        <w:spacing w:after="80"/>
      </w:pPr>
      <w:r>
        <w:rPr>
          <w:b w:val="0"/>
          <w:i w:val="0"/>
        </w:rPr>
        <w:t xml:space="preserve">Luật của bang nơi thành lập công ty xác định các công việc nội bộ của một công ty. Học thuyết công việc nội bộ bao gồm các quyền thực chất của giám đốc và cổ đông. Cách tiếp cận này tránh khả năng có các tiêu chuẩn và yêu cầu không nhất quán. </w:t>
      </w:r>
      <w:r>
        <w:rPr>
          <w:b w:val="0"/>
          <w:i/>
        </w:rPr>
        <w:t>Xem Edgar v. Mite Corp.</w:t>
      </w:r>
      <w:r>
        <w:rPr>
          <w:b w:val="0"/>
          <w:i w:val="0"/>
        </w:rPr>
        <w:t xml:space="preserve"> , 457 US 624 (1982) ("Học thuyết công việc nội bộ là một nguyên tắc xung đột pháp luật công nhận rằng chỉ một Bang nên có thẩm quyền điều chỉnh các công việc nội bộ của một công ty—những vấn đề đặc thù trong các mối quan hệ giữa công ty với các viên chức, giám đốc và cổ đông hiện tại của nó—bởi vì nếu không thì một công ty có thể phải đối mặt với các yêu cầu xung đột."). Tuy nhiên, đồng thời, cách tiếp cận này tạo ra động lực để các bang sử dụng thẩm quyền quản lý của mình để thu hút các công ty.</w:t>
      </w:r>
    </w:p>
    <w:p>
      <w:pPr>
        <w:pStyle w:val="Heading4"/>
      </w:pPr>
      <w:r>
        <w:rPr>
          <w:rFonts w:ascii="Calibri" w:hAnsi="Calibri"/>
          <w:b/>
          <w:i w:val="0"/>
          <w:sz w:val="23"/>
        </w:rPr>
        <w:t xml:space="preserve">Faith Stevelman, </w:t>
      </w:r>
      <w:r>
        <w:rPr>
          <w:rFonts w:ascii="Calibri" w:hAnsi="Calibri"/>
          <w:b/>
          <w:i/>
          <w:sz w:val="23"/>
        </w:rPr>
        <w:t>Regulatory Competition,</w:t>
      </w:r>
      <w:r>
        <w:br/>
      </w:r>
      <w:r>
        <w:rPr>
          <w:rFonts w:ascii="Calibri" w:hAnsi="Calibri"/>
          <w:b/>
          <w:i/>
          <w:sz w:val="23"/>
        </w:rPr>
        <w:t xml:space="preserve"> Choice of Forum, and Delaware's Stake in Corporate Law</w:t>
      </w:r>
    </w:p>
    <w:p>
      <w:pPr>
        <w:spacing w:after="80"/>
      </w:pPr>
      <w:r>
        <w:rPr>
          <w:b w:val="0"/>
          <w:i w:val="0"/>
        </w:rPr>
        <w:t>34 Del. J. Corp. L. 57, 76–78, 80–82 (2009)</w:t>
      </w:r>
    </w:p>
    <w:p>
      <w:pPr>
        <w:spacing w:after="80"/>
      </w:pPr>
      <w:r>
        <w:rPr>
          <w:b w:val="0"/>
          <w:i w:val="0"/>
        </w:rPr>
        <w:t>Như được minh họa trong vụ án Dartmouth College, các công ty Mỹ thời kỳ đầu được tạo ra bằng việc cấp một điều lệ chính thức từ cơ quan lập pháp của bang quê hương họ. Thực tế lịch sử này đã khai sinh ra cách hiểu về các công ty như là "sinh vật của luật bang." Hơn nữa, trong thời kỳ này, các công ty được hiểu là sở hữu các quyền hạn có giới hạn—tức là chỉ những quyền hạn được cấp rõ ràng trong điều lệ. Họ nộp đơn xin điều lệ từ bang nơi họ hoạt động và tọa lạc. (Với tình trạng thương mại toàn cầu hiện nay, thật khó để nhớ rằng vào giữa hoặc thậm chí cuối thế kỷ mười chín, hầu hết hoạt động kinh doanh về cơ bản mang tính địa phương.) Việc nhận được điều lệ cũng không phải là điều chắc chắn. Để tăng cơ hội có được điều lệ, những người sáng lập thường viện dẫn một số lợi ích của bang mà các nỗ lực thương mại của công ty sẽ thúc đẩy. Ý tưởng về các công ty "là" sinh vật của bang nơi thành lập cũng được hỗ trợ bởi thực tế rằng các bang thường đóng góp tài chính cho các công ty này, và đặt đại diện vào hội đồng quản trị của họ. Thật vậy, tư cách pháp nhân riêng biệt của các công ty vẫn còn gây tranh cãi; không hiển nhiên rằng quyền hạn của họ sẽ được tôn trọng ngoài ranh giới địa lý của bang đã cấp phép cho họ. Trong bối cảnh này, dễ hiểu tại sao các công ty theo quy ước thường được quan niệm là "sinh vật của luật bang." Tuy nhiên, thực tế pháp lý và lịch sử được mô tả ở đây đã biến mất từ lâu. Những giả định về các công ty mà nó khai sinh đã lỗi thời.</w:t>
      </w:r>
    </w:p>
    <w:p>
      <w:pPr>
        <w:spacing w:after="80"/>
      </w:pPr>
      <w:r>
        <w:rPr>
          <w:b w:val="0"/>
          <w:i w:val="0"/>
        </w:rPr>
        <w:t>Thứ hai, quan niệm "các công ty là sinh vật của luật bang" bỏ qua thực tế rằng Quốc hội có thể liên bang hóa luật doanh nghiệp cho các công ty tham gia vào thương mại liên bang (tức là hầu hết). Việc Quốc hội đã từ chối ban hành một luật doanh nghiệp liên bang toàn diện phản ánh một thực tế chính trị cụ thể, chứ không phải một thực tế bản thể học hay phân loại học xác nhận sự tồn tại của các công ty trong luật bang.</w:t>
      </w:r>
    </w:p>
    <w:p>
      <w:pPr>
        <w:spacing w:after="80"/>
      </w:pPr>
      <w:r>
        <w:rPr>
          <w:b w:val="0"/>
          <w:i w:val="0"/>
        </w:rPr>
        <w:t>. . . lý thuyết pháp lý doanh nghiệp hiện đại làm suy yếu tính hợp lý của việc quan niệm rằng các tập đoàn, theo bất kỳ nghĩa nào, thuộc về nhà nước nơi chúng đăng ký thành lập. Theo lý thuyết hiện đại—như được phản ánh trong án lệ của Delaware—các tập đoàn được quan niệm như một mối liên kết của các hợp đồng tư nhân giữa các yếu tố sản xuất. Chúng được quan niệm như những chủ thể tư nhân—đại diện pháp lý của những người góp vốn vào chúng (cổ đông) và điều hành chúng (hội đồng quản trị), chứ không phải là sự mở rộng pháp lý của nhà nước cấp phép thành lập. Vì lý thuyết pháp lý doanh nghiệp hiện đại đề cao quan điểm tư nhân, theo chủ nghĩa hợp đồng này về các tập đoàn, nó làm suy yếu logic cho rằng các tập đoàn là "sinh vật của luật nhà nước." Không có sợi dây rốn nào trói buộc một tranh chấp chống lại một tập đoàn vào diễn đàn của nhà nước cấp phép thành lập. Theo quan điểm tư nhân, theo chủ nghĩa hợp đồng này, luật doanh nghiệp của Delaware chỉ là một ví dụ trong số nhiều chế độ pháp lý mà các bên tư nhân lựa chọn khi cố gắng thúc đẩy sự giàu có phát sinh từ giao dịch thương mại. Quan điểm hiện đại, theo chủ nghĩa hợp đồng này về tập đoàn và luật doanh nghiệp cũng thể hiện rõ trong cách các tòa án thường tôn trọng các điều khoản lựa chọn diễn đàn trong các hợp đồng doanh nghiệp/thương mại. Nó cũng được phản ánh trong tính tách biệt giữa lựa chọn luật áp dụng và lựa chọn diễn đàn trong các hợp đồng này. Một lần nữa, trong bản thể luận doanh nghiệp hiện đại này, nhà nước không có thẩm quyền "sinh sản" có ý nghĩa nào mà nó có thể dùng để kéo các "sinh vật" doanh nghiệp của mình trở lại phòng xử án của mình. Do đó, lựa chọn luật áp dụng và lựa chọn diễn đàn là những cấu trúc pháp lý riêng biệt, khác nhau. Việc lựa chọn luật doanh nghiệp Delaware đơn thuần là không xác định liên quan đến lựa chọn diễn đàn.</w:t>
      </w:r>
    </w:p>
    <w:p>
      <w:pPr>
        <w:spacing w:after="80"/>
      </w:pPr>
      <w:r>
        <w:rPr>
          <w:b w:val="0"/>
          <w:i w:val="0"/>
        </w:rPr>
        <w:t>* * *</w:t>
      </w:r>
    </w:p>
    <w:p>
      <w:pPr>
        <w:spacing w:after="80"/>
      </w:pPr>
      <w:r>
        <w:rPr>
          <w:b w:val="0"/>
          <w:i w:val="0"/>
        </w:rPr>
        <w:t>Tuy nhiên, xét theo tiêu chuẩn riêng của nó, như một chế độ lựa chọn luật áp dụng hiện đại, IAD [Học thuyết Nội vụ] hoàn toàn hợp lý. "Lex Incorporationis"—tức là quy tắc cho rằng luật doanh nghiệp của nhà nước cấp phép thành lập "dính chặt" vào các vấn đề nội bộ của tập đoàn—cung cấp một quy tắc rõ ràng, ổn định để giải quyết các câu hỏi về xung đột pháp luật. Tính rõ ràng trong lựa chọn luật doanh nghiệp được tối đa hóa bằng cách ưu tiên luật của nhà nước cấp phép thành lập. Một quy tắc lựa chọn luật áp dụng khác cho các vấn đề nội bộ doanh nghiệp—ví dụ, một quy tắc dựa vào nơi hoạt động chính hoặc trụ sở chính của công ty—sẽ đưa vào phân tích lựa chọn luật áp dụng nhiều yếu tố chủ quan và dễ thay đổi hơn. Điều này sẽ mang lại ít sự chắc chắn hơn cho các tòa án, nhà đầu tư và bên thứ ba.</w:t>
      </w:r>
    </w:p>
    <w:p>
      <w:pPr>
        <w:spacing w:after="80"/>
      </w:pPr>
      <w:r>
        <w:rPr>
          <w:b w:val="0"/>
          <w:i w:val="0"/>
        </w:rPr>
        <w:t>Như một chế độ lựa chọn luật áp dụng, IAD được pháp điển hóa trong Restatement (Second) of Conflicts of Laws. Restatement đưa ra tiền đề cơ bản của IAD—rằng luật doanh nghiệp của nhà nước cấp phép thành lập sẽ điều chỉnh các vấn đề nội bộ của một tập đoàn bất kể tranh chấp được kiện tụng ở đâu. Thứ hai, Restatement đưa ra một định nghĩa mở rộng về các vấn đề nội bộ doanh nghiệp.</w:t>
      </w:r>
    </w:p>
    <w:p>
      <w:pPr>
        <w:spacing w:after="80"/>
      </w:pPr>
      <w:r>
        <w:rPr>
          <w:b w:val="0"/>
          <w:i w:val="0"/>
        </w:rPr>
        <w:t>Restatement cũng tán thành giả định về "tính duy nhất" trong IAD—tức là các vấn đề nội bộ của một tập đoàn chỉ nên được điều chỉnh duy nhất bởi luật của nhà nước cấp phép thành lập. Về phương diện này, phân tích xung đột trong luật doanh nghiệp được tinh gọn hơn nhiều, thậm chí đơn giản hóa, so với chế độ xung đột pháp luật áp dụng cho hầu hết các lĩnh vực luật khác.</w:t>
      </w:r>
    </w:p>
    <w:p>
      <w:pPr>
        <w:spacing w:after="80"/>
      </w:pPr>
      <w:r>
        <w:rPr>
          <w:b w:val="0"/>
          <w:i w:val="0"/>
        </w:rPr>
        <w:t>Tính duy nhất trong lựa chọn luật doanh nghiệp cũng được phản ánh trong Revised Model Business Corporation Act (MBCA). MBCA quy định rằng các bang tuân thủ các quy định về lựa chọn luật áp dụng của nó nên kiềm chế không "can thiệp" vào luật doanh nghiệp của các bang khác—tức là không bổ sung hoặc sửa đổi các điều khoản về vấn đề nội bộ của các tập đoàn nước ngoài. Điều này được quy định tại mục 15.05(c) của MBCA, trong đó quy định rằng một bang sẽ không "điều chỉnh việc tổ chức hoặc các vấn đề nội bộ của một tập đoàn nước ngoài được phép giao dịch kinh doanh tại bang này." Tính duy nhất trong lựa chọn luật doanh nghiệp cho phép các chủ thể doanh nghiệp dự đoán một cách dứt khoát luật của bang nào sẽ xác định quyền và nghĩa vụ của họ. Vì tính bình đẳng rất quan trọng trong việc đối xử với cổ đông, và tính dự đoán được đặc biệt quan trọng trong các thỏa thuận thương mại, nên tính duy nhất trong lựa chọn luật doanh nghiệp—như được phản ánh trong IAD, Restatement và MBCA—là hoàn toàn hợp lý. Giả định về tính duy nhất trong IAD ủng hộ việc các tòa án giải thích luật của tập đoàn nước ngoài một cách thận trọng, theo cách trung thành nhất với ý định của nhà nước cấp phép thành lập. Nhưng sự tôn trọng tính duy nhất trong lựa chọn luật doanh nghiệp (hoặc thậm chí mục tiêu về tính rõ ràng trong luật doanh nghiệp) không bắt buộc phải giới hạn các khiếu nại theo luật doanh nghiệp Delaware trong các tòa án Delaware. Hệ thống tư pháp dân sự Hoa Kỳ đơn giản là không giả định rằng địa lý của việc xét xử sẽ khớp với địa điểm lập pháp.</w:t>
      </w:r>
    </w:p>
    <w:p>
      <w:pPr>
        <w:pStyle w:val="Heading5"/>
      </w:pPr>
      <w:r>
        <w:rPr>
          <w:rFonts w:ascii="Calibri" w:hAnsi="Calibri"/>
          <w:b/>
          <w:i/>
          <w:sz w:val="22"/>
        </w:rPr>
        <w:t>Bình luận và Câu hỏi</w:t>
      </w:r>
    </w:p>
    <w:p>
      <w:pPr>
        <w:spacing w:after="80"/>
      </w:pPr>
      <w:r>
        <w:rPr>
          <w:b w:val="0"/>
          <w:i w:val="0"/>
        </w:rPr>
        <w:t>1. Trong những ngày đầu của đất nước, các tập đoàn bị nhìn nhận với sự nghi ngờ. Như Thẩm phán Stevens đã mô tả:</w:t>
      </w:r>
    </w:p>
    <w:p>
      <w:pPr>
        <w:spacing w:after="80"/>
      </w:pPr>
      <w:r>
        <w:rPr>
          <w:b w:val="0"/>
          <w:i w:val="0"/>
        </w:rPr>
        <w:t xml:space="preserve">Phương thức thành lập theo hiến chương riêng lẻ phản ánh "đám mây bất lợi mà các tập đoàn phải chịu đựng" trong những năm đầu của Quốc gia này. 1 W. Fletcher, Cyclopedia of the Law of Corporations § 2, p. 8 (rev. ed. 2006); </w:t>
      </w:r>
      <w:r>
        <w:rPr>
          <w:b w:val="0"/>
          <w:i/>
        </w:rPr>
        <w:t>xem thêm</w:t>
      </w:r>
      <w:r>
        <w:rPr>
          <w:b w:val="0"/>
          <w:i w:val="0"/>
        </w:rPr>
        <w:t xml:space="preserve"> Louis K. Liggett Co. v. Lee, 288 U. S. 517, 548–549 (1933) (Brandeis, J., phản đối) (thảo luận về nỗi lo sợ các "tệ nạn" của các tập đoàn kinh doanh); L. Friedman, A History of American Law 194 (2d ed. 1985) ("Từ 'vô hồn' liên tục xuất hiện trong các cuộc tranh luận về các tập đoàn. . . . Người ta lo sợ rằng các tập đoàn có thể tập trung những thôi thúc tồi tệ nhất của cả những nhóm người"). Thomas Jefferson nổi tiếng lo lắng rằng các tập đoàn sẽ lật đổ nền Cộng hòa. Các đạo luật thành lập chung, và sự chấp nhận rộng rãi các tập đoàn kinh doanh như những chủ thể hữu ích về mặt xã hội, mãi đến những năm 1800 mới xuất hiện.</w:t>
      </w:r>
    </w:p>
    <w:p>
      <w:pPr>
        <w:spacing w:after="80"/>
      </w:pPr>
      <w:r>
        <w:rPr>
          <w:b w:val="0"/>
          <w:i/>
        </w:rPr>
        <w:t>Citizens United v. FEC</w:t>
      </w:r>
      <w:r>
        <w:rPr>
          <w:b w:val="0"/>
          <w:i w:val="0"/>
        </w:rPr>
        <w:t xml:space="preserve"> , 130 S. Ct. 876 (2010). Có lẽ không đáng ngạc nhiên, không có nhiều tập đoàn được thành lập trong giai đoạn đầu của lịch sử đất nước. </w:t>
      </w:r>
      <w:r>
        <w:rPr>
          <w:b w:val="0"/>
          <w:i/>
        </w:rPr>
        <w:t>Id.</w:t>
      </w:r>
      <w:r>
        <w:rPr>
          <w:b w:val="0"/>
          <w:i w:val="0"/>
        </w:rPr>
        <w:t xml:space="preserve"> (lưu ý rằng chỉ "vài trăm [được thành lập] trong suốt thế kỷ 18.").</w:t>
      </w:r>
    </w:p>
    <w:p>
      <w:pPr>
        <w:spacing w:after="80"/>
      </w:pPr>
      <w:r>
        <w:rPr>
          <w:b w:val="0"/>
          <w:i w:val="0"/>
        </w:rPr>
        <w:t>2. Những lợi thế của học thuyết nội vụ là gì? Những bất lợi là gì? Delaware là người thắng rõ ràng trong cuộc cạnh tranh thu hút các tập đoàn. Mặc dù có khoảng 60% trong Fortune 500 đăng ký thành lập tại bang này, chỉ Du Pont thực sự đặt trụ sở chính tại Delaware.</w:t>
      </w:r>
    </w:p>
    <w:p>
      <w:pPr>
        <w:spacing w:after="80"/>
      </w:pPr>
      <w:r>
        <w:rPr>
          <w:b w:val="0"/>
          <w:i w:val="0"/>
        </w:rPr>
        <w:t xml:space="preserve">3. Một số người cho rằng học thuyết này rất quan trọng đối với việc tối đa hóa sự giàu có. </w:t>
      </w:r>
      <w:r>
        <w:rPr>
          <w:b w:val="0"/>
          <w:i/>
        </w:rPr>
        <w:t>Xem</w:t>
      </w:r>
      <w:r>
        <w:rPr>
          <w:b w:val="0"/>
          <w:i w:val="0"/>
        </w:rPr>
        <w:t xml:space="preserve"> Frank H. Easterbrook &amp; Daniel R. Fischel, </w:t>
      </w:r>
      <w:r>
        <w:rPr>
          <w:b w:val="0"/>
          <w:i/>
        </w:rPr>
        <w:t>Mandatory Disclosure and the Protection of Investors</w:t>
      </w:r>
      <w:r>
        <w:rPr>
          <w:b w:val="0"/>
          <w:i w:val="0"/>
        </w:rPr>
        <w:t xml:space="preserve"> , 70 Va. L. Rev. 669, 697–98 (May 1984). Chỉ với học thuyết nội vụ, các bang mới có thể được tin cậy để thông qua các đạo luật tối đa hóa sự giàu có. Bạn có đồng ý với đánh giá này không?</w:t>
      </w:r>
    </w:p>
    <w:p>
      <w:pPr>
        <w:spacing w:after="80"/>
      </w:pPr>
      <w:r>
        <w:rPr>
          <w:b w:val="0"/>
          <w:i w:val="0"/>
        </w:rPr>
        <w:t>4. Quản trị doanh nghiệp sẽ trông như thế nào nếu học thuyết nội vụ không được áp dụng? Ở các quốc gia khác, nguyên tắc chung là các công ty nên đăng ký thành lập tại quốc gia nơi họ đặt trụ sở chính, mặc dù điều này đang thay đổi. Điều gì sẽ xảy ra nếu cách tiếp cận đó được áp dụng ở đất nước này?</w:t>
      </w:r>
    </w:p>
    <w:p>
      <w:pPr>
        <w:spacing w:after="80"/>
      </w:pPr>
      <w:r>
        <w:rPr>
          <w:b w:val="0"/>
          <w:i w:val="0"/>
        </w:rPr>
        <w:t xml:space="preserve">5. Về nghĩa vụ ủy thác, liệu học thuyết nội vụ có yêu cầu các tòa án ở các khu vực tài phán khác dựa vào các giải thích tư pháp của tòa án hay chỉ dựa vào các đạo luật được thông qua tại nhà nước cấp phép thành lập? Và điều gì xảy ra khi các tòa án không đồng ý về việc áp dụng học thuyết nội vụ? </w:t>
      </w:r>
      <w:r>
        <w:rPr>
          <w:b w:val="0"/>
          <w:i/>
        </w:rPr>
        <w:t>Xem</w:t>
      </w:r>
      <w:r>
        <w:rPr>
          <w:b w:val="0"/>
          <w:i w:val="0"/>
        </w:rPr>
        <w:t xml:space="preserve"> Gregory Scott Crespi, </w:t>
      </w:r>
      <w:r>
        <w:rPr>
          <w:b w:val="0"/>
          <w:i/>
        </w:rPr>
        <w:t>Choice of Law in Veil-Piercing Litigation: Why Courts Should Discard the Internal Affairs Rule and Embrace General Choice-of-Law Principles</w:t>
      </w:r>
      <w:r>
        <w:rPr>
          <w:b w:val="0"/>
          <w:i w:val="0"/>
        </w:rPr>
        <w:t xml:space="preserve"> , 64 N.Y.U. Ann. Surv. Am. L. 85, 90 (2008) (lưu ý rằng liên quan đến việc xuyên thủng mạng che, một số tòa án đã bác bỏ việc áp dụng học thuyết nội vụ và thay vào đó sử dụng "một phân tích lựa chọn luật áp dụng tổng quát hơn" qua đó cho phép áp dụng "luật xuyên thủng của địa phương—hoặc luật của một khu vực tài phán khác không phải là nhà nước cấp phép thành lập—cho một tranh chấp xuyên thủng liên quan đến một tập đoàn ngoài bang.").</w:t>
      </w:r>
    </w:p>
    <w:p>
      <w:pPr>
        <w:spacing w:after="80"/>
      </w:pPr>
      <w:r>
        <w:rPr>
          <w:b w:val="0"/>
          <w:i w:val="0"/>
        </w:rPr>
        <w:t xml:space="preserve">6. Học thuyết nội vụ quy định luật nào sẽ được áp dụng. Nó không quy định nơi mà vụ kiện thực sự có thể được duy trì. Do đó, một vụ kiện phái sinh liên quan đến một công ty được đăng ký thành lập tại Delaware nhưng có trụ sở chính tại San Francisco có thể được nộp tại California. Luật Delaware sẽ được áp dụng nhưng người ra quyết định sẽ là một thẩm phán ở bang khác. Tại sao các cổ đông có thể muốn làm điều này? Các công ty có thể làm gì để buộc các cổ đông thực sự đưa vụ kiện ra tại Delaware? Các tòa án Delaware đã khẳng định các điều lệ yêu cầu các vụ kiện phái sinh phải được duy trì tại Delaware. </w:t>
      </w:r>
      <w:r>
        <w:rPr>
          <w:b w:val="0"/>
          <w:i/>
        </w:rPr>
        <w:t>Xem Boilermakers Local 154 Retirement Fund et al. v. Chevron Corp. và ICLUB Investment Partnership v. FedEx Corp.</w:t>
      </w:r>
      <w:r>
        <w:rPr>
          <w:b w:val="0"/>
          <w:i w:val="0"/>
        </w:rPr>
        <w:t xml:space="preserve"> , 73 A.3d 934 (Del. Ch. 2013).</w:t>
      </w:r>
    </w:p>
    <w:p>
      <w:pPr>
        <w:spacing w:after="80"/>
      </w:pPr>
      <w:r>
        <w:rPr>
          <w:b w:val="0"/>
          <w:i w:val="0"/>
        </w:rPr>
        <w:t xml:space="preserve">7. Chính phủ liên bang có quy định về việc thành lập trong những trường hợp hẹp. Để thảo luận về các thực thể này, xem Paul E. Lund, </w:t>
      </w:r>
      <w:r>
        <w:rPr>
          <w:b w:val="0"/>
          <w:i/>
        </w:rPr>
        <w:t>Federally-Chartered Corporations and Federal Jurisdiction</w:t>
      </w:r>
      <w:r>
        <w:rPr>
          <w:b w:val="0"/>
          <w:i w:val="0"/>
        </w:rPr>
        <w:t xml:space="preserve"> , 36 Fla. St. U. L. Rev. 317 (2009).</w:t>
      </w:r>
    </w:p>
    <w:p>
      <w:pPr>
        <w:spacing w:after="80"/>
      </w:pPr>
      <w:r>
        <w:rPr>
          <w:b w:val="0"/>
          <w:i w:val="0"/>
        </w:rPr>
        <w:t>—————</w:t>
      </w:r>
    </w:p>
    <w:p>
      <w:pPr>
        <w:spacing w:after="80"/>
      </w:pPr>
      <w:r>
        <w:rPr>
          <w:b w:val="0"/>
          <w:i w:val="0"/>
        </w:rPr>
        <w:t>Học thuyết “công việc nội bộ” không chỉ giới hạn ở “bang” nơi thành lập công ty. Học thuyết công việc nội bộ thường được áp dụng ngay cả với các công ty được thành lập ở các quốc gia khác. Điều này có thể dẫn đến những nguyên tắc quản trị công ty rất khác nhau.</w:t>
      </w:r>
    </w:p>
    <w:p>
      <w:pPr>
        <w:pStyle w:val="Heading4"/>
      </w:pPr>
      <w:r>
        <w:rPr>
          <w:rFonts w:ascii="Calibri" w:hAnsi="Calibri"/>
          <w:b/>
          <w:i w:val="0"/>
          <w:sz w:val="23"/>
        </w:rPr>
        <w:t>In re BP P.L.C. Derivative Litigation</w:t>
      </w:r>
    </w:p>
    <w:p>
      <w:pPr>
        <w:spacing w:after="80"/>
      </w:pPr>
      <w:r>
        <w:rPr>
          <w:b w:val="0"/>
          <w:i w:val="0"/>
        </w:rPr>
        <w:t>Tòa án Quận Hoa Kỳ, Quận Nam New York</w:t>
      </w:r>
      <w:r>
        <w:br/>
      </w:r>
      <w:r>
        <w:rPr>
          <w:b w:val="0"/>
          <w:i w:val="0"/>
        </w:rPr>
        <w:t xml:space="preserve"> 507 F. Supp. 2d 302 (2007)</w:t>
      </w:r>
    </w:p>
    <w:p>
      <w:pPr>
        <w:spacing w:after="80"/>
      </w:pPr>
      <w:r>
        <w:rPr>
          <w:b w:val="0"/>
          <w:i w:val="0"/>
        </w:rPr>
        <w:t>BAER JR, THẨM PHÁN CẤP CAO:</w:t>
      </w:r>
    </w:p>
    <w:p>
      <w:pPr>
        <w:spacing w:after="80"/>
      </w:pPr>
      <w:r>
        <w:rPr>
          <w:b w:val="0"/>
          <w:i w:val="0"/>
        </w:rPr>
        <w:t xml:space="preserve">BP p.l.c., BP America, Inc., BP Products North America, Inc., BP Corp. North America, BP Exploration (Alaska) Inc., mười sáu thành viên hiện tại trong hội đồng quản trị của BP, chín cựu giám đốc, tám giám đốc, cán bộ và nhân viên hiện tại và cựu giám đốc của các công ty con của BP, và hai mươi bị đơn “John Doe” (gọi chung là “Các Bị đơn” hoặc “BP”) yêu cầu Tòa án này bác bỏ vụ kiện phái sinh của các cổ đông BP theo Fed. R. Civ. P. 12(b)(6) với cáo buộc rằng Các Nguyên đơn không đưa ra được yêu cầu phái sinh hợp lệ theo luật Anh hiện hành. Ngoài ra, Các Bị đơn lập luận rằng vụ kiện này nên bị bác bỏ theo Fed. R. Civ. P. 12(b)(2) vì thiếu thẩm quyền tài phán cá nhân đối với những người yêu cầu với lý do </w:t>
      </w:r>
      <w:r>
        <w:rPr>
          <w:b w:val="0"/>
          <w:i/>
        </w:rPr>
        <w:t>forum non conveniens</w:t>
      </w:r>
      <w:r>
        <w:rPr>
          <w:b w:val="0"/>
          <w:i w:val="0"/>
        </w:rPr>
        <w:t>. Vì những lý do sau đây, Đơn yêu cầu bác bỏ của Các Bị đơn được CHẤP THUẬN toàn bộ.</w:t>
      </w:r>
    </w:p>
    <w:p>
      <w:pPr>
        <w:spacing w:after="80"/>
      </w:pPr>
      <w:r>
        <w:rPr>
          <w:b w:val="0"/>
          <w:i w:val="0"/>
        </w:rPr>
        <w:t>* * *</w:t>
      </w:r>
    </w:p>
    <w:p>
      <w:pPr>
        <w:spacing w:after="80"/>
      </w:pPr>
      <w:r>
        <w:rPr>
          <w:b w:val="0"/>
          <w:i w:val="0"/>
        </w:rPr>
        <w:t xml:space="preserve">Các Bị đơn đưa ra ba lập luận chính để ủng hộ đơn yêu cầu bác bỏ của họ—(1) Đơn khiếu nại không đưa ra được yêu cầu có thể thừa nhận vì luật điều chỉnh trong trường hợp này, luật Anh, nói chung cấm cổ đông khởi kiện phái sinh thay mặt công ty trừ ba trường hợp rất hẹp theo Đạo luật Công ty 1985; (2) không có bị đơn cá nhân nào đang yêu cầu bác bỏ thuộc thẩm quyền tài phán cá nhân ở New York vì tất cả đều là người không cư trú với các mối liên hệ không đủ với New York để xác lập thẩm quyền tài phán chung; và (3) Tòa án nên từ chối xét xử các yêu cầu của Các Nguyên đơn theo học thuyết </w:t>
      </w:r>
      <w:r>
        <w:rPr>
          <w:b w:val="0"/>
          <w:i/>
        </w:rPr>
        <w:t>forum non conveniens</w:t>
      </w:r>
      <w:r>
        <w:rPr>
          <w:b w:val="0"/>
          <w:i w:val="0"/>
        </w:rPr>
        <w:t xml:space="preserve"> vì Anh, chứ không phải New York, có lợi ích lớn nhất trong vụ kiện này. Không ngạc nhiên, Các Nguyên đơn phản đối ba lập luận của Các Bị đơn và tập trung chủ yếu vào phân tích lựa chọn luật áp dụng đúng đắn. Do đó, tôi sẽ giải quyết phân tích lựa chọn luật áp dụng trước tiên.</w:t>
      </w:r>
    </w:p>
    <w:p>
      <w:pPr>
        <w:spacing w:after="80"/>
      </w:pPr>
      <w:r>
        <w:rPr>
          <w:b w:val="0"/>
          <w:i w:val="0"/>
        </w:rPr>
        <w:t>a. Học thuyết công việc nội bộ</w:t>
      </w:r>
    </w:p>
    <w:p>
      <w:pPr>
        <w:spacing w:after="80"/>
      </w:pPr>
      <w:r>
        <w:rPr>
          <w:b w:val="0"/>
          <w:i w:val="0"/>
        </w:rPr>
        <w:t>Tòa án này phải áp dụng các nguyên tắc lựa chọn luật của New York để xác định luật điều chỉnh. Klaxon Co. v. Stentor Elec. Mfg. Co., 313 U.S. 487, 496, 61 S. Ct. 1020, 85 L. Ed. 1477 (1941). Các quy tắc lựa chọn luật của New York đưa ra các học thuyết lựa chọn luật khác nhau tùy thuộc vào bản chất của yêu cầu—tức là sự vi phạm dân sự hoặc hợp đồng. Nói chung, luật New York yêu cầu rằng các yêu cầu liên quan đến công việc nội bộ của công ty—tức là các vấn đề liên quan đến quyền và trách nhiệm của một công ty—được điều chỉnh bởi học thuyết công việc nội bộ.</w:t>
      </w:r>
    </w:p>
    <w:p>
      <w:pPr>
        <w:spacing w:after="80"/>
      </w:pPr>
      <w:r>
        <w:rPr>
          <w:b w:val="0"/>
          <w:i w:val="0"/>
        </w:rPr>
        <w:t xml:space="preserve">Học thuyết đó quy định rằng quyền của một cổ đông trong một công ty nước ngoài (bao gồm quyền khởi kiện phái sinh) được xác định bởi luật của nơi công ty được thành lập. </w:t>
      </w:r>
      <w:r>
        <w:rPr>
          <w:b w:val="0"/>
          <w:i/>
        </w:rPr>
        <w:t>Xem</w:t>
      </w:r>
      <w:r>
        <w:rPr>
          <w:b w:val="0"/>
          <w:i w:val="0"/>
        </w:rPr>
        <w:t xml:space="preserve"> Atherton v. FDIC, 519 U.S. 213, 224, 117 S. Ct. 666, 136 L. Ed. 2d 656 (1997) (“Học thuyết công việc nội bộ . . . chỉ tìm cách tránh xung đột bằng cách yêu cầu rằng chỉ có một điểm tham chiếu pháp lý duy nhất.”); Edgar v. Mite Corp., 457 U.S. 624, 645, 102 S. Ct. 2629, 73 L. Ed. 2d 269 (1982) (“Học thuyết công việc nội bộ là một nguyên tắc xung đột pháp luật công nhận rằng chỉ một Bang nên có thẩm quyền điều chỉnh công việc nội bộ của một công ty—những vấn đề đặc thù trong các mối quan hệ giữa công ty với các cán bộ, giám đốc và cổ đông hiện tại của nó—bởi vì nếu không thì một công ty có thể phải đối mặt với những yêu cầu mâu thuẫn.”).</w:t>
      </w:r>
    </w:p>
    <w:p>
      <w:pPr>
        <w:spacing w:after="80"/>
      </w:pPr>
      <w:r>
        <w:rPr>
          <w:b w:val="0"/>
          <w:i w:val="0"/>
        </w:rPr>
        <w:t>Tính áp dụng của học thuyết công việc nội bộ trong trường hợp này phụ thuộc vào việc liệu Bang New York có thường xuyên áp dụng học thuyết công việc nội bộ trong việc xem xét lựa chọn luật của mình vào các tình tiết của chúng ta hay không, khi nào và nếu có. Mặc dù không có sự áp dụng máy móc học thuyết công việc nội bộ ở New York, các tòa án trong hầu hết mọi trường hợp khi đối mặt với việc xem xét lựa chọn luật trong các vụ kiện phái sinh cáo buộc vi phạm nghĩa vụ tín thác đều đã áp dụng học thuyết công việc nội bộ.</w:t>
      </w:r>
    </w:p>
    <w:p>
      <w:pPr>
        <w:spacing w:after="80"/>
      </w:pPr>
      <w:r>
        <w:rPr>
          <w:b w:val="0"/>
          <w:i w:val="0"/>
        </w:rPr>
        <w:t>Học thuyết công việc nội bộ có một ngoại lệ về chính sách công, dường như có hai loại. Thứ nhất, ngoại lệ về chính sách công có sẵn khi các luật liên quan của thẩm quyền nơi thành lập công ty là “vô đạo đức” hoặc “bất công” một cách khách quan. Thứ hai, ngoại lệ về chính sách công được áp dụng khi “việc áp dụng luật địa phương của một bang khác được yêu cầu vì lợi ích vượt trội của bang khác đó đối với vấn đề cần được quyết định.” Mặc dù nhiều nguyên đơn đã lập luận cho một ngoại lệ về chính sách công, không có vụ án nào trong Vòng này đã công nhận một ngoại lệ về chính sách công dựa trên các tình tiết của chúng ta khi các bị đơn có mối liên hệ tối thiểu với New York. Mặc dù Các Nguyên đơn chỉ ra đúng rằng học thuyết công việc nội bộ không được áp dụng tự động, họ không chứng minh được rằng học thuyết công việc nội bộ không nên được áp dụng cho vụ án đang được xét xử.</w:t>
      </w:r>
    </w:p>
    <w:p>
      <w:pPr>
        <w:spacing w:after="80"/>
      </w:pPr>
      <w:r>
        <w:rPr>
          <w:b w:val="0"/>
          <w:i w:val="0"/>
        </w:rPr>
        <w:t>* * *</w:t>
      </w:r>
    </w:p>
    <w:p>
      <w:pPr>
        <w:spacing w:after="80"/>
      </w:pPr>
      <w:r>
        <w:rPr>
          <w:b w:val="0"/>
          <w:i w:val="0"/>
        </w:rPr>
        <w:t>Do đó, Tòa án này đồng ý với Các Bị đơn rằng học thuyết lựa chọn luật thích hợp, ít nhất là ở New York, là học thuyết công việc nội bộ, và không có ngoại lệ về chính sách công nào là thích hợp. Vì BP được thành lập ở Anh và Wales, luật của Anh và Wales điều chỉnh các yêu cầu thực chất của vụ án này.</w:t>
      </w:r>
    </w:p>
    <w:p>
      <w:pPr>
        <w:spacing w:after="80"/>
      </w:pPr>
      <w:r>
        <w:rPr>
          <w:b w:val="0"/>
          <w:i w:val="0"/>
        </w:rPr>
        <w:t>i. Luật Anh</w:t>
      </w:r>
    </w:p>
    <w:p>
      <w:pPr>
        <w:spacing w:after="80"/>
      </w:pPr>
      <w:r>
        <w:rPr>
          <w:b w:val="0"/>
          <w:i w:val="0"/>
        </w:rPr>
        <w:t xml:space="preserve">Chuyển sang luật Anh như học thuyết công việc nội bộ (internal affairs doctrine) quy định, luật Anh đưa ra một nguyên nhân khởi kiện được thiết kế hẹp cho cổ đông để kiện thay mặt cho công ty. Án lệ dẫn đầu, </w:t>
      </w:r>
      <w:r>
        <w:rPr>
          <w:b w:val="0"/>
          <w:i/>
        </w:rPr>
        <w:t>Foss v. Harbottle</w:t>
      </w:r>
      <w:r>
        <w:rPr>
          <w:b w:val="0"/>
          <w:i w:val="0"/>
        </w:rPr>
        <w:t xml:space="preserve"> (1843) 2 Hare 461 (Eng.), được thiết lập hơn 150 năm trước rằng cổ đông không thể khởi kiện phái sinh (derivative action) vì những "sai trái" (wrongs) đối với công ty nếu những sai trái đó có thể được phê chuẩn bởi đa số cổ đông—và đáng chú ý, vi phạm nghĩa vụ tín thác (breach of fiduciary duty) có thể được phê chuẩn theo luật Anh—trừ khi có một ngoại lệ được áp dụng. </w:t>
      </w:r>
      <w:r>
        <w:rPr>
          <w:b w:val="0"/>
          <w:i/>
        </w:rPr>
        <w:t>Id.</w:t>
      </w:r>
      <w:r>
        <w:rPr>
          <w:b w:val="0"/>
          <w:i w:val="0"/>
        </w:rPr>
        <w:t xml:space="preserve"> Có ba ngoại lệ hẹp đối với quy tắc </w:t>
      </w:r>
      <w:r>
        <w:rPr>
          <w:b w:val="0"/>
          <w:i/>
        </w:rPr>
        <w:t>Foss v. Harbottle</w:t>
      </w:r>
      <w:r>
        <w:rPr>
          <w:b w:val="0"/>
          <w:i w:val="0"/>
        </w:rPr>
        <w:t xml:space="preserve">: (1) sai trái bị cáo buộc là </w:t>
      </w:r>
      <w:r>
        <w:rPr>
          <w:b w:val="0"/>
          <w:i/>
        </w:rPr>
        <w:t>ultra vires</w:t>
      </w:r>
      <w:r>
        <w:rPr>
          <w:b w:val="0"/>
          <w:i w:val="0"/>
        </w:rPr>
        <w:t xml:space="preserve"> , (2) tính hợp lệ của giao dịch phụ thuộc vào sự chấp thuận của đa số cổ đông lớn hơn đa số đơn giản, (3) kẻ sai trái thu lợi bằng chi phí của công ty thông qua tự giao dịch (self-dealing) </w:t>
      </w:r>
      <w:r>
        <w:rPr>
          <w:b w:val="0"/>
          <w:i/>
        </w:rPr>
        <w:t>và</w:t>
      </w:r>
      <w:r>
        <w:rPr>
          <w:b w:val="0"/>
          <w:i w:val="0"/>
        </w:rPr>
        <w:t xml:space="preserve"> kẻ sai trái nắm quyền kiểm soát biểu quyết của công ty—tức là gian lận đối với thiểu số (fraud on the minority). </w:t>
      </w:r>
      <w:r>
        <w:rPr>
          <w:b w:val="0"/>
          <w:i/>
        </w:rPr>
        <w:t>Id.</w:t>
      </w:r>
      <w:r>
        <w:rPr>
          <w:b w:val="0"/>
          <w:i w:val="0"/>
        </w:rPr>
        <w:t xml:space="preserve"> P17 (nhấn mạnh được thêm).</w:t>
      </w:r>
    </w:p>
    <w:p>
      <w:pPr>
        <w:spacing w:after="80"/>
      </w:pPr>
      <w:r>
        <w:rPr>
          <w:b w:val="0"/>
          <w:i w:val="0"/>
        </w:rPr>
        <w:t xml:space="preserve">ii. Các ngoại lệ đối với </w:t>
      </w:r>
      <w:r>
        <w:rPr>
          <w:b w:val="0"/>
          <w:i/>
        </w:rPr>
        <w:t>Foss v. Harbottle</w:t>
      </w:r>
    </w:p>
    <w:p>
      <w:pPr>
        <w:spacing w:after="80"/>
      </w:pPr>
      <w:r>
        <w:rPr>
          <w:b w:val="0"/>
          <w:i w:val="0"/>
        </w:rPr>
        <w:t>Ngoại lệ duy nhất gây tranh cãi không thành lập vì Nguyên đơn chưa và không thể cáo buộc quyền kiểm soát đối với đa số cổ phần. Do đó, ngay cả khi Nguyên đơn cung cấp đủ bằng chứng hỗ trợ cho việc tự giao dịch gây thiệt hại cho BP, họ vẫn chưa chứng minh được quyền kiểm soát cần thiết để kích hoạt ngoại lệ thứ ba.</w:t>
      </w:r>
    </w:p>
    <w:p>
      <w:pPr>
        <w:spacing w:after="80"/>
      </w:pPr>
      <w:r>
        <w:rPr>
          <w:b w:val="0"/>
          <w:i w:val="0"/>
        </w:rPr>
        <w:t>iii. Đạo luật Công ty 2006 (Companies Act 2006)</w:t>
      </w:r>
    </w:p>
    <w:p>
      <w:pPr>
        <w:spacing w:after="80"/>
      </w:pPr>
      <w:r>
        <w:rPr>
          <w:b w:val="0"/>
          <w:i w:val="0"/>
        </w:rPr>
        <w:t xml:space="preserve">Vương quốc Anh gần đây đã thông qua Đạo luật Công ty 2006, đạo luật này công nhận khiếu nại phái sinh của cổ đông là một nguyên nhân khởi kiện có thể nhận diện được. Đạo luật có hiệu lực vào tháng 10 năm 2007. Nguyên đơn tuyên bố trong Bản phản đối của họ rằng việc ban hành luật này minh họa rằng Vương quốc Anh cho rằng quy tắc thông luật được nêu trong </w:t>
      </w:r>
      <w:r>
        <w:rPr>
          <w:b w:val="0"/>
          <w:i/>
        </w:rPr>
        <w:t>Foss v. Harbottle</w:t>
      </w:r>
      <w:r>
        <w:rPr>
          <w:b w:val="0"/>
          <w:i w:val="0"/>
        </w:rPr>
        <w:t xml:space="preserve"> là bất công và vi phạm chính sách công. Bị đơn lập luận rằng Đạo luật Công ty 2006 không áp dụng hồi tố, và do đó, không thể áp dụng. Bộ trưởng Công nghiệp và Vùng của Vương quốc Anh, Ngài Margaret Hodge, gần đây đã ra một tuyên bố làm rõ câu hỏi về việc áp dụng hồi tố của Đạo luật Công ty 2006. Defs.' Ltr. to Hon. Harold Baer, Jr., Jun. 29, 2007. Bà Hodge đã tuyên bố rõ ràng rằng "các thủ tục mới hơn, rõ ràng hơn nên được sử dụng cho tất cả các khiếu nại được đưa ra vào hoặc sau ngày 1 tháng 10 năm 2007 [và] tòa án nên đảm bảo rằng kết quả của bất kỳ khiếu nại nào dựa trên hành vi hoặc thiếu sót của giám đốc trước ngày 1 tháng 10 năm 2007 sẽ giống như kết quả theo thông luật cũ đã áp dụng vào thời điểm đó."</w:t>
      </w:r>
    </w:p>
    <w:p>
      <w:pPr>
        <w:spacing w:after="80"/>
      </w:pPr>
      <w:r>
        <w:rPr>
          <w:b w:val="0"/>
          <w:i w:val="0"/>
        </w:rPr>
        <w:t>IV. KẾT LUẬN</w:t>
      </w:r>
    </w:p>
    <w:p>
      <w:pPr>
        <w:spacing w:after="80"/>
      </w:pPr>
      <w:r>
        <w:rPr>
          <w:b w:val="0"/>
          <w:i w:val="0"/>
        </w:rPr>
        <w:t>Vì tôi thấy rằng luật Anh điều chỉnh và cấm các vụ kiện phái sinh, và Nguyên đơn chưa trình bày các sự kiện đủ để duy trì vụ kiện này theo một trong ba ngoại lệ hẹp được liệt kê trong Đạo luật Công ty 1985 của Anh, Đơn khởi kiện bị bác bỏ theo Fed. R. Civ. P. 12(b)(6) mà không ảnh hưởng đến quyền khởi kiện lại.</w:t>
      </w:r>
    </w:p>
    <w:p>
      <w:pPr>
        <w:pStyle w:val="Heading5"/>
      </w:pPr>
      <w:r>
        <w:rPr>
          <w:rFonts w:ascii="Calibri" w:hAnsi="Calibri"/>
          <w:b/>
          <w:i/>
          <w:sz w:val="22"/>
        </w:rPr>
        <w:t>Bình luận và Câu hỏi</w:t>
      </w:r>
    </w:p>
    <w:p>
      <w:pPr>
        <w:spacing w:after="80"/>
      </w:pPr>
      <w:r>
        <w:rPr>
          <w:b w:val="0"/>
          <w:i w:val="0"/>
        </w:rPr>
        <w:t>1. Học thuyết công việc nội bộ có những hậu quả gì đối với các nhà đầu tư ở Hoa Kỳ?</w:t>
      </w:r>
    </w:p>
    <w:p>
      <w:pPr>
        <w:spacing w:after="80"/>
      </w:pPr>
      <w:r>
        <w:rPr>
          <w:b w:val="0"/>
          <w:i w:val="0"/>
        </w:rPr>
        <w:t xml:space="preserve">2. Các công ty có trụ sở chính tại Hoa Kỳ đôi khi thành lập tại các khu vực pháp lý nước ngoài. Những công ty khác lại lập công ty con ở những địa điểm ngoài Hoa Kỳ. Một khu vực phổ biến cho việc này là vùng Caribe, đặc biệt là những nơi như Quần đảo Cayman. Bạn có biết tại sao lại như vậy không? Còn về "đảo ngược thuế" (tax inversions) thì sao? </w:t>
      </w:r>
      <w:r>
        <w:rPr>
          <w:b w:val="0"/>
          <w:i/>
        </w:rPr>
        <w:t>Xem</w:t>
      </w:r>
      <w:r>
        <w:rPr>
          <w:b w:val="0"/>
          <w:i w:val="0"/>
        </w:rPr>
        <w:t xml:space="preserve"> Eric L. Talley, </w:t>
      </w:r>
      <w:r>
        <w:rPr>
          <w:b w:val="0"/>
          <w:i/>
        </w:rPr>
        <w:t>Corporate Inversions and the Unbundling of Regulatory Competition</w:t>
      </w:r>
      <w:r>
        <w:rPr>
          <w:b w:val="0"/>
          <w:i w:val="0"/>
        </w:rPr>
        <w:t xml:space="preserve"> , 101 Va. L. Rev. 1649 (Oct. 2015) (mô tả một loại đảo ngược thuế là sự hợp nhất giữa một công ty Hoa Kỳ và một công ty nước ngoài, trong đó thực thể mới nổi được thành lập ở nước ngoài và có được lợi thế thuế nhờ giao dịch đó).</w:t>
      </w:r>
    </w:p>
    <w:p>
      <w:pPr>
        <w:spacing w:after="80"/>
      </w:pPr>
      <w:r>
        <w:rPr>
          <w:b w:val="0"/>
          <w:i w:val="0"/>
        </w:rPr>
        <w:t>3. Các khu vực pháp lý khác được ưa chuộng cho việc thành lập ở nước ngoài bao gồm Thụy Sĩ và Ireland. Điều gì giải thích sự phổ biến của những quốc gia này? Một số khu vực pháp lý có mang lại rủi ro lớn hơn những nơi khác không? Accenture, nhánh tư vấn của Arthur Andersen đã tách ra thành một thực thể độc lập, ban đầu được thành lập tại Bermuda nhưng đã chuyển đến Ireland. Trong bản tuyên bố ủy quyền của công ty, họ đưa ra lý do cho việc tái thành lập, trong số những lý do khác, là "[s]ự chỉ trích liên tục đối với các công ty được thành lập tại Bermuda" và "tính chất toàn cầu trong hoạt động kinh doanh của Accenture." Proxy Statement, Accenture Ltd., June 24, 2009.</w:t>
      </w:r>
    </w:p>
    <w:p>
      <w:pPr>
        <w:spacing w:after="80"/>
      </w:pPr>
      <w:r>
        <w:rPr>
          <w:b w:val="0"/>
          <w:i w:val="0"/>
        </w:rPr>
        <w:t>4. Những khác biệt nào khác về cấu trúc quản trị có thể tồn tại đối với các công ty được thành lập ở các quốc gia khác? Phần lớn điều này được thảo luận trong Chương 12 , Quản trị Công ty So sánh.</w:t>
      </w:r>
    </w:p>
    <w:p>
      <w:pPr>
        <w:spacing w:after="80"/>
      </w:pPr>
      <w:r>
        <w:rPr>
          <w:b w:val="0"/>
          <w:i w:val="0"/>
        </w:rPr>
        <w:t>—————</w:t>
      </w:r>
    </w:p>
    <w:p>
      <w:pPr>
        <w:spacing w:after="80"/>
      </w:pPr>
      <w:r>
        <w:rPr>
          <w:b w:val="0"/>
          <w:i w:val="0"/>
        </w:rPr>
        <w:t>Không phải tất cả các bang đều hài lòng với cách tiếp cận này. Họ đã tìm cách áp dụng các yêu cầu bổ sung được thiết kế để bảo vệ nhà đầu tư và cổ đông bằng cách mở rộng cho họ các quyền quản trị bổ sung đối với các công ty nước ngoài hoạt động trong bang. California là bang tích cực nhất trong lĩnh vực này.</w:t>
      </w:r>
    </w:p>
    <w:p>
      <w:pPr>
        <w:spacing w:after="80"/>
      </w:pPr>
      <w:r>
        <w:rPr>
          <w:b/>
          <w:i w:val="0"/>
        </w:rPr>
        <w:t>Cal. Corp. Code § 2100</w:t>
      </w:r>
      <w:r>
        <w:rPr>
          <w:b w:val="0"/>
          <w:i w:val="0"/>
        </w:rPr>
        <w:t xml:space="preserve"> . Chương này chỉ áp dụng cho các công ty nước ngoài giao dịch kinh doanh nội bang, trừ khi có quy định rõ ràng khác.</w:t>
      </w:r>
    </w:p>
    <w:p>
      <w:pPr>
        <w:spacing w:after="80"/>
      </w:pPr>
      <w:r>
        <w:rPr>
          <w:b/>
          <w:i w:val="0"/>
        </w:rPr>
        <w:t>Cal. Corp. Code § 2115</w:t>
      </w:r>
      <w:r>
        <w:rPr>
          <w:b w:val="0"/>
          <w:i w:val="0"/>
        </w:rPr>
        <w:t xml:space="preserve"> . Các công ty nước ngoài và công ty mẹ nước ngoài chịu sự điều chỉnh của luật công ty chung; Công thức xác định các yếu tố tài sản, bảng lương và doanh số; Các quy định áp dụng</w:t>
      </w:r>
    </w:p>
    <w:p>
      <w:pPr>
        <w:spacing w:after="80"/>
      </w:pPr>
      <w:r>
        <w:rPr>
          <w:b w:val="0"/>
          <w:i w:val="0"/>
        </w:rPr>
        <w:t>(a) Một công ty nước ngoài (không phải là hiệp hội nước ngoài hay công ty phi lợi nhuận nước ngoài nhưng bao gồm cả công ty mẹ nước ngoài dù bản thân nó không thực hiện hoạt động kinh doanh nội bang) phải tuân theo các yêu cầu tại khoản (b) kể từ ngày được quy định tại khoản (d) và tiếp tục cho đến ngày được quy định tại khoản (e) nếu:</w:t>
      </w:r>
    </w:p>
    <w:p>
      <w:pPr>
        <w:spacing w:after="80"/>
      </w:pPr>
      <w:r>
        <w:rPr>
          <w:b w:val="0"/>
          <w:i w:val="0"/>
        </w:rPr>
        <w:t>(1) Mức trung bình của yếu tố tài sản, yếu tố tiền lương và yếu tố doanh số (theo định nghĩa tại các Mục 25129, 25132 và 25134 của Bộ luật Doanh thu và Thuế) đối với nó là hơn 50 phần trăm trong năm thu nhập đầy đủ gần nhất của nó và</w:t>
      </w:r>
    </w:p>
    <w:p>
      <w:pPr>
        <w:spacing w:after="80"/>
      </w:pPr>
      <w:r>
        <w:rPr>
          <w:b w:val="0"/>
          <w:i w:val="0"/>
        </w:rPr>
        <w:t>(2) hơn một nửa số chứng khoán có quyền biểu quyết đang lưu hành của nó được nắm giữ trên sổ sách bởi những người có địa chỉ tại bang này xuất hiện trên sổ sách của công ty vào ngày chốt danh sách cho cuộc họp cổ đông gần nhất được tổ chức trong năm thu nhập đầy đủ gần nhất của nó hoặc, nếu không có cuộc họp nào được tổ chức trong năm đó, vào ngày cuối cùng của năm thu nhập đầy đủ gần nhất. . . .</w:t>
      </w:r>
    </w:p>
    <w:p>
      <w:pPr>
        <w:spacing w:after="80"/>
      </w:pPr>
      <w:r>
        <w:rPr>
          <w:b w:val="0"/>
          <w:i w:val="0"/>
        </w:rPr>
        <w:t>(b) Trừ trường hợp được quy định tại khoản (c), các chương và mục sau đây của phần này sẽ áp dụng cho một công ty nước ngoài như được định nghĩa tại khoản (a) (loại trừ luật của thẩm quyền nơi nó được thành lập):</w:t>
      </w:r>
    </w:p>
    <w:p>
      <w:pPr>
        <w:spacing w:after="80"/>
      </w:pPr>
      <w:r>
        <w:rPr>
          <w:b w:val="0"/>
          <w:i w:val="0"/>
        </w:rPr>
        <w:t>* * *</w:t>
      </w:r>
    </w:p>
    <w:p>
      <w:pPr>
        <w:spacing w:after="80"/>
      </w:pPr>
      <w:r>
        <w:rPr>
          <w:b w:val="0"/>
          <w:i w:val="0"/>
        </w:rPr>
        <w:t>Mục 303 (bãi miễn giám đốc không cần lý do);</w:t>
      </w:r>
    </w:p>
    <w:p>
      <w:pPr>
        <w:spacing w:after="80"/>
      </w:pPr>
      <w:r>
        <w:rPr>
          <w:b w:val="0"/>
          <w:i w:val="0"/>
        </w:rPr>
        <w:t>* * *</w:t>
      </w:r>
    </w:p>
    <w:p>
      <w:pPr>
        <w:spacing w:after="80"/>
      </w:pPr>
      <w:r>
        <w:rPr>
          <w:b w:val="0"/>
          <w:i w:val="0"/>
        </w:rPr>
        <w:t>Mục 708, các khoản (a), (b) và (c) (quyền của cổ đông được tích lũy phiếu bầu tại bất kỳ cuộc bầu cử giám đốc nào);</w:t>
      </w:r>
    </w:p>
    <w:p>
      <w:pPr>
        <w:spacing w:after="80"/>
      </w:pPr>
      <w:r>
        <w:rPr>
          <w:b w:val="0"/>
          <w:i w:val="0"/>
        </w:rPr>
        <w:t>* * *</w:t>
      </w:r>
    </w:p>
    <w:p>
      <w:pPr>
        <w:spacing w:after="80"/>
      </w:pPr>
      <w:r>
        <w:rPr>
          <w:b w:val="0"/>
          <w:i w:val="0"/>
        </w:rPr>
        <w:t>Mục 710 (yêu cầu biểu quyết đa số tuyệt đối);</w:t>
      </w:r>
    </w:p>
    <w:p>
      <w:pPr>
        <w:spacing w:after="80"/>
      </w:pPr>
      <w:r>
        <w:rPr>
          <w:b w:val="0"/>
          <w:i w:val="0"/>
        </w:rPr>
        <w:t>* * *</w:t>
      </w:r>
    </w:p>
    <w:p>
      <w:pPr>
        <w:spacing w:after="80"/>
      </w:pPr>
      <w:r>
        <w:rPr>
          <w:b w:val="0"/>
          <w:i w:val="0"/>
        </w:rPr>
        <w:t>Chương 12 (bắt đầu từ Mục 1200) (tái cơ cấu);(c) Mục này không áp dụng cho bất kỳ công ty nào (1) có chứng khoán đang lưu hành được niêm yết trên New York Stock Exchange, NYSE Amex, NASDAQ Global Market hoặc NASDAQ Capital Market, hoặc (2) nếu tất cả cổ phần có quyền biểu quyết của nó (ngoài cổ phần điều kiện của giám đốc) được sở hữu trực tiếp hoặc gián tiếp bởi một hoặc nhiều công ty không thuộc phạm vi điều chỉnh của mục này.</w:t>
      </w:r>
    </w:p>
    <w:p>
      <w:pPr>
        <w:pStyle w:val="Heading5"/>
      </w:pPr>
      <w:r>
        <w:rPr>
          <w:rFonts w:ascii="Calibri" w:hAnsi="Calibri"/>
          <w:b/>
          <w:i/>
          <w:sz w:val="22"/>
        </w:rPr>
        <w:t>Bình luận và Câu hỏi</w:t>
      </w:r>
    </w:p>
    <w:p>
      <w:pPr>
        <w:spacing w:after="80"/>
      </w:pPr>
      <w:r>
        <w:rPr>
          <w:b w:val="0"/>
          <w:i w:val="0"/>
        </w:rPr>
        <w:t>1. Các công ty thuộc phạm vi điều chỉnh của luật này, ngoài một số ngoại lệ nhất định, phải quy định việc biểu quyết tích lũy, quyền của cổ đông được bãi miễn giám đốc không cần lý do, và nói chung, không thể thông qua các điều khoản đa số tuyệt đối yêu cầu tỷ lệ phần trăm trên hai phần ba. Bạn nghĩ tại sao California lại đặt ra những quy định này?</w:t>
      </w:r>
    </w:p>
    <w:p>
      <w:pPr>
        <w:spacing w:after="80"/>
      </w:pPr>
      <w:r>
        <w:rPr>
          <w:b w:val="0"/>
          <w:i w:val="0"/>
        </w:rPr>
        <w:t>2. Những loại công ty nào thuộc phạm vi điều chỉnh của các yêu cầu này? Liệu những yêu cầu này có tạo ra xung đột tiềm ẩn cho các công ty được thành lập ở các bang khác không?</w:t>
      </w:r>
    </w:p>
    <w:p>
      <w:pPr>
        <w:spacing w:after="80"/>
      </w:pPr>
      <w:r>
        <w:rPr>
          <w:b w:val="0"/>
          <w:i w:val="0"/>
        </w:rPr>
        <w:t>3. Những công ty nào được loại trừ khỏi các yêu cầu này? Tại sao lại như vậy?</w:t>
      </w:r>
    </w:p>
    <w:p>
      <w:pPr>
        <w:spacing w:after="80"/>
      </w:pPr>
      <w:r>
        <w:rPr>
          <w:b w:val="0"/>
          <w:i w:val="0"/>
        </w:rPr>
        <w:t>4. Quy định này áp dụng cho các cổ đông được ghi danh. Liệu điều này có mang lại cho các công ty một cơ chế để tránh việc áp dụng quy định này không?</w:t>
      </w:r>
    </w:p>
    <w:p>
      <w:pPr>
        <w:spacing w:after="80"/>
      </w:pPr>
      <w:r>
        <w:rPr>
          <w:b w:val="0"/>
          <w:i w:val="0"/>
        </w:rPr>
        <w:t>—————</w:t>
      </w:r>
    </w:p>
    <w:p>
      <w:pPr>
        <w:spacing w:after="80"/>
      </w:pPr>
      <w:r>
        <w:rPr>
          <w:b w:val="0"/>
          <w:i w:val="0"/>
        </w:rPr>
        <w:t>Việc thông qua Mục 2115 là một chuyện, còn đảm bảo việc áp dụng nó lại là chuyện khác. Có lẽ không có gì đáng ngạc nhiên khi sự đón nhận của tòa án đối với cách tiếp cận này phụ thuộc vào việc tòa án liên quan nằm ở khu vực tài phán đang tìm cách thực thi quy định đối với các công ty được thành lập ở nơi khác, hay ở khu vực tài phán nơi công ty được thành lập. Trường hợp thứ nhất đã ủng hộ cách tiếp cận này; trường hợp thứ hai thì không.</w:t>
      </w:r>
    </w:p>
    <w:p>
      <w:pPr>
        <w:pStyle w:val="Heading4"/>
      </w:pPr>
      <w:r>
        <w:rPr>
          <w:rFonts w:ascii="Calibri" w:hAnsi="Calibri"/>
          <w:b/>
          <w:i w:val="0"/>
          <w:sz w:val="23"/>
        </w:rPr>
        <w:t>Wilson v. Louisiana-Pacific Resources, Inc.</w:t>
      </w:r>
    </w:p>
    <w:p>
      <w:pPr>
        <w:spacing w:after="80"/>
      </w:pPr>
      <w:r>
        <w:rPr>
          <w:b w:val="0"/>
          <w:i w:val="0"/>
        </w:rPr>
        <w:t>Tòa phúc thẩm California</w:t>
      </w:r>
      <w:r>
        <w:br/>
      </w:r>
      <w:r>
        <w:rPr>
          <w:b w:val="0"/>
          <w:i w:val="0"/>
        </w:rPr>
        <w:t xml:space="preserve"> 138 Cal. App. 3d 216 (1982)</w:t>
      </w:r>
    </w:p>
    <w:p>
      <w:pPr>
        <w:spacing w:after="80"/>
      </w:pPr>
      <w:r>
        <w:rPr>
          <w:b w:val="0"/>
          <w:i w:val="0"/>
        </w:rPr>
        <w:t>GRODIN, THẨM PHÁN:</w:t>
      </w:r>
    </w:p>
    <w:p>
      <w:pPr>
        <w:spacing w:after="80"/>
      </w:pPr>
      <w:r>
        <w:rPr>
          <w:b w:val="0"/>
          <w:i w:val="0"/>
        </w:rPr>
        <w:t>Câu hỏi được đặt ra trong kháng cáo này, một vấn đề chưa từng có tiền lệ và có ý nghĩa đáng kể, là liệu Bang California có thể áp đặt một cách hợp hiến luật của mình yêu cầu bỏ phiếu tích lũy (cumulative voting) của cổ đông lên một công ty có trụ sở ở nơi khác, nhưng có các mối liên hệ với California, được đo lường bằng nhiều tiêu chí khác nhau, lớn hơn so với bất kỳ khu vực tài phán nào khác hay không.</w:t>
      </w:r>
    </w:p>
    <w:p>
      <w:pPr>
        <w:spacing w:after="80"/>
      </w:pPr>
      <w:r>
        <w:rPr>
          <w:b w:val="0"/>
          <w:i w:val="0"/>
        </w:rPr>
        <w:t>* * *</w:t>
      </w:r>
    </w:p>
    <w:p>
      <w:pPr>
        <w:spacing w:after="80"/>
      </w:pPr>
      <w:r>
        <w:rPr>
          <w:b w:val="0"/>
          <w:i w:val="0"/>
        </w:rPr>
        <w:t>Nguyên đơn Ross A. Wilson đã khởi kiện Louisiana-Pacific Resources, Inc., một công ty của Utah, yêu cầu một phán quyết tuyên bố rằng bị đơn đáp ứng các tiêu chí của mục 2115, và do đó ông được quyền bỏ phiếu tích lũy theo mục 708. Tòa án sơ thẩm phát hiện rằng trong những năm trước vụ kiện, mức trung bình về tài sản, tiền lương và doanh số của bị đơn tại California theo định nghĩa của luật công ty California đã vượt quá 50 phần trăm, và hơn 50 phần trăm cổ đông có quyền biểu quyết của công ty cư trú tại California, do đó các điều kiện luật định đã được đáp ứng. Tòa cũng phát hiện rằng ngoài việc có trụ sở tại Utah và có một đại lý chuyển nhượng ở đó, bị đơn hầu như không có mối liên hệ kinh doanh nào với Utah, rằng địa điểm kinh doanh chính của nó đã ở California ít nhất từ năm 1971, rằng các cuộc họp cổ đông và hội đồng quản trị của nó được tổ chức tại California, và rằng tất cả nhân viên và tất cả tài khoản ngân hàng của nó đều ở California. Cuối cùng, tòa kết luận, trái với lập luận của bị đơn, rằng không tồn tại trở ngại hiến định nào đối với việc áp dụng yêu cầu bỏ phiếu tích lũy đối với bị đơn, và rằng việc “[bỏ phiếu] tích lũy của nó sẽ có hiệu lực như một phụ lục tư pháp đối với điều lệ thành lập của bị đơn, và tất cả cổ đông của nó đều được quyền bỏ phiếu tích lũy dù họ có là cư dân California hay không.”</w:t>
      </w:r>
    </w:p>
    <w:p>
      <w:pPr>
        <w:spacing w:after="80"/>
      </w:pPr>
      <w:r>
        <w:rPr>
          <w:b w:val="0"/>
          <w:i w:val="0"/>
        </w:rPr>
        <w:t>* * *</w:t>
      </w:r>
    </w:p>
    <w:p>
      <w:pPr>
        <w:spacing w:after="80"/>
      </w:pPr>
      <w:r>
        <w:rPr>
          <w:b w:val="0"/>
          <w:i w:val="0"/>
        </w:rPr>
        <w:t xml:space="preserve">I. </w:t>
      </w:r>
      <w:r>
        <w:rPr>
          <w:b w:val="0"/>
          <w:i/>
        </w:rPr>
        <w:t>Full Faith and Credit</w:t>
      </w:r>
    </w:p>
    <w:p>
      <w:pPr>
        <w:spacing w:after="80"/>
      </w:pPr>
      <w:r>
        <w:rPr>
          <w:b w:val="0"/>
          <w:i w:val="0"/>
        </w:rPr>
        <w:t>Điều khoản full faith and credit (tin cậy và tín nhiệm hoàn toàn) của Hiến pháp liên bang (điều IV, § 1) yêu cầu rằng “Full Faith and Credit . . . phải được trao cho mỗi Bang đối với các Đạo luật công, Hồ sơ, và Thủ tục Tư pháp của mọi Bang khác. . . .” Mặc dù cụm từ “public Acts, Records and Judicial Proceedings” đã được giải thích là bao gồm cả các đạo luật lẫn các phán quyết tư pháp (ví dụ, Bradford Elec. Co. v. Clapper (1932) 286 U.S. 145 [52 S. Ct. 571, 76 L. Ed. 1026, 82 A.L.R. 696]), Tòa án Tối cao đã thừa nhận rằng “[v]iệc thực thi một cách cứng nhắc và nguyên văn điều khoản full faith and credit, không xét đến đạo luật của diễn đàn xét xử, sẽ dẫn đến kết quả vô lý rằng, bất cứ nơi nào xung đột phát sinh, đạo luật của mỗi bang phải được thực thi tại tòa án của bang kia, nhưng lại không thể được thực thi tại chính bang mình. Trừ khi nhờ hiệu lực của điều khoản đó mà một đạo luật của bang được trao hiệu lực lớn hơn ở nước ngoài so với mức mà điều khoản cho phép nó có ở trong nước, thì không thể tránh khỏi việc Tòa án này phải tự mình xác định mức độ mà đạo luật của một bang có thể hạn chế hoặc phủ nhận các quyền được khẳng định theo đạo luật của một bang khác.” (Alaska Packers Assn. v. Comm'n (1935) 294 U.S. 532, 547 [55 S. Ct. 518, 79 L. Ed. 1044, 1052].)</w:t>
      </w:r>
    </w:p>
    <w:p>
      <w:pPr>
        <w:spacing w:after="80"/>
      </w:pPr>
      <w:r>
        <w:rPr>
          <w:b w:val="0"/>
          <w:i w:val="0"/>
        </w:rPr>
        <w:t xml:space="preserve">Theo học thuyết </w:t>
      </w:r>
      <w:r>
        <w:rPr>
          <w:b w:val="0"/>
          <w:i/>
        </w:rPr>
        <w:t>Alaska Packers, supra</w:t>
      </w:r>
      <w:r>
        <w:rPr>
          <w:b w:val="0"/>
          <w:i w:val="0"/>
        </w:rPr>
        <w:t>, việc xác định áp dụng các đạo luật xung đột phải được thực hiện “bằng cách đánh giá các lợi ích chính phủ của mỗi khu vực tài phán, và nghiêng cán cân quyết định theo trọng lượng của chúng.” (294 U.S. tại tr. 547 [79 L. Ed. tại tr. 1052].) Trong quá trình cân nhắc này, người ta giả định rằng “mỗi bang đều có quyền thực thi trong tòa án của chính mình các đạo luật của mình, được ban hành một cách hợp pháp. Ai thách thức quyền đó, vì hiệu lực được trao cho một đạo luật xung đột của bang khác bởi điều khoản full faith and credit, thì phải gánh trách nhiệm chứng minh, trên một cơ sở hợp lý nào đó, rằng trong các lợi ích xung đột liên quan, lợi ích của bang nước ngoài cao hơn lợi ích của diễn đàn xét xử.” (Sđd., tại tr. 547–548 [79 L. Ed. tại tr. 1052].)</w:t>
      </w:r>
    </w:p>
    <w:p>
      <w:pPr>
        <w:spacing w:after="80"/>
      </w:pPr>
      <w:r>
        <w:rPr>
          <w:b w:val="0"/>
          <w:i w:val="0"/>
        </w:rPr>
        <w:t xml:space="preserve">Kể từ </w:t>
      </w:r>
      <w:r>
        <w:rPr>
          <w:b w:val="0"/>
          <w:i/>
        </w:rPr>
        <w:t>Alaska Packers</w:t>
      </w:r>
      <w:r>
        <w:rPr>
          <w:b w:val="0"/>
          <w:i w:val="0"/>
        </w:rPr>
        <w:t>, Tòa án Tối cao đã từ bỏ yêu cầu cân nhắc lợi ích để chuyển sang một tiêu chuẩn ít khắt khe hơn, tương ứng với các yêu cầu của điều khoản thủ tục hợp hiến (due process clause). (Allstate Ins. Co. v. Hague (1981) 449 U.S. 302, 308, chú thích 10 [101 S. Ct. 633, 66 L.Ed.2d 521, 527].) Khi xác định liệu quyết định chọn luật áp dụng của một bang có vượt quá các yêu cầu hiến định liên bang hay không, quy tắc hiện hành là “để luật nội dung của một Bang được chọn theo cách hợp hiến, Bang đó phải có một mối liên hệ đáng kể hoặc một tập hợp mối liên hệ đáng kể, tạo ra các lợi ích của bang, đến mức việc chọn luật của bang đó không phải là tùy tiện cũng không phải là bất công về cơ bản.” (Sđd., tại tr. 312–313 [66 L.Ed.2d tại tr. 531].)</w:t>
      </w:r>
    </w:p>
    <w:p>
      <w:pPr>
        <w:spacing w:after="80"/>
      </w:pPr>
      <w:r>
        <w:rPr>
          <w:b w:val="0"/>
          <w:i w:val="0"/>
        </w:rPr>
        <w:t xml:space="preserve">Chúng tôi cho rằng tiêu chuẩn đó được đáp ứng ở đây; các tiêu chí mà một công ty nước ngoài phải đáp ứng để chịu sự điều chỉnh của mục 2115 đảm bảo sự tồn tại của một tập hợp mối liên hệ đáng kể. Và các lợi ích của bang được tạo ra bởi những mối liên hệ đó thực sự là đáng kể. Luật hiện hành của California yêu cầu bỏ phiếu tích lũy của cổ đông tiếp tục duy trì hiệu lực một chính sách đã tồn tại ở bang này kể từ Hiến pháp năm 1879. 3 Trong Western Air Lines, Inc. v. Sobieski (1961) 191 Cal.App.2d 399 [12 Cal. Rptr. 719], tòa án, khi nhận xét rằng “[có] vẻ quá hiển nhiên đến mức không cần phải diễn giải dài dòng rằng quyền bỏ phiếu tích lũy là một quyền đáng kể” (sđd., tại tr. 414), đã phán quyết rằng ngay cả khi không có mệnh lệnh luật định rõ ràng, Ủy viên Công ty (Corporations Commissioner) vẫn có lý khi từ chối cho phép loại bỏ việc bỏ phiếu tích lũy bởi một công ty “giả nước ngoài” (pseudo foreign), tức là “một công ty có trụ sở kỹ thuật bên ngoài bang này nhưng lại thực hiện phần lớn sinh lực công ty của mình trong bang này.” (Sđd., tại tr. 412.) Tòa lập luận rằng một phán quyết trái ngược “sẽ cho phép một công ty nước ngoài phá hủy các quyền mà Bang California đã coi là đáng được bảo vệ bằng việc ban hành Đạo luật Chứng khoán Công ty (Corporate Securities Act).” (Sđd., tại tr. 413–414.) Mục 2115 kết hợp chính sách được phản ánh trong </w:t>
      </w:r>
      <w:r>
        <w:rPr>
          <w:b w:val="0"/>
          <w:i/>
        </w:rPr>
        <w:t>Sobieski</w:t>
      </w:r>
      <w:r>
        <w:rPr>
          <w:b w:val="0"/>
          <w:i w:val="0"/>
        </w:rPr>
        <w:t xml:space="preserve"> và áp dụng nó một cách tổng quát hơn, cho tất cả các công ty giả nước ngoài đáp ứng các tiêu chí luật định.</w:t>
      </w:r>
    </w:p>
    <w:p>
      <w:pPr>
        <w:spacing w:after="80"/>
      </w:pPr>
      <w:r>
        <w:rPr>
          <w:b w:val="0"/>
          <w:i w:val="0"/>
        </w:rPr>
        <w:t xml:space="preserve">Mặt khác, Utah không có lợi ích nào bị xâm phạm bởi việc bỏ phiếu tích lũy; và, bất kể lợi ích nào mà nó có thể có trong việc duy trì một chính sách </w:t>
      </w:r>
      <w:r>
        <w:rPr>
          <w:b w:val="0"/>
          <w:i/>
        </w:rPr>
        <w:t>laissez faire</w:t>
      </w:r>
      <w:r>
        <w:rPr>
          <w:b w:val="0"/>
          <w:i w:val="0"/>
        </w:rPr>
        <w:t xml:space="preserve"> về vấn đề đó, rõ ràng đều bị lợi ích của California, nơi có đa số cổ đông và hoạt động kinh doanh của công ty tọa lạc, lấn át. Do đó, ngay cả theo phân tích trước đó của </w:t>
      </w:r>
      <w:r>
        <w:rPr>
          <w:b w:val="0"/>
          <w:i/>
        </w:rPr>
        <w:t>Alaska Packers</w:t>
      </w:r>
      <w:r>
        <w:rPr>
          <w:b w:val="0"/>
          <w:i w:val="0"/>
        </w:rPr>
        <w:t>, điều khoản full faith and credit không tạo ra trở ngại nào cho việc áp dụng đạo luật của California.</w:t>
      </w:r>
    </w:p>
    <w:p>
      <w:pPr>
        <w:spacing w:after="80"/>
      </w:pPr>
      <w:r>
        <w:rPr>
          <w:b w:val="0"/>
          <w:i w:val="0"/>
        </w:rPr>
        <w:t>* * *</w:t>
      </w:r>
    </w:p>
    <w:p>
      <w:pPr>
        <w:spacing w:after="80"/>
      </w:pPr>
      <w:r>
        <w:rPr>
          <w:b w:val="0"/>
          <w:i w:val="0"/>
        </w:rPr>
        <w:t>Học thuyết “công việc nội bộ” (internal affairs doctrine), theo đó tòa án truyền thống nhìn vào luật của bang nơi thành lập công ty để giải quyết các vấn đề liên quan đến công việc nội bộ của một công ty (xem Oldham, California Regulates Pseudo-Foreign Corporations—Trampling Upon the Tramp? (1977) 17 Santa Clara L. Rev. 85, 85–90); không có ứng dụng ở đây. Học thuyết đó chưa bao giờ được tuân theo một cách mù quáng ở California (xem Wait v. Kern River Mining etc. Co. (1909) 157 Cal. 16, 21 [106 P. 98]; xem thêm Western Air Lines, Inc. v. Sobieski, supra, 191 Cal.App.2d 399); nó không nhất quán với cách tiếp cận “suy giảm so sánh” (comparative impairment) mà bang này sử dụng để giải quyết các vấn đề xung đột pháp luật (Offshore Rental Co. v. Continental Oil Co. (1978) 22 Cal.3d 157, 164–165 [148 Cal. Rptr. 867, 583 P.2d 721]); và dù sao đi nữa nó cũng không mang tính quyết định đối với vấn đề hiến định. Đây không phải là một câu hỏi chọn luật áp dụng thông thường; Cơ quan lập pháp đã giải quyết vấn đề xung đột bằng cách buộc áp dụng luật của bang này trong những điều kiện nhất định. Câu hỏi đặt ra là liệu sự buộc áp dụng đó có hợp hiến hay không. (</w:t>
      </w:r>
      <w:r>
        <w:rPr>
          <w:b w:val="0"/>
          <w:i/>
        </w:rPr>
        <w:t>Xem</w:t>
      </w:r>
      <w:r>
        <w:rPr>
          <w:b w:val="0"/>
          <w:i w:val="0"/>
        </w:rPr>
        <w:t xml:space="preserve"> Allstate Ins. Co. v. Hague, supra, 449 U.S. at pp. 307–308 [66 L.Ed.2d at p. 527].) Vì những lý do chúng tôi đã thảo luận, chúng tôi kết luận rằng nó hợp hiến, xét theo khía cạnh điều khoản toàn bộ tín nhiệm và tín dụng (full faith and credit clause).</w:t>
      </w:r>
    </w:p>
    <w:p>
      <w:pPr>
        <w:spacing w:after="80"/>
      </w:pPr>
      <w:r>
        <w:rPr>
          <w:b w:val="0"/>
          <w:i w:val="0"/>
        </w:rPr>
        <w:t xml:space="preserve">II. </w:t>
      </w:r>
      <w:r>
        <w:rPr>
          <w:b w:val="0"/>
          <w:i/>
        </w:rPr>
        <w:t>Điều khoản Thương mại</w:t>
      </w:r>
    </w:p>
    <w:p>
      <w:pPr>
        <w:spacing w:after="80"/>
      </w:pPr>
      <w:r>
        <w:rPr>
          <w:b w:val="0"/>
          <w:i w:val="0"/>
        </w:rPr>
        <w:t>Mặc dù khoản 3, mục 8, điều I của Hiến pháp liên bang trao cho Quốc hội quyền “[đ]iều chỉnh thương mại . . . giữa các bang,” Quốc hội đã không chọn điều chỉnh vấn đề đang tranh tụng ở đây, cũng không đặt ra các hướng dẫn cho các bang điều chỉnh. Do đó, lập luận về điều khoản thương mại của bên kháng cáo dựa trên những hàm ý tiêu cực của thẩm quyền tiềm ẩn của Quốc hội.</w:t>
      </w:r>
    </w:p>
    <w:p>
      <w:pPr>
        <w:spacing w:after="80"/>
      </w:pPr>
      <w:r>
        <w:rPr>
          <w:b w:val="0"/>
          <w:i w:val="0"/>
        </w:rPr>
        <w:t>Tòa án Tối cao Hoa Kỳ đã thiết lập tiêu chuẩn để xác định tính hợp lệ của các đạo luật bang trong những tình huống như vậy: “Khi đạo luật điều chỉnh một cách công bằng để thực hiện một lợi ích công cộng địa phương chính đáng, và các tác động của nó đối với thương mại giữa các bang chỉ là ngẫu nhiên, nó sẽ được duy trì trừ khi gánh nặng áp đặt lên thương mại đó rõ ràng là quá mức so với những lợi ích địa phương được cho là có được. Nếu tìm thấy một mục đích địa phương chính đáng, thì câu hỏi trở thành vấn đề mức độ. Và mức độ gánh nặng có thể được chấp nhận tất nhiên sẽ phụ thuộc vào bản chất của lợi ích địa phương liên quan, và vào việc liệu nó có thể được thúc đẩy tốt như vậy với tác động ít hơn lên các hoạt động giữa các bang hay không.” (</w:t>
      </w:r>
      <w:r>
        <w:rPr>
          <w:b w:val="0"/>
          <w:i/>
        </w:rPr>
        <w:t>Pike v. Bruce Church, Inc.</w:t>
      </w:r>
      <w:r>
        <w:rPr>
          <w:b w:val="0"/>
          <w:i w:val="0"/>
        </w:rPr>
        <w:t xml:space="preserve"> (1970) 397 U.S. 137, 142 . . .)</w:t>
      </w:r>
    </w:p>
    <w:p>
      <w:pPr>
        <w:spacing w:after="80"/>
      </w:pPr>
      <w:r>
        <w:rPr>
          <w:b w:val="0"/>
          <w:i w:val="0"/>
        </w:rPr>
        <w:t xml:space="preserve">Trước hết, chúng tôi nhận thấy rằng đạo luật bị thách thức “điều chỉnh một cách công bằng” theo nghĩa của các hướng dẫn trong </w:t>
      </w:r>
      <w:r>
        <w:rPr>
          <w:b w:val="0"/>
          <w:i/>
        </w:rPr>
        <w:t>Pike</w:t>
      </w:r>
      <w:r>
        <w:rPr>
          <w:b w:val="0"/>
          <w:i w:val="0"/>
        </w:rPr>
        <w:t>; nó áp dụng cho các công ty nước ngoài thuộc phạm vi điều chỉnh những quy tắc giống như những quy tắc được áp dụng cho các công ty có trụ sở trong bang. Do đó, đạo luật không áp đặt bất kỳ gánh nặng đặc biệt hay riêng biệt nào lên các lợi ích ngoài bang. (Xem Tribe, American Constitutional Law (1978) pp. 326–327.)</w:t>
      </w:r>
    </w:p>
    <w:p>
      <w:pPr>
        <w:spacing w:after="80"/>
      </w:pPr>
      <w:r>
        <w:rPr>
          <w:b w:val="0"/>
          <w:i w:val="0"/>
        </w:rPr>
        <w:t>Bản chất, sức mạnh và thời hạn của lợi ích của California đối với nguyên tắc bỏ phiếu tích lũy (cumulative voting), và đối với việc áp dụng nguyên tắc đó cho các công ty giả nước ngoài (pseudo-foreign corporations) đã được xem xét trước đó trong ý kiến này. Còn lại cần xem xét là những tác động của việc áp dụng đó lên các hoạt động giữa các bang.</w:t>
      </w:r>
    </w:p>
    <w:p>
      <w:pPr>
        <w:spacing w:after="80"/>
      </w:pPr>
      <w:r>
        <w:rPr>
          <w:b w:val="0"/>
          <w:i w:val="0"/>
        </w:rPr>
        <w:t>Một tác động của mục 2115 có thể là ngăn cản các công ty đặt trụ sở pháp lý của mình ở nơi khác nhằm mục đích tránh luật bảo vệ công ty của California, và do đó làm giảm thực trạng “buôn bán điều lệ” (charter-mongering) giữa các bang . . . nhưng đó, có lẽ, không phải là một tác động xúc phạm đến các chính sách của điều khoản thương mại; và bên kháng cáo không lập luận như vậy. Thay vào đó, bên kháng cáo lập luận rằng việc áp dụng các yêu cầu bỏ phiếu tích lũy đối với các công ty giả nước ngoài theo quy định của mục 2115 sẽ có tác động khiến nó và các công ty nước ngoài khác đang hoạt động tại California giảm tài sản, quỹ lương và doanh số của họ ở bang này xuống dưới mức 50 phần trăm, và sẽ ngăn cản các công ty nước ngoài đang dự tính giao dịch kinh doanh tại bang này tăng hoạt động kinh doanh của họ lên trên mức đó.</w:t>
      </w:r>
    </w:p>
    <w:p>
      <w:pPr>
        <w:spacing w:after="80"/>
      </w:pPr>
      <w:r>
        <w:rPr>
          <w:b w:val="0"/>
          <w:i w:val="0"/>
        </w:rPr>
        <w:t>Không có gợi ý, hay bằng chứng, rằng mục 2115 được thông qua nhằm mục đích ngăn cản các công ty nước ngoài kinh doanh tại bang này; cũng không có bằng chứng trực tiếp nào cho thấy nó đã có hoặc sẽ có tác động như vậy. Ngược lại, bằng chứng hiện có trong hồ sơ về điểm này bao gồm lời khai của chủ tịch bên kháng cáo rằng ông không biết về bất kỳ tác động bất lợi nào lên hoạt động kinh doanh của bên kháng cáo mà việc bỏ phiếu tích lũy có thể gây ra.</w:t>
      </w:r>
    </w:p>
    <w:p>
      <w:pPr>
        <w:spacing w:after="80"/>
      </w:pPr>
      <w:r>
        <w:rPr>
          <w:b w:val="0"/>
          <w:i w:val="0"/>
        </w:rPr>
        <w:t xml:space="preserve">Bên kháng cáo lập luận rằng những hậu quả bất lợi có thể dự đoán được từ “những yêu cầu có khả năng xung đột của các cổ đông về việc [luật của] bang nào điều chỉnh” phương thức bỏ phiếu của cổ đông, và từ “tính chất tạm thời của khả năng áp dụng đạo luật California.” Có lẽ đúng là “[t]rong luật công ty, sự không chắc chắn về việc luật là gì hoặc luật nào áp dụng cho một giao dịch nhất định tạo thành một vấn đề nghiêm trọng hơn nhiều so với các lĩnh vực luật không đòi hỏi việc lập kế hoạch toàn diện và liên tục.” (Halloran &amp; Hammer, </w:t>
      </w:r>
      <w:r>
        <w:rPr>
          <w:b w:val="0"/>
          <w:i/>
        </w:rPr>
        <w:t>Section 2115 of the New California General Corporation Law—The Application of California Corporation Law to Foreign Corporations</w:t>
      </w:r>
      <w:r>
        <w:rPr>
          <w:b w:val="0"/>
          <w:i w:val="0"/>
        </w:rPr>
        <w:t xml:space="preserve"> (1976) 23 UCLA L. Rev. 1282, 1283.) Tuy nhiên, Giáo sư Kaplan khuyên rằng trong khi bóng ma về “sự hỗn loạn và không chắc chắn không thể chịu đựng nổi” phát sinh từ các bộ quy tắc kép hoặc có thể thay đổi tạo thành “lập luận chính chống lại việc áp dụng luật địa phương cho một công ty nước ngoài,” thì “những chi tiết chính xác của sự nhầm lẫn như vậy hiếm khi được nêu ra,” và lập luận này “hiếm khi bị thách thức, mặc dù nó có lẽ không thuyết phục cũng không mạnh mẽ như thoạt nhìn.” (Kaplan, </w:t>
      </w:r>
      <w:r>
        <w:rPr>
          <w:b w:val="0"/>
          <w:i/>
        </w:rPr>
        <w:t>Foreign Corporations and Local Corporate Policy</w:t>
      </w:r>
      <w:r>
        <w:rPr>
          <w:b w:val="0"/>
          <w:i w:val="0"/>
        </w:rPr>
        <w:t xml:space="preserve"> (1968) 21 Vand.L.Rev. 433, 476.) Giáo sư Kaplan nhận xét rằng không có sự nhầm lẫn không thể chịu đựng nổi như vậy xuất hiện từ hoạt động của các đạo luật New York áp đặt một số nghĩa vụ nhất định lên các công ty nước ngoài, và cho rằng “quan điểm của </w:t>
      </w:r>
      <w:r>
        <w:rPr>
          <w:b w:val="0"/>
          <w:i/>
        </w:rPr>
        <w:t>Restatement</w:t>
      </w:r>
      <w:r>
        <w:rPr>
          <w:b w:val="0"/>
          <w:i w:val="0"/>
        </w:rPr>
        <w:t xml:space="preserve"> và các nhà bình luận khác rằng việc tránh nhầm lẫn và khó khăn khiến việc nhìn vào luật của bang nơi thành lập là bắt buộc dường như bị phủ nhận bởi kinh nghiệm của New York.” Ông cũng lưu ý rằng trong khi sự chồng chéo rộng rãi trong quy định của bang và liên bang đối với nhiều vấn đề công ty, đặc biệt trong lĩnh vực công việc nội bộ của công ty, “đã tạo ra một tình huống xung đột về mặt lý thuyết, các kết quả thực tế đã được chấp nhận và khả thi, và sự trùng lặp các biện pháp kiểm soát đã dẫn đến không phải xung đột nhiều bằng các tiêu chuẩn tích lũy.” (</w:t>
      </w:r>
      <w:r>
        <w:rPr>
          <w:b w:val="0"/>
          <w:i/>
        </w:rPr>
        <w:t>Id.,</w:t>
      </w:r>
      <w:r>
        <w:rPr>
          <w:b w:val="0"/>
          <w:i w:val="0"/>
        </w:rPr>
        <w:t xml:space="preserve"> at pp. 476–477, fn. omitted.)</w:t>
      </w:r>
    </w:p>
    <w:p>
      <w:pPr>
        <w:spacing w:after="80"/>
      </w:pPr>
      <w:r>
        <w:rPr>
          <w:b w:val="0"/>
          <w:i w:val="0"/>
        </w:rPr>
        <w:t>Khả năng xung đột và sự không chắc chắn phát sinh từ đạo luật của California được giảm thiểu đáng kể bởi bản chất của các tiêu chí được quy định trong mục 2115. Một công ty chỉ có thể thực hiện phần lớn hoạt động kinh doanh của mình ở một bang tại một thời điểm; và nó chỉ có thể có phần lớn cổ đông cư trú ở một bang tại một thời điểm. Nếu một công ty đáp ứng những yêu cầu đó ở bang này, thì không bang nào khác có vị thế để điều chỉnh phương thức bỏ phiếu của cổ đông dựa trên các tiêu chí giống hoặc tương tự. Cũng có thể nói rằng không bang nào khác có thể tuyên bố có lợi ích lớn như vậy trong việc làm điều đó. Dù sao đi nữa, có vẻ như không có bang nào khác đã cố gắng làm như vậy. Nếu đạo luật của California được sao chép ở tất cả các bang, sẽ không có xung đột nào phát sinh. Chúng tôi kết luận rằng khả năng xung đột, trên hồ sơ này, là suy đoán và không có cơ sở thực chất.</w:t>
      </w:r>
    </w:p>
    <w:p>
      <w:pPr>
        <w:spacing w:after="80"/>
      </w:pPr>
      <w:r>
        <w:rPr>
          <w:b w:val="0"/>
          <w:i w:val="0"/>
        </w:rPr>
        <w:t xml:space="preserve">Điều mà bên kháng cáo gọi là “tính chất tạm thời” của khả năng áp dụng đạo luật, tức là việc nó được áp dụng từ năm này sang năm khác dựa trên hoạt động của năm trước, có thể hình dung là một vấn đề đối với một công ty có hoạt động kinh doanh trong bang dao động rộng rãi, nhưng kịch bản “xấu nhất”—rằng một công ty như vậy có thể thấy cần phải áp dụng bỏ phiếu tích lũy như một phương tiện để đảm bảo tuân thủ một cách liên tục—có vẻ không quá nặng nề đến mức dẫn đến sự hạn chế đáng kể đối với thương mại giữa các bang. Ví dụ, chúng tôi không được cho biết về bất kỳ sự suy giảm hoạt động nào ở bang này của các công ty nước ngoài do kết quả của </w:t>
      </w:r>
      <w:r>
        <w:rPr>
          <w:b w:val="0"/>
          <w:i/>
        </w:rPr>
        <w:t>Western Air Lines, Inc. v. Sobieski, supra,</w:t>
      </w:r>
      <w:r>
        <w:rPr>
          <w:b w:val="0"/>
          <w:i w:val="0"/>
        </w:rPr>
        <w:t xml:space="preserve"> 191 Cal.App.2d 399, 12 Cal.Rptr. 719.</w:t>
      </w:r>
    </w:p>
    <w:p>
      <w:pPr>
        <w:spacing w:after="80"/>
      </w:pPr>
      <w:r>
        <w:rPr>
          <w:b w:val="0"/>
          <w:i w:val="0"/>
        </w:rPr>
        <w:t xml:space="preserve">Các nhà bình luận nhìn chung đã hoan nghênh Cơ quan lập pháp California vì đã “đưa ra một cách xác định có vẻ đơn giản và kỹ lưỡng về lợi ích của bang đối với các công ty nước ngoài,” qua đó giải quyết những không chắc chắn phát sinh từ </w:t>
      </w:r>
      <w:r>
        <w:rPr>
          <w:b w:val="0"/>
          <w:i/>
        </w:rPr>
        <w:t>Western Air Lines, Inc. v. Sobieski, supra</w:t>
      </w:r>
      <w:r>
        <w:rPr>
          <w:b w:val="0"/>
          <w:i w:val="0"/>
        </w:rPr>
        <w:t xml:space="preserve"> . . . và thiết lập một “phương tiện hợp lý để phân bổ việc điều chỉnh một công ty cho bang mà nó chủ yếu liên quan” . . . thông qua một “ngoại lệ hẹp đối với học thuyết công việc nội bộ trong những tình huống mà lợi ích của California rõ ràng là tối quan trọng.” . . . Chúng tôi kết luận rằng trong phạm vi yêu cầu bỏ phiếu tích lũy do mục 2115 áp đặt lên các công ty giả nước ngoài được chứng minh là có bất kỳ tác động nào lên thương mại giữa các bang, thì tác động đó là ngẫu nhiên, và tối thiểu so với mục đích mà yêu cầu đó được thiết kế để đạt được.</w:t>
      </w:r>
    </w:p>
    <w:p>
      <w:pPr>
        <w:pStyle w:val="Heading5"/>
      </w:pPr>
      <w:r>
        <w:rPr>
          <w:rFonts w:ascii="Calibri" w:hAnsi="Calibri"/>
          <w:b/>
          <w:i/>
          <w:sz w:val="22"/>
        </w:rPr>
        <w:t>Bình luận và Câu hỏi</w:t>
      </w:r>
    </w:p>
    <w:p>
      <w:pPr>
        <w:spacing w:after="80"/>
      </w:pPr>
      <w:r>
        <w:rPr>
          <w:b w:val="0"/>
          <w:i w:val="0"/>
        </w:rPr>
        <w:t>1. Trong phạm vi những yêu cầu này là hợp lệ, liệu có bất kỳ giới hạn thực sự nào đối với việc các bang điều chỉnh những vấn đề mà nếu không thì sẽ thuộc học thuyết công việc nội bộ hay không? Ví dụ, liệu California có thể mở rộng danh sách các yêu cầu thực chất hoặc điều chỉnh các công ty có mối liên hệ ít quan trọng hơn với bang hay không?</w:t>
      </w:r>
    </w:p>
    <w:p>
      <w:pPr>
        <w:spacing w:after="80"/>
      </w:pPr>
      <w:r>
        <w:rPr>
          <w:b w:val="0"/>
          <w:i w:val="0"/>
        </w:rPr>
        <w:t xml:space="preserve">2. Việc mô tả học thuyết công việc nội bộ có chính xác hay không? Trong </w:t>
      </w:r>
      <w:r>
        <w:rPr>
          <w:b w:val="0"/>
          <w:i/>
        </w:rPr>
        <w:t>State Farm Mutual Automobile Insurance Co. v. Superior Court</w:t>
      </w:r>
      <w:r>
        <w:rPr>
          <w:b w:val="0"/>
          <w:i w:val="0"/>
        </w:rPr>
        <w:t xml:space="preserve"> , 8 Cal. Rptr. 3d 56, 68 n. 3 (Cal. App. 2003), tòa án đã đối mặt với những cáo buộc rằng luật của California nên được áp dụng cho việc chi trả cổ tức của một công ty được thành lập tại Illinois. Khi kết luận rằng luật của bang nơi thành lập được áp dụng, tòa án nhận xét: “Khi duy trì đạo luật, tòa án [trong Wilson], trong một câu dictum duy nhất, đã chỉ trích học thuyết công việc nội bộ. Nhưng trong 20 năm kể từ khi Wilson được quyết định, học thuyết công việc nội bộ đã được các tòa án chấp nhận rộng rãi . . .” Điều này có gợi ý về sự thay đổi trong quan điểm của tòa án hay không?</w:t>
      </w:r>
    </w:p>
    <w:p>
      <w:pPr>
        <w:spacing w:after="80"/>
      </w:pPr>
      <w:r>
        <w:rPr>
          <w:b w:val="0"/>
          <w:i w:val="0"/>
        </w:rPr>
        <w:t xml:space="preserve">3. Một cách khác để lách qua học thuyết công việc nội bộ (internal affairs doctrine) là chỉ đơn giản cho rằng vấn đề đó không liên quan đến công việc nội bộ của công ty. Trong </w:t>
      </w:r>
      <w:r>
        <w:rPr>
          <w:b w:val="0"/>
          <w:i/>
        </w:rPr>
        <w:t>Friese v. The Superior Courts of San Diego County</w:t>
      </w:r>
      <w:r>
        <w:rPr>
          <w:b w:val="0"/>
          <w:i w:val="0"/>
        </w:rPr>
        <w:t xml:space="preserve"> , 36 Cal. Rptr. 3d 558 (Cal. App. 4th 2005), tòa án xử lý một quy định của California cho phép các vụ kiện phái sinh (derivative suits) đòi bồi thường từ một viên chức hoặc giám đốc tham gia giao dịch nội gián (insider trading) lên tới ba lần số tiền thu lợi. Các bị đơn lập luận rằng điều này vi phạm học thuyết công việc nội bộ vì công ty được thành lập tại Delaware (nhưng có trụ sở chính tại California). Tuy nhiên, tòa án xác định rằng quy định này không liên quan đến học thuyết công việc nội bộ. Tòa lưu ý rằng "nhìn chung các công ty không bị thiệt hại khi chính họ hoặc các giám đốc của họ tham gia giao dịch nội gián." Thứ hai, việc bồi thường cho giao dịch nội gián "không mang lại cho tổ chức phát hành khoản đền bù cho bất kỳ cơ hội bị mất nào mà chính tổ chức phát hành lẽ ra có thể thực hiện một cách hợp pháp." Cuối cùng, lợi ích công cộng thay vì "bất kỳ lợi ích hẹp hòi nào của cổ đông" ủng hộ quy định này nhằm ngăn chặn giao dịch nội gián. Bạn nghĩ gì về cách tiếp cận này? Nó có đúng không?</w:t>
      </w:r>
    </w:p>
    <w:p>
      <w:pPr>
        <w:spacing w:after="80"/>
      </w:pPr>
      <w:r>
        <w:rPr>
          <w:b w:val="0"/>
          <w:i w:val="0"/>
        </w:rPr>
        <w:t>4. Bạn nghĩ gì về lập luận rằng Mục 2115 không vi phạm điều khoản thương mại (commerce clause)? Việc California giới hạn phạm vi áp dụng của mục này đối với các công ty có hoạt động và quyền sở hữu đáng kể trong tiểu bang quan trọng đến mức nào? Sẽ thế nào nếu quy định đó không làm như vậy mà áp dụng cho bất kỳ công ty nào hoạt động trong tiểu bang?</w:t>
      </w:r>
    </w:p>
    <w:p>
      <w:pPr>
        <w:spacing w:after="80"/>
      </w:pPr>
      <w:r>
        <w:rPr>
          <w:b w:val="0"/>
          <w:i w:val="0"/>
        </w:rPr>
        <w:t>—————</w:t>
      </w:r>
    </w:p>
    <w:p>
      <w:pPr>
        <w:spacing w:after="80"/>
      </w:pPr>
      <w:r>
        <w:rPr>
          <w:b w:val="0"/>
          <w:i w:val="0"/>
        </w:rPr>
        <w:t>Không chỉ các tòa án California mới có tiếng nói về vấn đề này. Các tòa án ở Delaware cũng đã tham gia vào cuộc tranh luận. Có lẽ không đáng ngạc nhiên, họ có quan điểm rất khác về vấn đề này.</w:t>
      </w:r>
    </w:p>
    <w:p>
      <w:pPr>
        <w:pStyle w:val="Heading4"/>
      </w:pPr>
      <w:r>
        <w:rPr>
          <w:rFonts w:ascii="Calibri" w:hAnsi="Calibri"/>
          <w:b/>
          <w:i w:val="0"/>
          <w:sz w:val="23"/>
        </w:rPr>
        <w:t>VantagePoint Venture Partners v. Examen, Inc.</w:t>
      </w:r>
    </w:p>
    <w:p>
      <w:pPr>
        <w:spacing w:after="80"/>
      </w:pPr>
      <w:r>
        <w:rPr>
          <w:b w:val="0"/>
          <w:i w:val="0"/>
        </w:rPr>
        <w:t>Tòa án Tối cao Delaware</w:t>
      </w:r>
      <w:r>
        <w:br/>
      </w:r>
      <w:r>
        <w:rPr>
          <w:b w:val="0"/>
          <w:i w:val="0"/>
        </w:rPr>
        <w:t xml:space="preserve"> 871 A.2d 1108 (2005)</w:t>
      </w:r>
    </w:p>
    <w:p>
      <w:pPr>
        <w:spacing w:after="80"/>
      </w:pPr>
      <w:r>
        <w:rPr>
          <w:b w:val="0"/>
          <w:i w:val="0"/>
        </w:rPr>
        <w:t>THẨM PHÁN HOLLAND :</w:t>
      </w:r>
    </w:p>
    <w:p>
      <w:pPr>
        <w:spacing w:after="80"/>
      </w:pPr>
      <w:r>
        <w:rPr>
          <w:b w:val="0"/>
          <w:i w:val="0"/>
        </w:rPr>
        <w:t>Examen là một công ty Delaware hoạt động trong lĩnh vực cung cấp các giải pháp quản lý chi phí pháp lý dựa trên web cho danh sách khách hàng Fortune 1000 ngày càng tăng trên khắp Hoa Kỳ. Sau khi hoàn tất việc sáp nhập vào ngày 5 tháng 4 năm 2005, LexisNexis Examen, cũng là một công ty Delaware, trở thành thực thể còn tồn tại. VantagePoint là một Công ty Hợp danh Hữu hạn Delaware (Delaware Limited Partnership) được tổ chức và hoạt động theo luật Delaware. VantagePoint, một công ty đầu tư mạo hiểm lớn đã mua Cổ phiếu Ưu đãi Loại A (Series A Preferred Stock) của Examen trong một giao dịch được đàm phán, sở hữu 83 phần trăm Cổ phiếu Ưu đãi Loại A đang lưu hành của Examen (909,091 cổ phiếu) và không sở hữu cổ phiếu Phổ thông (Common Stock) nào.</w:t>
      </w:r>
    </w:p>
    <w:p>
      <w:pPr>
        <w:spacing w:after="80"/>
      </w:pPr>
      <w:r>
        <w:rPr>
          <w:b w:val="0"/>
          <w:i w:val="0"/>
        </w:rPr>
        <w:t xml:space="preserve">Vào ngày 17 tháng 2 năm 2005, Examen và Reed Elsevier đã ký kết Thỏa thuận Sáp nhập, thỏa thuận này sẽ hết hạn vào ngày 15 tháng 4 năm 2005 nếu việc sáp nhập chưa hoàn tất trước ngày đó. Theo Luật Công ty Đại chúng Delaware (Delaware General Corporation Law) và Giấy chứng nhận Thành lập của Examen, bao gồm cả Giấy chứng nhận Chỉ định cho Cổ phiếu Ưu đãi Loại A, việc thông qua Thỏa thuận Sáp nhập đòi hỏi sự biểu quyết tán thành của những người nắm giữ đa số cổ phiếu đã phát hành và đang lưu hành của Cổ phiếu Phổ thông và Cổ phiếu Ưu đãi Loại A, </w:t>
      </w:r>
      <w:r>
        <w:rPr>
          <w:b w:val="0"/>
          <w:i/>
        </w:rPr>
        <w:t>biểu quyết cùng nhau như một loại duy nhất.</w:t>
      </w:r>
      <w:r>
        <w:rPr>
          <w:b w:val="0"/>
          <w:i w:val="0"/>
        </w:rPr>
        <w:t xml:space="preserve"> Những người nắm giữ Cổ phiếu Ưu đãi Loại A có số phiếu bầu bằng số cổ phiếu Phổ thông mà họ sẽ nắm giữ nếu Cổ phiếu Ưu đãi của họ được chuyển đổi. Do đó, VantagePoint, công ty sở hữu 909,091 cổ phiếu Cổ phiếu Ưu đãi Loại A và không sở hữu cổ phiếu Phổ thông nào, được quyền biểu quyết dựa trên số cổ phiếu đã chuyển đổi là 1,392,727 cổ phiếu.</w:t>
      </w:r>
    </w:p>
    <w:p>
      <w:pPr>
        <w:spacing w:after="80"/>
      </w:pPr>
      <w:r>
        <w:rPr>
          <w:b w:val="0"/>
          <w:i w:val="0"/>
        </w:rPr>
        <w:t>Có tổng cộng 9,717,415 cổ phiếu đang lưu hành của vốn cổ phần Công ty (8,626,826 cổ phiếu Phổ thông và 1,090,589 cổ phiếu Ưu đãi Loại A), đại diện cho 10,297,608 phiếu bầu trên cơ sở đã chuyển đổi. Cần có sự biểu quyết tán thành của ít nhất 5,148,805 cổ phiếu, chiếm đa số quyền biểu quyết đang lưu hành trên cơ sở đã chuyển đổi, để phê duyệt việc sáp nhập. Nếu các cổ đông biểu quyết theo loại, VantagePoint sẽ kiểm soát 83.4 phần trăm Cổ phiếu Ưu đãi Loại A, điều này sẽ cho phép VantagePoint ngăn chặn việc sáp nhập. VantagePoint thừa nhận rằng, nếu luật Delaware được áp dụng, họ sẽ không có quyền biểu quyết theo loại.</w:t>
      </w:r>
    </w:p>
    <w:p>
      <w:pPr>
        <w:spacing w:after="80"/>
      </w:pPr>
      <w:r>
        <w:rPr>
          <w:b w:val="0"/>
          <w:i/>
        </w:rPr>
        <w:t>Phán quyết của Tòa án Chancery</w:t>
      </w:r>
    </w:p>
    <w:p>
      <w:pPr>
        <w:spacing w:after="80"/>
      </w:pPr>
      <w:r>
        <w:rPr>
          <w:b w:val="0"/>
          <w:i w:val="0"/>
        </w:rPr>
        <w:t>Tòa án Chancery xác định rằng câu hỏi liệu VantagePoint, với tư cách là người nắm giữ Cổ phiếu Ưu đãi Loại A của Examen, có được quyền biểu quyết riêng theo loại về việc sáp nhập với một công ty con Delaware của Reed Elsevier hay không, được điều chỉnh bởi học thuyết công việc nội bộ vì vấn đề này liên quan đến "mối quan hệ giữa một công ty và các cổ đông của nó." Tòa án Chancery bác bỏ lập luận của VantagePoint rằng Mục 2115 của Bộ luật Công ty California không xung đột với luật Delaware và chỉ hoạt động bổ sung cho các quyền được cấp theo luật công ty Delaware. Khi làm như vậy, Tòa án Chancery lưu ý rằng Mục 2115 "tuyên bố rõ ràng rằng nó hoạt động 'để loại trừ luật của thẩm quyền nơi [công ty] được thành lập.'"</w:t>
      </w:r>
    </w:p>
    <w:p>
      <w:pPr>
        <w:spacing w:after="80"/>
      </w:pPr>
      <w:r>
        <w:rPr>
          <w:b w:val="0"/>
          <w:i w:val="0"/>
        </w:rPr>
        <w:t>Cụ thể, Tòa án Chancery xác định rằng yêu cầu của Mục 2115 rằng các cổ đông biểu quyết như một loại riêng biệt xung đột với luật Delaware, mà cùng với Giấy chứng nhận Thành lập của Examen, buộc việc sáp nhập phải được ủy quyền bởi đa số tất cả các cổ đông Examen biểu quyết cùng nhau như một loại duy nhất. Tòa án Chancery kết luận rằng nó không thể thực thi đồng thời cả luật Delaware và California. Do đó, Tòa án Chancery quyết định rằng vấn đề được đưa ra chỉ là vấn đề lựa chọn luật (choice-of-law), và nó không cần phải xác định tính hợp hiến của Mục 2115.</w:t>
      </w:r>
    </w:p>
    <w:p>
      <w:pPr>
        <w:spacing w:after="80"/>
      </w:pPr>
      <w:r>
        <w:rPr>
          <w:b w:val="0"/>
          <w:i/>
        </w:rPr>
        <w:t>Học thuyết Công việc Nội bộ</w:t>
      </w:r>
    </w:p>
    <w:p>
      <w:pPr>
        <w:spacing w:after="80"/>
      </w:pPr>
      <w:r>
        <w:rPr>
          <w:b w:val="0"/>
          <w:i w:val="0"/>
        </w:rPr>
        <w:t xml:space="preserve">Trong </w:t>
      </w:r>
      <w:r>
        <w:rPr>
          <w:b w:val="0"/>
          <w:i/>
        </w:rPr>
        <w:t>CTS Corp. v. Dynamics Corp. of Am.</w:t>
      </w:r>
      <w:r>
        <w:rPr>
          <w:b w:val="0"/>
          <w:i w:val="0"/>
        </w:rPr>
        <w:t xml:space="preserve"> , Tòa án Tối cao Hoa Kỳ tuyên bố rằng việc "các Tiểu bang tạo ra các công ty, quy định quyền hạn của chúng, và xác định các quyền có được khi mua cổ phiếu của chúng là một phần được chấp nhận của bối cảnh kinh doanh ở đất nước này." Trong </w:t>
      </w:r>
      <w:r>
        <w:rPr>
          <w:b w:val="0"/>
          <w:i/>
        </w:rPr>
        <w:t>CTS</w:t>
      </w:r>
      <w:r>
        <w:rPr>
          <w:b w:val="0"/>
          <w:i w:val="0"/>
        </w:rPr>
        <w:t xml:space="preserve"> , người ta cũng công nhận rằng "[m]ột Tiểu bang có lợi ích trong việc thúc đẩy các mối quan hệ ổn định giữa các bên liên quan trong các công ty mà nó thành lập, cũng như trong việc đảm bảo rằng các nhà đầu tư vào những công ty như vậy có tiếng nói hiệu quả trong các vấn đề công ty." Học thuyết công việc nội bộ là một nguyên tắc lựa chọn luật lâu đời, công nhận rằng chỉ một tiểu bang nên có thẩm quyền điều chỉnh các công việc nội bộ của một công ty—tiểu bang nơi thành lập.</w:t>
      </w:r>
    </w:p>
    <w:p>
      <w:pPr>
        <w:spacing w:after="80"/>
      </w:pPr>
      <w:r>
        <w:rPr>
          <w:b w:val="0"/>
          <w:i w:val="0"/>
        </w:rPr>
        <w:t>Học thuyết công việc nội bộ phát triển trên tiền đề rằng, để ngăn chặn các công ty bị đặt dưới những tiêu chuẩn pháp lý không nhất quán, thẩm quyền điều chỉnh các công việc nội bộ của một công ty không nên thuộc về nhiều thẩm quyền. Ngày nay, người ta đã thừa nhận rõ ràng rằng chỉ luật của tiểu bang nơi thành lập mới điều chỉnh và quyết định các vấn đề liên quan đến công việc nội bộ của một công ty. Bằng cách mang lại sự chắc chắn và khả năng dự đoán, học thuyết công việc nội bộ bảo vệ những kỳ vọng chính đáng của các bên có lợi ích trong công ty.</w:t>
      </w:r>
    </w:p>
    <w:p>
      <w:pPr>
        <w:spacing w:after="80"/>
      </w:pPr>
      <w:r>
        <w:rPr>
          <w:b w:val="0"/>
          <w:i w:val="0"/>
        </w:rPr>
        <w:t>Học thuyết công việc nội bộ (internal affairs doctrine) áp dụng cho những vấn đề liên quan đến các mối quan hệ giữa công ty với các cán bộ, giám đốc và cổ đông của mình. Restatement (Second) of Conflict of Laws § 301 quy định: “việc áp dụng luật địa phương của bang nơi thành lập công ty thường sẽ được ủng hộ bởi những yếu tố chọn luật áp dụng (choice-of-law factors) thiên về nhu cầu của hệ thống liên bang và quốc tế, tính chắc chắn, khả năng dự đoán và tính thống nhất của kết quả, việc bảo vệ những kỳ vọng chính đáng của các bên và sự dễ dàng trong việc áp dụng luật sẽ được áp dụng.” Theo đó, thực tiễn xử lý xung đột pháp luật của cả tòa án bang lẫn tòa án liên bang đều nhất quán áp dụng luật của bang nơi thành lập công ty cho “toàn bộ các vấn đề nội bộ của công ty.”</w:t>
      </w:r>
    </w:p>
    <w:p>
      <w:pPr>
        <w:spacing w:after="80"/>
      </w:pPr>
      <w:r>
        <w:rPr>
          <w:b w:val="0"/>
          <w:i w:val="0"/>
        </w:rPr>
        <w:t>Tuy nhiên, học thuyết công việc nội bộ không chỉ là một nguyên tắc xung đột pháp luật. Theo Điều khoản Thủ tục Chính đáng (Due Process Clause) của Tu chính án thứ Mười bốn, các giám đốc và cán bộ của công ty “có quyền quan trọng . . . được biết luật nào sẽ được áp dụng cho các hành động của mình” và “các cổ đông . . . có quyền được biết mình có thể buộc những người điều hành công việc và hoạt động của công ty phải chịu trách nhiệm theo những tiêu chuẩn nào.” Theo Điều khoản Thương mại (Commerce Clause), một bang “không có lợi ích gì trong việc điều chỉnh công việc nội bộ của các công ty nước ngoài.” Do đó, Tòa án này đã phán quyết rằng “việc áp dụng học thuyết công việc nội bộ là điều được các nguyên tắc hiến pháp bắt buộc, ngoại trừ trong những ‘tình huống cực kỳ hiếm hoi,’” ví dụ, khi “luật của bang nơi thành lập công ty không nhất quán với chính sách quốc gia về thương mại nước ngoài hoặc liên bang.”</w:t>
      </w:r>
    </w:p>
    <w:p>
      <w:pPr>
        <w:spacing w:after="80"/>
      </w:pPr>
      <w:r>
        <w:rPr>
          <w:b w:val="0"/>
          <w:i/>
        </w:rPr>
        <w:t>Mục 2115 của California</w:t>
      </w:r>
    </w:p>
    <w:p>
      <w:pPr>
        <w:spacing w:after="80"/>
      </w:pPr>
      <w:r>
        <w:rPr>
          <w:b w:val="0"/>
          <w:i w:val="0"/>
        </w:rPr>
        <w:t>VantagePoint lập luận rằng mục 2115 của Bộ luật Doanh nghiệp California (California Corporations Code) là một ngoại lệ giới hạn đối với học thuyết công việc nội bộ. Mục 2115 được mô tả là một đạo luật vươn ra ngoài (outreach statute) vì nó yêu cầu một số công ty nước ngoài nhất định phải tuân theo một loạt rộng các quy định về công việc nội bộ. Mục 2115 định nghĩa các công ty nước ngoài mà đạo luật California có hiệu lực vươn ra ngoài là những công ty nước ngoài mà một nửa số chứng khoán có quyền biểu quyết của họ được nắm giữ trên sổ sách bởi những người có địa chỉ tại California, đồng thời tiến hành một nửa hoạt động kinh doanh của mình tại California theo một công thức đo lường dựa trên các yếu tố tài sản, doanh thu và tiền lương.</w:t>
      </w:r>
    </w:p>
    <w:p>
      <w:pPr>
        <w:spacing w:after="80"/>
      </w:pPr>
      <w:r>
        <w:rPr>
          <w:b w:val="0"/>
          <w:i w:val="0"/>
        </w:rPr>
        <w:t>VantagePoint lập luận rằng mục 2115 “buộc phải áp dụng một số quy định được liệt kê cụ thể của luật doanh nghiệp California đối với công việc nội bộ của các công ty ‘nước ngoài’ nếu đáp ứng một số điều kiện tiên quyết thực tế hẹp [được nêu trong mục 2115].” Theo đạo luật California, nếu hơn một nửa số chứng khoán có quyền biểu quyết đang lưu hành của một công ty nước ngoài được nắm giữ trên sổ sách bởi những người có địa chỉ tại California (như được công bố trên sổ sách của công ty) vào ngày chốt danh sách, và các bài kiểm tra về yếu tố tài sản, tiền lương và doanh thu đều được thỏa mãn, thì vào ngày đầu tiên của năm thu nhập, tức một trăm ba mươi lăm ngày sau khi các bài kiểm tra trên được thỏa mãn, điều lệ thành lập của công ty nước ngoài được coi là đã được sửa đổi để loại trừ luật của bang nơi thành lập công ty. Nếu các điều kiện tiên quyết thực tế để kích hoạt mục 2115 được thiết lập, nhiều khía cạnh trong công việc nội bộ của một công ty được cho là sẽ chịu sự điều chỉnh của luật doanh nghiệp California, loại trừ luật của bang nơi thành lập công ty.</w:t>
      </w:r>
    </w:p>
    <w:p>
      <w:pPr>
        <w:spacing w:after="80"/>
      </w:pPr>
      <w:r>
        <w:rPr>
          <w:b w:val="0"/>
          <w:i w:val="0"/>
        </w:rPr>
        <w:t>* * *</w:t>
      </w:r>
    </w:p>
    <w:p>
      <w:pPr>
        <w:spacing w:after="80"/>
      </w:pPr>
      <w:r>
        <w:rPr>
          <w:b w:val="0"/>
          <w:i/>
        </w:rPr>
        <w:t>Công việc nội bộ đòi hỏi tính thống nhất</w:t>
      </w:r>
    </w:p>
    <w:p>
      <w:pPr>
        <w:spacing w:after="80"/>
      </w:pPr>
      <w:r>
        <w:rPr>
          <w:b w:val="0"/>
          <w:i w:val="0"/>
        </w:rPr>
        <w:t xml:space="preserve">Trong </w:t>
      </w:r>
      <w:r>
        <w:rPr>
          <w:b w:val="0"/>
          <w:i/>
        </w:rPr>
        <w:t>McDermott</w:t>
      </w:r>
      <w:r>
        <w:rPr>
          <w:b w:val="0"/>
          <w:i w:val="0"/>
        </w:rPr>
        <w:t xml:space="preserve"> , Tòa án này lưu ý rằng việc áp dụng luật công việc nội bộ địa phương (ở đây là mục 2115 của California) đối với một công ty nước ngoài (ở đây là Delaware) “dễ tạo ra sự bất bình đẳng, sự nhầm lẫn không thể chấp nhận được, và sự không chắc chắn, đồng thời xâm phạm vào lĩnh vực của các bang khác vốn có quyền điều chỉnh cùng chủ đề đó cao hơn. . . .” Bài đánh giá của Giáo sư DeMott về những khác biệt và xung đột giữa các đạo luật doanh nghiệp của Delaware và California liên quan đến công việc nội bộ cho thấy tại sao việc chỉ có luật của bang nơi thành lập công ty điều chỉnh các mối quan hệ giữa một công ty với các cán bộ, giám đốc và cổ đông của mình là điều bắt buộc. Việc yêu cầu phải xác định thực tế để quyết định xem luật nào trong hai luật bang xung đột nhau sẽ điều chỉnh công việc nội bộ của một công ty tại bất kỳ thời điểm nào hoàn toàn đi ngược lại tầm quan trọng của sự ổn định trong các mối quan hệ nội bộ công ty mà Tòa án Tối cao Hoa Kỳ đã công nhận trong </w:t>
      </w:r>
      <w:r>
        <w:rPr>
          <w:b w:val="0"/>
          <w:i/>
        </w:rPr>
        <w:t>CTS.</w:t>
      </w:r>
    </w:p>
    <w:p>
      <w:pPr>
        <w:spacing w:after="80"/>
      </w:pPr>
      <w:r>
        <w:rPr>
          <w:b w:val="0"/>
          <w:i w:val="0"/>
        </w:rPr>
        <w:t>* * *</w:t>
      </w:r>
    </w:p>
    <w:p>
      <w:pPr>
        <w:spacing w:after="80"/>
      </w:pPr>
      <w:r>
        <w:rPr>
          <w:b w:val="0"/>
          <w:i/>
        </w:rPr>
        <w:t>Luật của bang nơi thành lập điều chỉnh công việc nội bộ</w:t>
      </w:r>
    </w:p>
    <w:p>
      <w:pPr>
        <w:spacing w:after="80"/>
      </w:pPr>
      <w:r>
        <w:rPr>
          <w:b w:val="0"/>
          <w:i w:val="0"/>
        </w:rPr>
        <w:t xml:space="preserve">Trong </w:t>
      </w:r>
      <w:r>
        <w:rPr>
          <w:b w:val="0"/>
          <w:i/>
        </w:rPr>
        <w:t>McDermott</w:t>
      </w:r>
      <w:r>
        <w:rPr>
          <w:b w:val="0"/>
          <w:i w:val="0"/>
        </w:rPr>
        <w:t xml:space="preserve"> , Tòa án này phán quyết rằng “học thuyết công việc nội bộ là một nguyên lý chính yếu của luật doanh nghiệp Delaware có những nền tảng hiến pháp liên bang quan trọng.” Áp dụng quy tắc chọn luật đã được thiết lập vững chắc của Delaware—học thuyết công việc nội bộ—Tòa án Chancery công nhận rằng các tòa án Delaware phải áp dụng luật của bang nơi thành lập công ty cho các vấn đề liên quan đến công việc nội bộ của công ty, và rằng các tranh chấp liên quan đến quyền biểu quyết của cổ đông nằm hoàn toàn trong phạm vi của học thuyết công việc nội bộ.</w:t>
      </w:r>
    </w:p>
    <w:p>
      <w:pPr>
        <w:spacing w:after="80"/>
      </w:pPr>
      <w:r>
        <w:rPr>
          <w:b w:val="0"/>
          <w:i w:val="0"/>
        </w:rPr>
        <w:t xml:space="preserve">Examen là một công ty Delaware. Vấn đề pháp lý trong vụ án này—liệu một cổ đông ưu đãi của một công ty Delaware có quyền, theo Giấy chứng nhận chỉ định (Certificate of Designations) của công ty, được biểu quyết với tư cách nhóm cổ phần ưu đãi loại A (Series A Preferred Stock) về một vụ sáp nhập hay không—rõ ràng liên quan đến mối quan hệ giữa một công ty và các cổ đông của mình. Như Tòa án Tối cao Hoa Kỳ đã phán quyết trong </w:t>
      </w:r>
      <w:r>
        <w:rPr>
          <w:b w:val="0"/>
          <w:i/>
        </w:rPr>
        <w:t>CTS</w:t>
      </w:r>
      <w:r>
        <w:rPr>
          <w:b w:val="0"/>
          <w:i w:val="0"/>
        </w:rPr>
        <w:t xml:space="preserve"> , “không có nguyên tắc nào của luật và thực tiễn doanh nghiệp được thiết lập vững chắc hơn </w:t>
      </w:r>
      <w:r>
        <w:rPr>
          <w:b w:val="0"/>
          <w:i/>
        </w:rPr>
        <w:t>quyền của một bang</w:t>
      </w:r>
      <w:r>
        <w:rPr>
          <w:b w:val="0"/>
          <w:i w:val="0"/>
        </w:rPr>
        <w:t xml:space="preserve"> trong việc điều chỉnh các công ty nội địa, bao gồm quyền </w:t>
      </w:r>
      <w:r>
        <w:rPr>
          <w:b w:val="0"/>
          <w:i/>
        </w:rPr>
        <w:t>định nghĩa quyền biểu quyết của cổ đông.</w:t>
      </w:r>
      <w:r>
        <w:rPr>
          <w:b w:val="0"/>
          <w:i w:val="0"/>
        </w:rPr>
        <w:t xml:space="preserve"> ”</w:t>
      </w:r>
    </w:p>
    <w:p>
      <w:pPr>
        <w:spacing w:after="80"/>
      </w:pPr>
      <w:r>
        <w:rPr>
          <w:b w:val="0"/>
          <w:i w:val="0"/>
        </w:rPr>
        <w:t xml:space="preserve">Trong </w:t>
      </w:r>
      <w:r>
        <w:rPr>
          <w:b w:val="0"/>
          <w:i/>
        </w:rPr>
        <w:t>CTS</w:t>
      </w:r>
      <w:r>
        <w:rPr>
          <w:b w:val="0"/>
          <w:i w:val="0"/>
        </w:rPr>
        <w:t xml:space="preserve"> , Tòa án Tối cao phán quyết rằng Điều khoản Thương mại “cấm các bang điều chỉnh những chủ đề ‘mang bản chất quốc gia, hoặc chỉ có thể chấp nhận một hệ thống hoặc phương án điều chỉnh thống nhất,’” và công nhận rằng công việc nội bộ của một công ty là những chủ đề đòi hỏi một hệ thống điều chỉnh thống nhất. Trong </w:t>
      </w:r>
      <w:r>
        <w:rPr>
          <w:b w:val="0"/>
          <w:i/>
        </w:rPr>
        <w:t>CTS</w:t>
      </w:r>
      <w:r>
        <w:rPr>
          <w:b w:val="0"/>
          <w:i w:val="0"/>
        </w:rPr>
        <w:t xml:space="preserve"> , Tòa án Tối cao kết luận rằng “chừng nào mỗi bang chỉ điều chỉnh quyền biểu quyết </w:t>
      </w:r>
      <w:r>
        <w:rPr>
          <w:b w:val="0"/>
          <w:i/>
        </w:rPr>
        <w:t>trong các công ty do chính bang đó tạo ra</w:t>
      </w:r>
      <w:r>
        <w:rPr>
          <w:b w:val="0"/>
          <w:i w:val="0"/>
        </w:rPr>
        <w:t xml:space="preserve"> , thì mỗi công ty sẽ chỉ chịu sự điều chỉnh của luật của một bang duy nhất.” Theo đó, chúng tôi phán quyết rằng các quy tắc chọn luật đã được thiết lập vững chắc của Delaware và hiến pháp liên bang bắt buộc rằng công việc nội bộ của Examen, và đặc biệt là quyền biểu quyết của VantagePoint, phải được xét xử hoàn toàn theo luật của bang nơi thành lập công ty, trong trường hợp này là luật của Delaware.</w:t>
      </w:r>
    </w:p>
    <w:p>
      <w:pPr>
        <w:spacing w:after="80"/>
      </w:pPr>
      <w:r>
        <w:rPr>
          <w:b w:val="0"/>
          <w:i/>
        </w:rPr>
        <w:t>Bất kỳ diễn đàn nào—Công việc nội bộ—Cùng một luật</w:t>
      </w:r>
    </w:p>
    <w:p>
      <w:pPr>
        <w:spacing w:after="80"/>
      </w:pPr>
      <w:r>
        <w:rPr>
          <w:b w:val="0"/>
          <w:i w:val="0"/>
        </w:rPr>
        <w:t xml:space="preserve">VantagePoint thừa nhận rằng các tòa án Delaware, với tư cách là bang có diễn đàn (forum state), có thể áp dụng các quy tắc chọn luật nội dung của chính Delaware. Tuy nhiên, VantagePoint lập luận rằng việc Delaware “chọn” áp dụng luật của bang nơi thành lập công ty cho các vấn đề công việc nội bộ—bất chấp việc California ban hành </w:t>
      </w:r>
      <w:r>
        <w:rPr>
          <w:b w:val="0"/>
          <w:i/>
        </w:rPr>
        <w:t>mục 2115</w:t>
      </w:r>
      <w:r>
        <w:rPr>
          <w:b w:val="0"/>
          <w:i w:val="0"/>
        </w:rPr>
        <w:t xml:space="preserve"> —sẽ dẫn đến các cuộc đua tìm diễn đàn thuận lợi (forum shopping) trong tương lai để đến tòa án trước. VantagePoint cho rằng, nếu vụ kiện tại California trong các thủ tục tố tụng này được giải quyết trước, Tòa án Thượng thẩm California (California Superior Court) sẽ ra lệnh cấm vụ sáp nhập cho đến khi xác định được trên thực tế liệu </w:t>
      </w:r>
      <w:r>
        <w:rPr>
          <w:b w:val="0"/>
          <w:i/>
        </w:rPr>
        <w:t>mục 2115</w:t>
      </w:r>
      <w:r>
        <w:rPr>
          <w:b w:val="0"/>
          <w:i w:val="0"/>
        </w:rPr>
        <w:t xml:space="preserve"> có được áp dụng hay không. Nếu các điều kiện tiên quyết theo luật được xác định là đã được thỏa mãn trên thực tế, VantagePoint cho rằng Tòa án Thượng thẩm California sẽ áp dụng luật công việc nội bộ được phản ánh trong </w:t>
      </w:r>
      <w:r>
        <w:rPr>
          <w:b w:val="0"/>
          <w:i/>
        </w:rPr>
        <w:t>mục 2115</w:t>
      </w:r>
      <w:r>
        <w:rPr>
          <w:b w:val="0"/>
          <w:i w:val="0"/>
        </w:rPr>
        <w:t xml:space="preserve"> , “loại trừ” luật của Delaware—bang nơi Examen được thành lập.</w:t>
      </w:r>
    </w:p>
    <w:p>
      <w:pPr>
        <w:spacing w:after="80"/>
      </w:pPr>
      <w:r>
        <w:rPr>
          <w:b w:val="0"/>
          <w:i w:val="0"/>
        </w:rPr>
        <w:t xml:space="preserve">Để ủng hộ những khẳng định đó, VantagePoint chủ yếu dựa vào một phán quyết năm 1982 của Tòa án Phúc thẩm California trong </w:t>
      </w:r>
      <w:r>
        <w:rPr>
          <w:b w:val="0"/>
          <w:i/>
        </w:rPr>
        <w:t>Wilson v. Louisiana-Pacific Resources, Inc.</w:t>
      </w:r>
      <w:r>
        <w:rPr>
          <w:b w:val="0"/>
          <w:i w:val="0"/>
        </w:rPr>
        <w:t xml:space="preserve"> Trong </w:t>
      </w:r>
      <w:r>
        <w:rPr>
          <w:b w:val="0"/>
          <w:i/>
        </w:rPr>
        <w:t>Wilson v. Louisiana-Pacific Resources, Inc.,</w:t>
      </w:r>
      <w:r>
        <w:rPr>
          <w:b w:val="0"/>
          <w:i w:val="0"/>
        </w:rPr>
        <w:t xml:space="preserve"> một hội đồng của Tòa án Phúc thẩm California phán quyết rằng mục 2115 không vi phạm hiến pháp liên bang khi áp dụng quy định bỏ phiếu tích lũy bắt buộc (mandatory cumulative voting) của Bộ luật California cho một công ty Utah vốn không quy định bỏ phiếu tích lũy mà thay vào đó đã chọn cơ cấu bỏ phiếu trực tiếp (straight voting) được nêu trong đạo luật doanh nghiệp Utah. Tòa án trong </w:t>
      </w:r>
      <w:r>
        <w:rPr>
          <w:b w:val="0"/>
          <w:i/>
        </w:rPr>
        <w:t>Wilson</w:t>
      </w:r>
      <w:r>
        <w:rPr>
          <w:b w:val="0"/>
          <w:i w:val="0"/>
        </w:rPr>
        <w:t xml:space="preserve"> không đề cập đến những hàm ý của sự khác biệt giữa các đạo luật doanh nghiệp Utah và California đối với kỳ vọng của các bên đã chọn thành lập công ty tại Utah thay vì California. Như Giáo sư DeMott chỉ ra, “[m]ặc dù theo đạo luật Utah, điều lệ của công ty có thể được các cổ đông và giám đốc sửa đổi, thực tế mang tính cơ học đó không thiết lập quyền của California trong việc cưỡng ép một sửa đổi như vậy” bất cứ khi nào các điều kiện tiên quyết thực tế của mục 2115 tồn tại.</w:t>
      </w:r>
    </w:p>
    <w:p>
      <w:pPr>
        <w:spacing w:after="80"/>
      </w:pPr>
      <w:r>
        <w:rPr>
          <w:b w:val="0"/>
          <w:i/>
        </w:rPr>
        <w:t>Wilson</w:t>
      </w:r>
      <w:r>
        <w:rPr>
          <w:b w:val="0"/>
          <w:i w:val="0"/>
        </w:rPr>
        <w:t xml:space="preserve"> được quyết định trước phán quyết của Tòa án Tối cao Hoa Kỳ trong vụ </w:t>
      </w:r>
      <w:r>
        <w:rPr>
          <w:b w:val="0"/>
          <w:i/>
        </w:rPr>
        <w:t>CTS</w:t>
      </w:r>
      <w:r>
        <w:rPr>
          <w:b w:val="0"/>
          <w:i w:val="0"/>
        </w:rPr>
        <w:t xml:space="preserve"> và trước phán quyết của Tòa án này trong vụ </w:t>
      </w:r>
      <w:r>
        <w:rPr>
          <w:b w:val="0"/>
          <w:i/>
        </w:rPr>
        <w:t>McDermott.</w:t>
      </w:r>
      <w:r>
        <w:rPr>
          <w:b w:val="0"/>
          <w:i w:val="0"/>
        </w:rPr>
        <w:t xml:space="preserve"> Mười năm sau </w:t>
      </w:r>
      <w:r>
        <w:rPr>
          <w:b w:val="0"/>
          <w:i/>
        </w:rPr>
        <w:t>Wilson,</w:t>
      </w:r>
      <w:r>
        <w:rPr>
          <w:b w:val="0"/>
          <w:i w:val="0"/>
        </w:rPr>
        <w:t xml:space="preserve"> Tòa án Tối cao California đã trích dẫn và tán thành phân tích của Tòa án này về học thuyết công việc nội bộ (internal affairs doctrine) trong vụ </w:t>
      </w:r>
      <w:r>
        <w:rPr>
          <w:b w:val="0"/>
          <w:i/>
        </w:rPr>
        <w:t>McDermott,</w:t>
      </w:r>
      <w:r>
        <w:rPr>
          <w:b w:val="0"/>
          <w:i w:val="0"/>
        </w:rPr>
        <w:t xml:space="preserve"> đặc biệt là phán quyết của chúng tôi rằng các tranh chấp về quyền biểu quyết của cổ đông được điều chỉnh bởi luật của bang nơi thành lập công ty. Hai năm trước, trong vụ </w:t>
      </w:r>
      <w:r>
        <w:rPr>
          <w:b w:val="0"/>
          <w:i/>
        </w:rPr>
        <w:t>State Farm v. Superior Court,</w:t>
      </w:r>
      <w:r>
        <w:rPr>
          <w:b w:val="0"/>
          <w:i w:val="0"/>
        </w:rPr>
        <w:t xml:space="preserve"> một hội đồng khác của Tòa phúc thẩm California đã đặt câu hỏi về tính hiệu lực của phán quyết trong vụ </w:t>
      </w:r>
      <w:r>
        <w:rPr>
          <w:b w:val="0"/>
          <w:i/>
        </w:rPr>
        <w:t>Wilson</w:t>
      </w:r>
      <w:r>
        <w:rPr>
          <w:b w:val="0"/>
          <w:i w:val="0"/>
        </w:rPr>
        <w:t xml:space="preserve"> sau khi học thuyết công việc nội bộ được chấp nhận rộng rãi trong hai thập kỷ sau khi </w:t>
      </w:r>
      <w:r>
        <w:rPr>
          <w:b w:val="0"/>
          <w:i/>
        </w:rPr>
        <w:t>Wilson</w:t>
      </w:r>
      <w:r>
        <w:rPr>
          <w:b w:val="0"/>
          <w:i w:val="0"/>
        </w:rPr>
        <w:t xml:space="preserve"> được quyết định. Trong vụ </w:t>
      </w:r>
      <w:r>
        <w:rPr>
          <w:b w:val="0"/>
          <w:i/>
        </w:rPr>
        <w:t>State Farm,</w:t>
      </w:r>
      <w:r>
        <w:rPr>
          <w:b w:val="0"/>
          <w:i w:val="0"/>
        </w:rPr>
        <w:t xml:space="preserve"> tòa án đã trích dẫn và tán thành phán quyết của Tòa án Tối cao Hoa Kỳ trong vụ </w:t>
      </w:r>
      <w:r>
        <w:rPr>
          <w:b w:val="0"/>
          <w:i/>
        </w:rPr>
        <w:t>CTS Corp. v. Dynamics</w:t>
      </w:r>
      <w:r>
        <w:rPr>
          <w:b w:val="0"/>
          <w:i w:val="0"/>
        </w:rPr>
        <w:t xml:space="preserve"> và phán quyết của chúng tôi trong vụ </w:t>
      </w:r>
      <w:r>
        <w:rPr>
          <w:b w:val="0"/>
          <w:i/>
        </w:rPr>
        <w:t>McDermott.</w:t>
      </w:r>
      <w:r>
        <w:rPr>
          <w:b w:val="0"/>
          <w:i w:val="0"/>
        </w:rPr>
        <w:t xml:space="preserve"> Trong vụ </w:t>
      </w:r>
      <w:r>
        <w:rPr>
          <w:b w:val="0"/>
          <w:i/>
        </w:rPr>
        <w:t>State Farm,</w:t>
      </w:r>
      <w:r>
        <w:rPr>
          <w:b w:val="0"/>
          <w:i w:val="0"/>
        </w:rPr>
        <w:t xml:space="preserve"> tòa án cũng đã trích dẫn dài dòng phần phán quyết của chúng tôi trong vụ </w:t>
      </w:r>
      <w:r>
        <w:rPr>
          <w:b w:val="0"/>
          <w:i/>
        </w:rPr>
        <w:t>McDermott</w:t>
      </w:r>
      <w:r>
        <w:rPr>
          <w:b w:val="0"/>
          <w:i w:val="0"/>
        </w:rPr>
        <w:t xml:space="preserve"> liên quan đến các yêu cầu hiến định của học thuyết công việc nội bộ.</w:t>
      </w:r>
    </w:p>
    <w:p>
      <w:pPr>
        <w:spacing w:after="80"/>
      </w:pPr>
      <w:r>
        <w:rPr>
          <w:b w:val="0"/>
          <w:i w:val="0"/>
        </w:rPr>
        <w:t xml:space="preserve">Kể từ khi </w:t>
      </w:r>
      <w:r>
        <w:rPr>
          <w:b w:val="0"/>
          <w:i/>
        </w:rPr>
        <w:t>Wilson</w:t>
      </w:r>
      <w:r>
        <w:rPr>
          <w:b w:val="0"/>
          <w:i w:val="0"/>
        </w:rPr>
        <w:t xml:space="preserve"> được quyết định, Tòa án Tối cao Hoa Kỳ đã công nhận các yêu cầu hiến định của học thuyết công việc nội bộ. Trong vụ </w:t>
      </w:r>
      <w:r>
        <w:rPr>
          <w:b w:val="0"/>
          <w:i/>
        </w:rPr>
        <w:t>Draper v. Gardner,</w:t>
      </w:r>
      <w:r>
        <w:rPr>
          <w:b w:val="0"/>
          <w:i w:val="0"/>
        </w:rPr>
        <w:t xml:space="preserve"> Tòa án này đã thừa nhận ý kiến trong vụ </w:t>
      </w:r>
      <w:r>
        <w:rPr>
          <w:b w:val="0"/>
          <w:i/>
        </w:rPr>
        <w:t>Wilson</w:t>
      </w:r>
      <w:r>
        <w:rPr>
          <w:b w:val="0"/>
          <w:i w:val="0"/>
        </w:rPr>
        <w:t xml:space="preserve"> trong một chú thích và tuy nhiên vẫn cho phép bác bỏ một vụ kiện ở Delaware để ủng hộ một vụ kiện ở California, trong đó tòa án California sẽ được yêu cầu quyết định vấn đề "yêu cầu" (demand) về công việc nội bộ liên quan đến một công ty Delaware. Như đã nêu trong vụ </w:t>
      </w:r>
      <w:r>
        <w:rPr>
          <w:b w:val="0"/>
          <w:i/>
        </w:rPr>
        <w:t>Draper,</w:t>
      </w:r>
      <w:r>
        <w:rPr>
          <w:b w:val="0"/>
          <w:i w:val="0"/>
        </w:rPr>
        <w:t xml:space="preserve"> chúng tôi không nghi ngờ gì rằng sau các phán quyết </w:t>
      </w:r>
      <w:r>
        <w:rPr>
          <w:b w:val="0"/>
          <w:i/>
        </w:rPr>
        <w:t>Kamen</w:t>
      </w:r>
      <w:r>
        <w:rPr>
          <w:b w:val="0"/>
          <w:i w:val="0"/>
        </w:rPr>
        <w:t xml:space="preserve"> và </w:t>
      </w:r>
      <w:r>
        <w:rPr>
          <w:b w:val="0"/>
          <w:i/>
        </w:rPr>
        <w:t>CTS</w:t>
      </w:r>
      <w:r>
        <w:rPr>
          <w:b w:val="0"/>
          <w:i w:val="0"/>
        </w:rPr>
        <w:t xml:space="preserve"> của Tòa án Tối cao Hoa Kỳ, các tòa án California sẽ "áp dụng luật [yêu cầu] của Delaware [đối với công việc nội bộ của một công ty Delaware], với sức sống và nền tảng hiến định của học thuyết công việc nội bộ." Chúng tôi giữ vững quan điểm đó trong vụ án này.</w:t>
      </w:r>
    </w:p>
    <w:p>
      <w:pPr>
        <w:spacing w:after="80"/>
      </w:pPr>
      <w:r>
        <w:rPr>
          <w:b w:val="0"/>
          <w:i/>
        </w:rPr>
        <w:t>Kết luận</w:t>
      </w:r>
    </w:p>
    <w:p>
      <w:pPr>
        <w:spacing w:after="80"/>
      </w:pPr>
      <w:r>
        <w:rPr>
          <w:b w:val="0"/>
          <w:i w:val="0"/>
        </w:rPr>
        <w:t>Phán quyết của Tòa án Chancery được giữ nguyên. Thư ký của Tòa án này được chỉ thị ban hành lệnh ngay lập tức.</w:t>
      </w:r>
    </w:p>
    <w:p>
      <w:pPr>
        <w:pStyle w:val="Heading5"/>
      </w:pPr>
      <w:r>
        <w:rPr>
          <w:rFonts w:ascii="Calibri" w:hAnsi="Calibri"/>
          <w:b/>
          <w:i/>
          <w:sz w:val="22"/>
        </w:rPr>
        <w:t>Bình luận và Câu hỏi</w:t>
      </w:r>
    </w:p>
    <w:p>
      <w:pPr>
        <w:spacing w:after="80"/>
      </w:pPr>
      <w:r>
        <w:rPr>
          <w:b w:val="0"/>
          <w:i w:val="0"/>
        </w:rPr>
        <w:t xml:space="preserve">1. Bạn nghĩ gì về lý lẽ trong vụ án này? Thay vì chỉ là một nguyên tắc lựa chọn luật, tòa án cho rằng học thuyết công việc nội bộ có tầm quan trọng hiến định. Điều này tạo ra sự khác biệt gì trong việc áp dụng học thuyết? Bạn có thể dung hòa phân tích về Điều khoản Thương mại (Commerce Clause) trong vụ </w:t>
      </w:r>
      <w:r>
        <w:rPr>
          <w:b w:val="0"/>
          <w:i/>
        </w:rPr>
        <w:t>Wilson</w:t>
      </w:r>
      <w:r>
        <w:rPr>
          <w:b w:val="0"/>
          <w:i w:val="0"/>
        </w:rPr>
        <w:t xml:space="preserve"> và </w:t>
      </w:r>
      <w:r>
        <w:rPr>
          <w:b w:val="0"/>
          <w:i/>
        </w:rPr>
        <w:t>VantagePoint</w:t>
      </w:r>
      <w:r>
        <w:rPr>
          <w:b w:val="0"/>
          <w:i w:val="0"/>
        </w:rPr>
        <w:t xml:space="preserve"> không? Nếu không, vụ nào có lập luận tốt hơn?</w:t>
      </w:r>
    </w:p>
    <w:p>
      <w:pPr>
        <w:spacing w:after="80"/>
      </w:pPr>
      <w:r>
        <w:rPr>
          <w:b w:val="0"/>
          <w:i w:val="0"/>
        </w:rPr>
        <w:t xml:space="preserve">2. </w:t>
      </w:r>
      <w:r>
        <w:rPr>
          <w:b w:val="0"/>
          <w:i/>
        </w:rPr>
        <w:t>VantagePoint</w:t>
      </w:r>
      <w:r>
        <w:rPr>
          <w:b w:val="0"/>
          <w:i w:val="0"/>
        </w:rPr>
        <w:t xml:space="preserve"> và </w:t>
      </w:r>
      <w:r>
        <w:rPr>
          <w:b w:val="0"/>
          <w:i/>
        </w:rPr>
        <w:t>Wilson</w:t>
      </w:r>
      <w:r>
        <w:rPr>
          <w:b w:val="0"/>
          <w:i w:val="0"/>
        </w:rPr>
        <w:t xml:space="preserve"> dường như tạo ra một xung đột giữa các bang với các công ty ở giữa. Có cơ chế nào để giải quyết các cách tiếp cận khác nhau trong hai vụ án này không?</w:t>
      </w:r>
    </w:p>
    <w:p>
      <w:pPr>
        <w:spacing w:after="80"/>
      </w:pPr>
      <w:r>
        <w:rPr>
          <w:b w:val="0"/>
          <w:i w:val="0"/>
        </w:rPr>
        <w:t xml:space="preserve">3. Một nhà bình luận đã mô tả phán quyết trong vụ </w:t>
      </w:r>
      <w:r>
        <w:rPr>
          <w:b w:val="0"/>
          <w:i/>
        </w:rPr>
        <w:t>VantagePoint</w:t>
      </w:r>
      <w:r>
        <w:rPr>
          <w:b w:val="0"/>
          <w:i w:val="0"/>
        </w:rPr>
        <w:t xml:space="preserve"> là "một ý kiến tư vấn." </w:t>
      </w:r>
      <w:r>
        <w:rPr>
          <w:b w:val="0"/>
          <w:i/>
        </w:rPr>
        <w:t>Xem</w:t>
      </w:r>
      <w:r>
        <w:rPr>
          <w:b w:val="0"/>
          <w:i w:val="0"/>
        </w:rPr>
        <w:t xml:space="preserve"> Faith Stevelman, </w:t>
      </w:r>
      <w:r>
        <w:rPr>
          <w:b w:val="0"/>
          <w:i/>
        </w:rPr>
        <w:t>Regulatory Competition, Choice of Forum, and Delaware's Stake in Corporate Law</w:t>
      </w:r>
      <w:r>
        <w:rPr>
          <w:b w:val="0"/>
          <w:i w:val="0"/>
        </w:rPr>
        <w:t xml:space="preserve"> , 34 Del. J. Corp. L. 57 (2009). Một người khác khẳng định rằng ý kiến này là "một tín hiệu: nhằm ngăn chặn các bang khác, như California và New York, tìm cách điều chỉnh công việc của các thực thể Delaware." Timothy P. Glynn, </w:t>
      </w:r>
      <w:r>
        <w:rPr>
          <w:b w:val="0"/>
          <w:i/>
        </w:rPr>
        <w:t>Delaware's VantagePoint: The Empire Strikes Back in the Post-Post-Enron Era</w:t>
      </w:r>
      <w:r>
        <w:rPr>
          <w:b w:val="0"/>
          <w:i w:val="0"/>
        </w:rPr>
        <w:t xml:space="preserve"> , 102 Nw. U. L. Rev. 91, 96 (Winter 2008). Bạn đồng ý hay không đồng ý?</w:t>
      </w:r>
    </w:p>
    <w:p>
      <w:pPr>
        <w:spacing w:after="80"/>
      </w:pPr>
      <w:r>
        <w:rPr>
          <w:b w:val="0"/>
          <w:i w:val="0"/>
        </w:rPr>
        <w:t>4. Ngay cả khi không có học thuyết công việc nội bộ, Delaware có một đặc điểm khó có thể sao chép: một hệ thống tòa án có trình độ cao. Như một học giả đã mô tả:</w:t>
      </w:r>
    </w:p>
    <w:p>
      <w:pPr>
        <w:spacing w:after="80"/>
      </w:pPr>
      <w:r>
        <w:rPr>
          <w:b w:val="0"/>
          <w:i w:val="0"/>
        </w:rPr>
        <w:t>Mười thẩm phán, phần lớn nằm dọc theo hai hành lang trong một thành phố, tạo ra và phát triển luật công ty của Delaware. Các thẩm phán này là những người chơi lâu dài, ở chỗ phần lớn khối lượng công việc của năm thành viên Tòa án Chancery Delaware phát sinh từ luật công ty và một phần đáng kể khối lượng công việc của năm thẩm phán Tòa án Tối cao Delaware cũng bắt nguồn từ luật công ty. Nhờ công việc này và kinh nghiệm trước đây của chính họ, các thẩm phán này có chuyên môn về luật công ty có thể thấy được, ví dụ, trong các cuộc thảo luận về định giá và các vấn đề liên quan đến giao dịch khác phát sinh. Một thẩm phán liên bang điển hình, người thỉnh thoảng nhận một vụ án công ty như một phần của danh mục vụ án bị chi phối bởi các vấn đề hình sự và nhập cư, đơn giản là sẽ không có cùng chuyên môn để mang đến một tranh chấp về các vấn đề công ty. Các thẩm phán Delaware tương tác với cộng đồng học thuật và chuyên nghiệp về công ty theo cách không được lặp lại trong các lĩnh vực khác.</w:t>
      </w:r>
    </w:p>
    <w:p>
      <w:pPr>
        <w:spacing w:after="80"/>
      </w:pPr>
      <w:r>
        <w:rPr>
          <w:b w:val="0"/>
          <w:i w:val="0"/>
        </w:rPr>
        <w:t xml:space="preserve">Robert B. Thompson, </w:t>
      </w:r>
      <w:r>
        <w:rPr>
          <w:b w:val="0"/>
          <w:i/>
        </w:rPr>
        <w:t>Stockholders in Corporate Governance: Defining the Shareholder's Role, Defining A Role for State Law: Folk at 40</w:t>
      </w:r>
      <w:r>
        <w:rPr>
          <w:b w:val="0"/>
          <w:i w:val="0"/>
        </w:rPr>
        <w:t xml:space="preserve"> , 33 Del. J. Corp. L. 771, 775 (2008). Tại sao chất lượng của hệ thống tòa án lại là một lợi thế lớn như vậy đối với một bang đang cố gắng thu hút các điều lệ công ty?</w:t>
      </w:r>
    </w:p>
    <w:p>
      <w:pPr>
        <w:spacing w:after="80"/>
      </w:pPr>
      <w:r>
        <w:rPr>
          <w:b w:val="0"/>
          <w:i w:val="0"/>
        </w:rPr>
        <w:t xml:space="preserve">5. Luật nào nên được áp dụng cho một khiếu nại sa thải sai trái do một cựu CEO của một công ty Delaware đưa ra, người cáo buộc rằng ông đã bị sa thải mang tính xây dựng để trả đũa cho những khiếu nại về hành vi sai trái có thể xảy ra? Giả sử rằng theo luật Delaware, vụ án sẽ bị bác bỏ. Để có một câu trả lời, xem </w:t>
      </w:r>
      <w:r>
        <w:rPr>
          <w:b w:val="0"/>
          <w:i/>
        </w:rPr>
        <w:t>Lidow v. Superior Court</w:t>
      </w:r>
      <w:r>
        <w:rPr>
          <w:b w:val="0"/>
          <w:i w:val="0"/>
        </w:rPr>
        <w:t xml:space="preserve"> , 141 Cal. Rptr. 3rd 729 (Cal. App. 2012).</w:t>
      </w:r>
    </w:p>
    <w:p>
      <w:pPr>
        <w:spacing w:after="80"/>
      </w:pPr>
      <w:r>
        <w:rPr>
          <w:b w:val="0"/>
          <w:i w:val="0"/>
        </w:rPr>
        <w:t>6. Ở Delaware, Tòa án Chancery không chỉ là người xác định sự thật trong các tranh chấp luật công ty quan trọng nhất được tranh tụng ở Hoa Kỳ, mà còn là nơi đào tạo cho Tòa án Tối cao Delaware. Không hiếm khi các Thẩm phán của Tòa án Tối cao Delaware đã từng phục vụ tại Tòa án Chancery trước đó. Tại sao lại như vậy? Thống đốc bang có thể thu thập được thông tin gì từ một thẩm phán đã từng phục vụ tại Tòa án Chancery trước đó?</w:t>
      </w:r>
    </w:p>
    <w:p>
      <w:pPr>
        <w:spacing w:after="80"/>
      </w:pPr>
      <w:r>
        <w:rPr>
          <w:b w:val="0"/>
          <w:i w:val="0"/>
        </w:rPr>
        <w:t xml:space="preserve">7. Học thuyết công việc nội bộ theo truyền thống được giảng dạy như một cuộc chiến giữa Delaware và California. Tuy nhiên, điều đó có thể đang thay đổi. Các tòa án Delaware đã giữ nguyên các điều lệ cho phép chuyển dịch chi phí đối với các chủ sở hữu trong các vụ kiện tụng không thành công (xem </w:t>
      </w:r>
      <w:r>
        <w:rPr>
          <w:b w:val="0"/>
          <w:i/>
        </w:rPr>
        <w:t>ATP Tour, Inc. v. Deutscher Tennis Bund,</w:t>
      </w:r>
      <w:r>
        <w:rPr>
          <w:b w:val="0"/>
          <w:i w:val="0"/>
        </w:rPr>
        <w:t xml:space="preserve"> 91 A.3d 554 (Del. 2014)) và yêu cầu cổ đông sử dụng một diễn đàn được chỉ định. </w:t>
      </w:r>
      <w:r>
        <w:rPr>
          <w:b w:val="0"/>
          <w:i/>
        </w:rPr>
        <w:t>Xem Boilermakers Local 154 Retirement Fund v. Chevron Corp.,</w:t>
      </w:r>
      <w:r>
        <w:rPr>
          <w:b w:val="0"/>
          <w:i w:val="0"/>
        </w:rPr>
        <w:t xml:space="preserve"> 73 A.3d 934, 942 (Del. Ch. 2013). Mặc dù cả hai đều đã được giải quyết bằng luật pháp ở Delaware, xem DGCL 102, 109 &amp; 115, chúng cho thấy rằng các công ty có thể sử dụng điều lệ để điều chỉnh các vấn đề kiện tụng. Có một lập luận rằng thẩm quyền này vượt ra ngoài công việc nội bộ của một công ty. </w:t>
      </w:r>
      <w:r>
        <w:rPr>
          <w:b w:val="0"/>
          <w:i/>
        </w:rPr>
        <w:t>Xem</w:t>
      </w:r>
      <w:r>
        <w:rPr>
          <w:b w:val="0"/>
          <w:i w:val="0"/>
        </w:rPr>
        <w:t xml:space="preserve"> J. Robert Brown, Jr., </w:t>
      </w:r>
      <w:r>
        <w:rPr>
          <w:b w:val="0"/>
          <w:i/>
        </w:rPr>
        <w:t>The Future Direction of Delaware Law (Including a Brief Exegesis on Fee Shifting Bylaws)</w:t>
      </w:r>
      <w:r>
        <w:rPr>
          <w:b w:val="0"/>
          <w:i w:val="0"/>
        </w:rPr>
        <w:t xml:space="preserve"> , 92 Den. U. L. Rev. Online 49 (2015). Các bang có thể thông qua các quy định xung đột liên quan đến kiện tụng trong thẩm quyền của họ không? Hậu quả của cách tiếp cận như vậy sẽ là gì?</w:t>
      </w:r>
    </w:p>
    <w:p>
      <w:pPr>
        <w:pStyle w:val="Heading3"/>
      </w:pPr>
      <w:r>
        <w:rPr>
          <w:rFonts w:ascii="Calibri" w:hAnsi="Calibri"/>
          <w:b/>
          <w:i w:val="0"/>
          <w:sz w:val="26"/>
        </w:rPr>
        <w:t>B. Cuộc đua xuống đáy hay lên đỉnh?</w:t>
      </w:r>
    </w:p>
    <w:p>
      <w:pPr>
        <w:spacing w:after="80"/>
      </w:pPr>
      <w:r>
        <w:rPr>
          <w:b w:val="0"/>
          <w:i w:val="0"/>
        </w:rPr>
        <w:t>Với hơn năm mươi thẩm quyền để lựa chọn, ban quản lý có thể thành lập công ty tại thẩm quyền cung cấp luật thuận lợi nhất. Về quan điểm đó, có sự đồng thuận chung. Vấn đề xoay quanh định nghĩa của "thuận lợi". Một số người coi ban quản lý là đang chọn bang nơi luật pháp sẽ cho phép hành vi tự phục vụ nhiều nhất. Những người ủng hộ quan điểm này mô tả sự phát triển của luật công ty bang như một cuộc đua xuống đáy. Những người khác coi sự cạnh tranh giành điều lệ là điều tạo ra luật công ty hiệu quả nhất, nói cách khác là một cuộc đua lên đỉnh. Cách mô tả phù hợp đã được tranh luận với khá nhiều nhiệt huyết.</w:t>
      </w:r>
    </w:p>
    <w:p>
      <w:pPr>
        <w:pStyle w:val="Heading4"/>
      </w:pPr>
      <w:r>
        <w:rPr>
          <w:rFonts w:ascii="Calibri" w:hAnsi="Calibri"/>
          <w:b/>
          <w:i w:val="0"/>
          <w:sz w:val="23"/>
        </w:rPr>
        <w:t xml:space="preserve">Renee M. Jones, </w:t>
      </w:r>
      <w:r>
        <w:rPr>
          <w:rFonts w:ascii="Calibri" w:hAnsi="Calibri"/>
          <w:b/>
          <w:i/>
          <w:sz w:val="23"/>
        </w:rPr>
        <w:t>Suy nghĩ lại về chủ nghĩa liên bang trong doanh nghiệp</w:t>
      </w:r>
      <w:r>
        <w:br/>
      </w:r>
      <w:r>
        <w:rPr>
          <w:rFonts w:ascii="Calibri" w:hAnsi="Calibri"/>
          <w:b/>
          <w:i/>
          <w:sz w:val="23"/>
        </w:rPr>
        <w:t xml:space="preserve"> trong Kỷ nguyên Cải cách Doanh nghiệp</w:t>
      </w:r>
    </w:p>
    <w:p>
      <w:pPr>
        <w:spacing w:after="80"/>
      </w:pPr>
      <w:r>
        <w:rPr>
          <w:b w:val="0"/>
          <w:i w:val="0"/>
        </w:rPr>
        <w:t>29 J. Corp. L. 625 (2004)</w:t>
      </w:r>
    </w:p>
    <w:p>
      <w:pPr>
        <w:spacing w:after="80"/>
      </w:pPr>
      <w:r>
        <w:rPr>
          <w:b w:val="0"/>
          <w:i w:val="0"/>
        </w:rPr>
        <w:t>Những người bảo vệ hệ thống liên bang trong doanh nghiệp (ở đây gọi là những người theo chủ nghĩa liên bang trong doanh nghiệp) lập luận rằng chính sự cạnh tranh giữa các bang mà [William] Cary [cựu Chủ tịch SEC và Giáo sư tại Trường Luật Columbia] đã chỉ trích gay gắt lại dẫn đến một "cuộc đua lên đỉnh" (race-to-the-top) trong luật doanh nghiệp. Các nhà lý thuyết này, dẫn đầu bởi Ralph Winter [Giáo sư tại Trường Luật Yale và thẩm phán Tòa phúc thẩm Hoa Kỳ, Vòng thứ hai] đồng ý với Cary rằng hệ thống liên bang không khuyến khích việc điều tiết tích cực các doanh nghiệp, nhưng họ chấp nhận khuynh hướng giảm điều tiết này như là kết quả hợp pháp của cuộc đua luật doanh nghiệp. Những nhà lý thuyết cuộc đua lên đỉnh cho rằng các lực lượng thị trường đủ để ngăn chặn việc lạm dụng quyền quản lý và cơ hội chủ nghĩa quá mức. Họ đẩy lập luận bảo vệ hệ thống liên bang dựa trên thị trường tiến thêm một bước bằng cách lập luận rằng không chỉ các lực lượng thị trường thông thường kiềm chế sự lạm dụng của ban quản lý, mà một thị trường cạnh tranh cho luật doanh nghiệp còn đảm bảo rằng các bang sẽ thông qua các quy tắc pháp lý hấp dẫn cả ban quản lý lẫn cổ đông.</w:t>
      </w:r>
    </w:p>
    <w:p>
      <w:pPr>
        <w:spacing w:after="80"/>
      </w:pPr>
      <w:r>
        <w:rPr>
          <w:b w:val="0"/>
          <w:i w:val="0"/>
        </w:rPr>
        <w:t>Do đó, Winter lập luận, nếu luật Delaware cho phép ban quản lý thu lợi với cái giá của cổ đông, thì thu nhập của các công ty Delaware sẽ tụt hậu so với các công ty tương tự được đăng ký thành lập ở các bang khác. Điều này sẽ dẫn đến giá cổ phiếu thấp hơn cho các công ty Delaware, làm tăng chi phí vốn và làm suy yếu vị thế của họ trên thị trường sản phẩm, cuối cùng đẩy giá cổ phiếu xuống thấp hơn nữa và khiến những công ty như vậy trở thành mục tiêu thâu tóm hấp dẫn. Những nhà lý thuyết cuộc đua lên đỉnh do đó kết luận rằng các lực lượng thị trường buộc các nhà quản lý doanh nghiệp phải tìm kiếm các quy tắc pháp lý hấp dẫn đối với nhà đầu tư, điều này lại khuyến khích các bang thông qua các quy tắc pháp lý "tối ưu hóa mối quan hệ cổ đông-doanh nghiệp". Như vậy, theo quan điểm của các học giả cuộc đua lên đỉnh, cách tiếp cận tự do (laissez faire) của Delaware đối với quản trị doanh nghiệp vượt trội hơn mô hình can thiệp mà những nhà lý thuyết cuộc đua xuống đáy ưa thích, đơn giản chỉ vì cách tiếp cận tự do này đã "thắng" trong một cuộc cạnh tranh gay gắt giữa tất cả các bang để thu hút nhiều giấy phép thành lập doanh nghiệp nhất.</w:t>
      </w:r>
    </w:p>
    <w:p>
      <w:pPr>
        <w:pStyle w:val="Heading4"/>
      </w:pPr>
      <w:r>
        <w:rPr>
          <w:rFonts w:ascii="Calibri" w:hAnsi="Calibri"/>
          <w:b/>
          <w:i w:val="0"/>
          <w:sz w:val="23"/>
        </w:rPr>
        <w:t xml:space="preserve">J. Robert Brown, Jr., </w:t>
      </w:r>
      <w:r>
        <w:rPr>
          <w:rFonts w:ascii="Calibri" w:hAnsi="Calibri"/>
          <w:b/>
          <w:i/>
          <w:sz w:val="23"/>
        </w:rPr>
        <w:t>Sự Không Liên Quan của Luật Doanh Nghiệp Bang trong</w:t>
      </w:r>
      <w:r>
        <w:br/>
      </w:r>
      <w:r>
        <w:rPr>
          <w:rFonts w:ascii="Calibri" w:hAnsi="Calibri"/>
          <w:b/>
          <w:i/>
          <w:sz w:val="23"/>
        </w:rPr>
        <w:t xml:space="preserve"> Quản Trị Các Công Ty Đại Chúng</w:t>
      </w:r>
    </w:p>
    <w:p>
      <w:pPr>
        <w:spacing w:after="80"/>
      </w:pPr>
      <w:r>
        <w:rPr>
          <w:b w:val="0"/>
          <w:i w:val="0"/>
        </w:rPr>
        <w:t>38 U. Rich. L. Rev. 317, 321–24, 326, 331 (2004)</w:t>
      </w:r>
    </w:p>
    <w:p>
      <w:pPr>
        <w:spacing w:after="80"/>
      </w:pPr>
      <w:r>
        <w:rPr>
          <w:b w:val="0"/>
          <w:i w:val="0"/>
        </w:rPr>
        <w:t>Ban quản lý quyết định bang đăng ký thành lập và có động cơ đăng ký thành lập ở một bang đáp ứng tốt nhất các mục tiêu của mình. Trong phạm vi một bang không đáp ứng những mục tiêu đó, công ty có thể tái đăng ký thành lập sang một khu vực pháp lý đáp ứng được. Đồng thời, các bang có động cơ thực hiện một cách tiếp cận điều tiết được ban quản lý ưa thích. Các công ty nộp thuế nhượng quyền (franchise tax) cho bang đăng ký thành lập. Delaware, một trong chỉ năm bang không có thuế bán hàng, thu được nguồn thu thuế đáng kể từ các công ty đăng ký thành lập trong bang. Điều này đúng ngay cả khi hầu hết trong số họ không có hoạt động đáng kể nào trong Delaware.</w:t>
      </w:r>
    </w:p>
    <w:p>
      <w:pPr>
        <w:spacing w:after="80"/>
      </w:pPr>
      <w:r>
        <w:rPr>
          <w:b w:val="0"/>
          <w:i w:val="0"/>
        </w:rPr>
        <w:t>Chỉ cần một bang thiết lập một cơ chế điều tiết được ban quản lý ưa thích, các bang khác có động cơ làm điều tương tự. Hoặc họ muốn tham gia cuộc cạnh tranh để có thêm công ty (và thêm thuế nhượng quyền) hoặc họ muốn giữ những gì mình đang có. Ở những bang không làm theo, ít nhất một số công ty sẽ có động cơ rời khỏi khu vực pháp lý đó và tái đăng ký thành lập ở một địa điểm thuận lợi hơn.</w:t>
      </w:r>
    </w:p>
    <w:p>
      <w:pPr>
        <w:spacing w:after="80"/>
      </w:pPr>
      <w:r>
        <w:rPr>
          <w:b w:val="0"/>
          <w:i w:val="0"/>
        </w:rPr>
        <w:t>Các nhà bình luận mô tả động lực này như một cuộc cạnh tranh giành giấy phép thành lập, mặc dù họ bất đồng gay gắt về động lực của cuộc cạnh tranh. Một số xem cuộc cạnh tranh là một cuộc đua lên đỉnh. Họ khẳng định rằng ban quản lý có động cơ đăng ký thành lập ở khu vực pháp lý cung cấp luật doanh nghiệp hiệu quả nhất. Trong phạm vi các giám đốc đặt lợi ích cá nhân lên trên hiệu quả, thị trường kiểm soát doanh nghiệp sẽ dẫn đến sự thay đổi ban quản lý. Nhận thấy rằng số lượng lớn nhất các công ty đại chúng đăng ký thành lập ở Delaware, quan điểm "cuộc đua lên đỉnh" đòi hỏi phải kết luận rằng luật doanh nghiệp ở Delaware là hiệu quả nhất.</w:t>
      </w:r>
    </w:p>
    <w:p>
      <w:pPr>
        <w:spacing w:after="80"/>
      </w:pPr>
      <w:r>
        <w:rPr>
          <w:b w:val="0"/>
          <w:i w:val="0"/>
        </w:rPr>
        <w:t>Vấn đề chính với cách tiếp cận này là sự phụ thuộc quá mức vào thị trường kiểm soát doanh nghiệp để đảm bảo hiệu quả. Thị trường kiểm soát doanh nghiệp không đủ mạnh mẽ để buộc ban quản lý lựa chọn các bang dựa trên hiệu quả kinh tế. Hơn nữa, với chi phí cao của các vụ thâu tóm thù địch, phải xảy ra rất nhiều sự kém hiệu quả thì thị trường mới trở thành một cơ chế điều chỉnh.</w:t>
      </w:r>
    </w:p>
    <w:p>
      <w:pPr>
        <w:spacing w:after="80"/>
      </w:pPr>
      <w:r>
        <w:rPr>
          <w:b w:val="0"/>
          <w:i w:val="0"/>
        </w:rPr>
        <w:t>* * *</w:t>
      </w:r>
    </w:p>
    <w:p>
      <w:pPr>
        <w:spacing w:after="80"/>
      </w:pPr>
      <w:r>
        <w:rPr>
          <w:b w:val="0"/>
          <w:i w:val="0"/>
        </w:rPr>
        <w:t>Những người khác xem động cơ lựa chọn bang đăng ký thành lập là vì lợi ích bản thân nhiều hơn, mô tả cuộc cạnh tranh như một cuộc đua xuống đáy. Ban quản lý sẽ chọn một khu vực pháp lý có lợi cho lợi ích bản thân của mình. Trong số những điều khác, mục tiêu là chọn bang đăng ký thành lập cho phép ban quản lý trục lợi nhiều nhất cho bản thân, không quan tâm đến hiệu quả hay lợi ích của cổ đông.</w:t>
      </w:r>
    </w:p>
    <w:p>
      <w:pPr>
        <w:spacing w:after="80"/>
      </w:pPr>
      <w:r>
        <w:rPr>
          <w:b w:val="0"/>
          <w:i w:val="0"/>
        </w:rPr>
        <w:t>Cách tiếp cận này cũng có vấn đề. Thứ nhất, những thay đổi trong các bộ luật doanh nghiệp bang thường không thể được mô tả là ủng hộ hay chống lại lợi ích của ban quản lý. Thứ hai, ngay cả khi ban quản lý phản đối những thay đổi, tác hại phải lớn hơn chi phí (tài chính và danh tiếng) thì việc tái đăng ký thành lập mới xảy ra. Thứ ba, lợi ích bản thân của ban quản lý và hiệu quả không phải lúc nào cũng là những khái niệm đối lập.</w:t>
      </w:r>
    </w:p>
    <w:p>
      <w:pPr>
        <w:spacing w:after="80"/>
      </w:pPr>
      <w:r>
        <w:rPr>
          <w:b w:val="0"/>
          <w:i w:val="0"/>
        </w:rPr>
        <w:t>* * *</w:t>
      </w:r>
    </w:p>
    <w:p>
      <w:pPr>
        <w:spacing w:after="80"/>
      </w:pPr>
      <w:r>
        <w:rPr>
          <w:b w:val="0"/>
          <w:i w:val="0"/>
        </w:rPr>
        <w:t>. . . Chỉ những lĩnh vực đủ quan trọng đối với ban quản lý để dẫn đến việc tái đăng ký thành lập mới có thể được giải thích như là sản phẩm của sự cạnh tranh giữa các bang. Ba lĩnh vực dường như có tầm quan trọng tối cao đối với ban quản lý: (1) tối đa hóa tính linh hoạt trong việc ra quyết định (đặc biệt đối với các giao dịch tự trục lợi); (2) giảm thiểu trách nhiệm pháp lý (đặc biệt đối với vi phạm nghĩa vụ ủy thác); và (3) bảo toàn công việc. Hơn nữa, ngay cả những thay đổi trong các lĩnh vực này cũng sẽ không dẫn đến việc tái đăng ký thành lập trừ khi chi phí lớn hơn lợi ích. Có lẽ chỉ một số ít điều khoản sẽ thuộc loại này.</w:t>
      </w:r>
    </w:p>
    <w:p>
      <w:pPr>
        <w:pStyle w:val="Heading5"/>
      </w:pPr>
      <w:r>
        <w:rPr>
          <w:rFonts w:ascii="Calibri" w:hAnsi="Calibri"/>
          <w:b/>
          <w:i/>
          <w:sz w:val="22"/>
        </w:rPr>
        <w:t>Bình luận và Câu hỏi</w:t>
      </w:r>
    </w:p>
    <w:p>
      <w:pPr>
        <w:spacing w:after="80"/>
      </w:pPr>
      <w:r>
        <w:rPr>
          <w:b w:val="0"/>
          <w:i w:val="0"/>
        </w:rPr>
        <w:t xml:space="preserve">1. Cách lý giải luật công ty của tiểu bang như một cuộc đua xuống đáy đã có hình hài hiện đại trong một bài viết của Giáo sư Cary. </w:t>
      </w:r>
      <w:r>
        <w:rPr>
          <w:b w:val="0"/>
          <w:i/>
        </w:rPr>
        <w:t>Xem</w:t>
      </w:r>
      <w:r>
        <w:rPr>
          <w:b w:val="0"/>
          <w:i w:val="0"/>
        </w:rPr>
        <w:t xml:space="preserve"> William L. Cary, </w:t>
      </w:r>
      <w:r>
        <w:rPr>
          <w:b w:val="0"/>
          <w:i/>
        </w:rPr>
        <w:t>Federalism and Corporate Law: Reflections Upon Delaware</w:t>
      </w:r>
      <w:r>
        <w:rPr>
          <w:b w:val="0"/>
          <w:i w:val="0"/>
        </w:rPr>
        <w:t xml:space="preserve"> , 83 Yale L.J. 663, 701 (1974) (“Bước đầu tiên là thoát khỏi tình cảnh hiện tại, nơi một kẻ tí hon trong số 50 tiểu bang [Delaware] đặt ra, giải thích, và thậm chí hạ thấp chính sách công ty quốc gia như một động lực khuyến khích việc thành lập công ty trong biên giới của mình, từ đó gia tăng nguồn thu.”). Những người trước Cary cũng đưa ra lập luận tương tự. </w:t>
      </w:r>
      <w:r>
        <w:rPr>
          <w:b w:val="0"/>
          <w:i/>
        </w:rPr>
        <w:t>Xem Louis K. Liggett v. Lee</w:t>
      </w:r>
      <w:r>
        <w:rPr>
          <w:b w:val="0"/>
          <w:i w:val="0"/>
        </w:rPr>
        <w:t xml:space="preserve"> , 288 U.S. 517, 559 (1933) (Brandeis, J., phản đối một phần) (mô tả sự tiến hóa của luật công ty là quá trình “không phải của sự cần mẫn mà là của sự lỏng lẻo”).</w:t>
      </w:r>
    </w:p>
    <w:p>
      <w:pPr>
        <w:spacing w:after="80"/>
      </w:pPr>
      <w:r>
        <w:rPr>
          <w:b w:val="0"/>
          <w:i w:val="0"/>
        </w:rPr>
        <w:t xml:space="preserve">2. Phân tích cuộc đua lên đỉnh thường được ghi công cho Ralph K. Winter, một giáo sư tại Yale Law School và cựu Chánh án Tòa phúc thẩm Hoa Kỳ cho Vòng thứ hai. </w:t>
      </w:r>
      <w:r>
        <w:rPr>
          <w:b w:val="0"/>
          <w:i/>
        </w:rPr>
        <w:t>Xem</w:t>
      </w:r>
      <w:r>
        <w:rPr>
          <w:b w:val="0"/>
          <w:i w:val="0"/>
        </w:rPr>
        <w:t xml:space="preserve"> Ralph K. Winter, Jr., </w:t>
      </w:r>
      <w:r>
        <w:rPr>
          <w:b w:val="0"/>
          <w:i/>
        </w:rPr>
        <w:t>State Law, Shareholder Protection, and the Theory of the Corporation</w:t>
      </w:r>
      <w:r>
        <w:rPr>
          <w:b w:val="0"/>
          <w:i w:val="0"/>
        </w:rPr>
        <w:t xml:space="preserve"> , 6 J. Legal Stud. 251 (1977). Lý thuyết này đã trở thành một phần cốt lõi của phong trào luật và kinh tế. </w:t>
      </w:r>
      <w:r>
        <w:rPr>
          <w:b w:val="0"/>
          <w:i/>
        </w:rPr>
        <w:t>Xem</w:t>
      </w:r>
      <w:r>
        <w:rPr>
          <w:b w:val="0"/>
          <w:i w:val="0"/>
        </w:rPr>
        <w:t xml:space="preserve"> Reza Dibadj, </w:t>
      </w:r>
      <w:r>
        <w:rPr>
          <w:b w:val="0"/>
          <w:i/>
        </w:rPr>
        <w:t>Delaying Corporate Law</w:t>
      </w:r>
      <w:r>
        <w:rPr>
          <w:b w:val="0"/>
          <w:i w:val="0"/>
        </w:rPr>
        <w:t xml:space="preserve"> , 34 Hofstra L. Rev. 469, 476–77(Winter 2005) (“Tuy nhiên, đào sâu hơn một chút sẽ thấy rằng nền tảng trí tuệ của cách tiếp cận như vậy có thể được tìm thấy trong tài liệu luật và kinh tế có ảnh hưởng, vốn ca ngợi các đức tính của hợp đồng tư nhân; cụ thể hơn, là lập trường chống quy định đặc trưng của Trường Chicago.”).</w:t>
      </w:r>
    </w:p>
    <w:p>
      <w:pPr>
        <w:spacing w:after="80"/>
      </w:pPr>
      <w:r>
        <w:rPr>
          <w:b w:val="0"/>
          <w:i w:val="0"/>
        </w:rPr>
        <w:t>3. Một số người phản đối rằng thực sự có một “cuộc đua” hay không, cho rằng không có tiểu bang nào khác ngoài Delaware thực sự tìm cách thu hút các công ty. Dù đúng hay không, thì ít nhất trong lịch sử nó từng là một “cuộc đua”, với nhiều tiểu bang khác nhau cạnh tranh để thu hút việc thành lập công ty. Massachusetts là tiểu bang đầu tiên bãi bỏ các hạn chế về quy mô và thời hạn tồn tại của một công ty, khuyến khích các doanh nghiệp lớn hơn thành lập công ty tại đó. Trong một thời gian, New Jersey đã có vai trò tích cực trong cuộc đua. Vào đầu thế kỷ 20, Delaware đã nắm quyền dẫn đầu và duy trì nó kể từ đó.</w:t>
      </w:r>
    </w:p>
    <w:p>
      <w:pPr>
        <w:spacing w:after="80"/>
      </w:pPr>
      <w:r>
        <w:rPr>
          <w:b w:val="0"/>
          <w:i w:val="0"/>
        </w:rPr>
        <w:t>4. Một công ty có thể chọn luật của một tiểu bang cụ thể bằng cách thành lập công ty tại đó. Tuy nhiên, trong chừng mực luật trở nên thuận lợi hơn ở nơi khác, liệu một công ty có thể thay đổi tiểu bang thành lập không? Điều này có thể xảy ra như thế nào? Trong chừng mực cách tiếp cận đòi hỏi sự chấp thuận của cổ đông, chẳng phải cổ đông có quyền ngăn công ty tham gia vào một cuộc đua xuống đáy sao?</w:t>
      </w:r>
    </w:p>
    <w:p>
      <w:pPr>
        <w:spacing w:after="80"/>
      </w:pPr>
      <w:r>
        <w:rPr>
          <w:b w:val="0"/>
          <w:i w:val="0"/>
        </w:rPr>
        <w:t xml:space="preserve">5. Ngay cả khi sự tiến hóa của luật có thể được giải thích tốt hơn bằng lợi ích cá nhân của ban quản lý, điều này không tự động mâu thuẫn với tính hiệu quả. Vào những ngày đầu của thế kỷ trước, sự cạnh tranh giữa các tiểu bang đã dẫn đến việc loại bỏ những hạn chế không cần thiết về quy mô và thời hạn tồn tại của công ty. </w:t>
      </w:r>
      <w:r>
        <w:rPr>
          <w:b w:val="0"/>
          <w:i/>
        </w:rPr>
        <w:t>Xem Louis K. Liggett Co. v. Lee</w:t>
      </w:r>
      <w:r>
        <w:rPr>
          <w:b w:val="0"/>
          <w:i w:val="0"/>
        </w:rPr>
        <w:t xml:space="preserve"> , 288 U.S. 517, 541 (1933) (Brandeis, J., phản đối) (lưu ý trong số những điều khác rằng các giới hạn về số vốn được phép, dù từng là “phổ biến”, thì đến thập niên 1920 phần lớn đã bị loại bỏ).</w:t>
      </w:r>
    </w:p>
    <w:p>
      <w:pPr>
        <w:spacing w:after="80"/>
      </w:pPr>
      <w:r>
        <w:rPr>
          <w:b w:val="0"/>
          <w:i w:val="0"/>
        </w:rPr>
        <w:t>6. Một số ví dụ về các điều khoản có thể khiến ban quản lý tái thành lập công ty tại Delaware là gì? Trên thực tế, sau khi Luật Công ty chung Delaware được sửa đổi vào năm 1986 để cho phép các công ty từ bỏ trách nhiệm tiền tệ đối với việc vi phạm nghĩa vụ cẩn trọng của giám đốc, một số công ty đã chuyển đến tiểu bang này. Ngày nay, cả 50 tiểu bang đều có các điều khoản được thiết kế để cho phép các công ty giảm rủi ro trách nhiệm pháp lý đối với giám đốc khi vi phạm nghĩa vụ cẩn trọng. Điều này gợi ý gì về tầm quan trọng của các điều khoản trách nhiệm pháp lý trong quyết định của hội đồng quản trị liên quan đến địa điểm thành lập công ty?</w:t>
      </w:r>
    </w:p>
    <w:p>
      <w:pPr>
        <w:spacing w:after="80"/>
      </w:pPr>
      <w:r>
        <w:rPr>
          <w:b w:val="0"/>
          <w:i w:val="0"/>
        </w:rPr>
        <w:t xml:space="preserve">7. Delaware cho phép ban quản lý của một công ty mục tiêu sử dụng rộng rãi các chiến thuật chống thâu tóm, đặc biệt là thuốc độc (poison pills). Điều này khớp thế nào với cách lý giải luật tiểu bang như một cuộc đua lên đỉnh? Như Giáo sư McDonnell đã lưu ý: “Vì cơ chế thâu tóm thù địch là một trong những ràng buộc thị trường chính đối với các nhà quản lý, nếu các nhà quản lý có thể lợi dụng các luật cho phép họ tránh bị thâu tóm, thì phần lớn kỷ luật thị trường đối với các nhà quản lý sẽ biến mất.” Brett H. McDonnell, </w:t>
      </w:r>
      <w:r>
        <w:rPr>
          <w:b w:val="0"/>
          <w:i/>
        </w:rPr>
        <w:t>Getting Stuck Between Bottom and Top: State Competition for Corporate Charters in the Presence of Network Effects</w:t>
      </w:r>
      <w:r>
        <w:rPr>
          <w:b w:val="0"/>
          <w:i w:val="0"/>
        </w:rPr>
        <w:t xml:space="preserve"> , 31 Hofstra L. Rev. 681, 695 (Spring 2003). Bạn có đồng ý không?</w:t>
      </w:r>
    </w:p>
    <w:p>
      <w:pPr>
        <w:spacing w:after="80"/>
      </w:pPr>
      <w:r>
        <w:rPr>
          <w:b w:val="0"/>
          <w:i w:val="0"/>
        </w:rPr>
        <w:t>8. Về mặt khái niệm, khá dễ để hình dung một cơ quan lập pháp sẵn sàng sửa đổi luật của mình để thu hút các công ty vào tiểu bang và dòng thu nhập thu được. Tuy nhiên, điều tương tự không đúng với các tòa án. Nhưng một phần lợi thế của Delaware là hệ thống tòa án có thể liên tục làm rõ luật theo cách mà ban quản lý ưa thích. Làm sao điều đó có thể xảy ra? Các thẩm phán được chọn vào Chancery Court, tòa sơ thẩm xét xử những vụ án này, như thế nào? Các thẩm phán được chọn vào Tòa án Tối cao Delaware, tòa giám sát Chancery Court, như thế nào? Những người phục vụ tại Tòa án Tối cao thường đã từng học việc tại Chancery Court trước đó. Điều này có thể ảnh hưởng thế nào đến tính dự đoán được của các thẩm phán tại Tòa án Tối cao?</w:t>
      </w:r>
    </w:p>
    <w:p>
      <w:pPr>
        <w:spacing w:after="80"/>
      </w:pPr>
      <w:r>
        <w:rPr>
          <w:b w:val="0"/>
          <w:i w:val="0"/>
        </w:rPr>
        <w:t>—————</w:t>
      </w:r>
    </w:p>
    <w:p>
      <w:pPr>
        <w:spacing w:after="80"/>
      </w:pPr>
      <w:r>
        <w:rPr>
          <w:b w:val="0"/>
          <w:i w:val="0"/>
        </w:rPr>
        <w:t xml:space="preserve">Cuộc đua diễn ra trong thực tế như thế nào? Một ví dụ về việc một tiểu bang phản ứng theo cách sẽ khiến các công ty chuyển đến tiểu bang đó là gì? Sự phát triển của các điều khoản từ bỏ trách nhiệm pháp lý sau phán quyết của Tòa án Tối cao Delaware trong vụ </w:t>
      </w:r>
      <w:r>
        <w:rPr>
          <w:b w:val="0"/>
          <w:i/>
        </w:rPr>
        <w:t>Van Gorkom</w:t>
      </w:r>
      <w:r>
        <w:rPr>
          <w:b w:val="0"/>
          <w:i w:val="0"/>
        </w:rPr>
        <w:t xml:space="preserve"> là một ví dụ.</w:t>
      </w:r>
    </w:p>
    <w:p>
      <w:pPr>
        <w:pStyle w:val="Heading4"/>
      </w:pPr>
      <w:r>
        <w:rPr>
          <w:rFonts w:ascii="Calibri" w:hAnsi="Calibri"/>
          <w:b/>
          <w:i w:val="0"/>
          <w:sz w:val="23"/>
        </w:rPr>
        <w:t>J. Robert Brown, Jr. &amp; Sandeep Gopalan,</w:t>
      </w:r>
      <w:r>
        <w:br/>
      </w:r>
      <w:r>
        <w:rPr>
          <w:rFonts w:ascii="Calibri" w:hAnsi="Calibri"/>
          <w:b/>
          <w:i w:val="0"/>
          <w:sz w:val="23"/>
        </w:rPr>
        <w:t xml:space="preserve"> </w:t>
      </w:r>
      <w:r>
        <w:rPr>
          <w:rFonts w:ascii="Calibri" w:hAnsi="Calibri"/>
          <w:b/>
          <w:i/>
          <w:sz w:val="23"/>
        </w:rPr>
        <w:t>Opting Only In: Contractarians, Waiver of Liability</w:t>
      </w:r>
      <w:r>
        <w:br/>
      </w:r>
      <w:r>
        <w:rPr>
          <w:rFonts w:ascii="Calibri" w:hAnsi="Calibri"/>
          <w:b/>
          <w:i/>
          <w:sz w:val="23"/>
        </w:rPr>
        <w:t xml:space="preserve"> Provisions, and the Race to the Bottom</w:t>
      </w:r>
    </w:p>
    <w:p>
      <w:pPr>
        <w:spacing w:after="80"/>
      </w:pPr>
      <w:r>
        <w:rPr>
          <w:b w:val="0"/>
          <w:i w:val="0"/>
        </w:rPr>
        <w:t>42 Ind. L. Rev. 285 (2009)</w:t>
      </w:r>
    </w:p>
    <w:p>
      <w:pPr>
        <w:spacing w:after="80"/>
      </w:pPr>
      <w:r>
        <w:rPr>
          <w:b w:val="0"/>
          <w:i w:val="0"/>
        </w:rPr>
        <w:t>Trường phái học thuật theo chủ nghĩa hợp đồng trong luật công ty coi công ty như một mạng lưới các hợp đồng, phân bổ quyền và nghĩa vụ cho các nhóm lợi ích khác nhau tạo nên thực thể pháp lý hư cấu là doanh nghiệp. Nó tránh cách tiếp cận quy định “một cỡ vừa cho tất cả” và thay vào đó ủng hộ việc sử dụng các điều khoản cho phép để công ty có thể chọn tham gia hoặc không tham gia. Khác với các quy tắc tuyệt đối do nhà nước áp đặt, các chủ thể thị trường có thể thực hiện việc sắp xếp tư nhân và thương lượng để đạt được những thỏa thuận hiệu quả nhất. Những người theo chủ nghĩa hợp đồng lập luận rằng nhà nước không có lợi thế nào so với các chủ thể thị trường trong việc tạo ra các luật chơi. Trong chừng mực nhà nước quy định các quy tắc bắt buộc, chúng có khả năng đi kèm với những chi phí đáng kể mà lẽ ra có thể tránh được nếu các bên được phép tự thiết kế quy tắc của mình.</w:t>
      </w:r>
    </w:p>
    <w:p>
      <w:pPr>
        <w:spacing w:after="80"/>
      </w:pPr>
      <w:r>
        <w:rPr>
          <w:b w:val="0"/>
          <w:i w:val="0"/>
        </w:rPr>
        <w:t>Dù quan điểm được diễn đạt chính xác thế nào, thì cuối cùng những người theo chủ nghĩa hợp đồng đặt niềm tin gần như thần bí vào việc sắp xếp tư nhân và vào thị trường như trọng tài cuối cùng của tính hiệu quả. Dù việc sắp xếp tư nhân sẽ không tất yếu dẫn đến hiệu quả cao hơn, nhưng có thể tin tưởng rằng thị trường sẽ loại bỏ những gì kém hiệu quả. Ngược lại, những sự kém hiệu quả phát sinh từ các quy tắc tuyệt đối không dễ được điều chỉnh bằng cùng cơ chế đó.</w:t>
      </w:r>
    </w:p>
    <w:p>
      <w:pPr>
        <w:spacing w:after="80"/>
      </w:pPr>
      <w:r>
        <w:rPr>
          <w:b w:val="0"/>
          <w:i w:val="0"/>
        </w:rPr>
        <w:t>Như một hệ quả của cách tiếp cận này, những người theo chủ nghĩa hợp đồng mô tả sự tiến hóa của luật công ty như một cuộc đua lên đỉnh. Theo luật tiểu bang, các quy tắc tuyệt đối dần dần được thay thế bằng các điều khoản cho phép, đôi khi bằng cách chuyển quyền từ cổ đông sang hội đồng quản trị, và đôi khi thông qua các cơ chế chấp thuận của cổ đông và hội đồng quản trị. Do đó, hệ thống cho phép các công ty chọn tham gia hoặc không tham gia vào những chế độ pháp lý cụ thể, giải phóng các nhà quản lý để thương lượng và tham gia vào những thỏa thuận hiệu quả nhất.</w:t>
      </w:r>
    </w:p>
    <w:p>
      <w:pPr>
        <w:spacing w:after="80"/>
      </w:pPr>
      <w:r>
        <w:rPr>
          <w:b w:val="0"/>
          <w:i w:val="0"/>
        </w:rPr>
        <w:t>Bài viết này xem xét một khía cạnh của cách tiếp cận theo chủ nghĩa hợp đồng đối với luật công ty. Cách tiếp cận này giả định rằng cổ đông có khả năng nào đó để “thương lượng” với ban quản lý nhằm đạt được các thỏa thuận vì lợi ích tập thể tốt nhất của cả hai nhóm. Có lẽ, cơ chế để khẳng định những lợi ích này trong nhiều trường hợp là khả năng bỏ phiếu thuận hoặc chống lại một quyết định của ban quản lý. Điều này có thể xảy ra, ví dụ, khi ban quản lý có thể chọn tham gia hoặc không tham gia một chế độ quy định thông qua việc sửa đổi điều lệ công ty. Việc cần có sự chấp thuận của cổ đông sẽ khiến một số công ty không tìm kiếm quyền chọn tham gia hoặc không tham gia, và khiến những công ty khác giới hạn các điều khoản của chế độ chọn tham gia hoặc không tham gia để thu hút đủ sự ủng hộ. Nói cách khác, chế độ này sẽ phản ánh sự “thương lượng” giữa cổ đông và ban quản lý với mục tiêu đạt được mối quan hệ hiệu quả nhất. Nếu thực sự có một số thương lượng diễn ra giữa các lợi ích cạnh tranh, thì người ta sẽ kỳ vọng có một mức độ khác biệt nào đó trong thực tế.</w:t>
      </w:r>
    </w:p>
    <w:p>
      <w:pPr>
        <w:spacing w:after="80"/>
      </w:pPr>
      <w:r>
        <w:rPr>
          <w:b w:val="0"/>
          <w:i w:val="0"/>
        </w:rPr>
        <w:t>Trong khi thương lượng giữa các lợi ích cạnh tranh nhau là điều hợp lý trên lý thuyết, thì trên thực tế, việc ban quản lý chi phối quy trình phê duyệt cùng những vấn đề nghiêm trọng về hành động tập thể mà các cổ đông phải đối mặt khiến điều đó gần như bất khả thi. Kết quả là, quá trình ban quản lý đệ trình các vấn đề lên cổ đông không thể được mô tả chính xác như một cuộc thương lượng theo bất kỳ nghĩa có ý nghĩa nào của thuật ngữ này. Chính ban quản lý là bên soạn thảo đề xuất, ban quản lý là bên có thẩm quyền khởi xướng đề xuất, ban quản lý là bên quyết định thời điểm thuận lợi nhất để đưa ra đề xuất, và ban quản lý là bên nắm quỹ tiền của công ty để đảm bảo đề xuất được thông qua. Hơn nữa, một khi đã được thông qua, cổ đông thường không có thẩm quyền khởi xướng việc bãi bỏ. Hậu quả thật rõ ràng: một khi ban quản lý đạt được sự thông qua, điều khoản đó vẫn tồn tại, bất kể mong muốn của cổ đông, cho đến khi ban quản lý quyết định khởi xướng thay đổi.</w:t>
      </w:r>
    </w:p>
    <w:p>
      <w:pPr>
        <w:spacing w:after="80"/>
      </w:pPr>
      <w:r>
        <w:rPr>
          <w:b w:val="0"/>
          <w:i w:val="0"/>
        </w:rPr>
        <w:t>Bài viết này xem xét liệu tuyên bố cốt lõi của những người theo thuyết hợp đồng (contractarians)—rằng việc sắp xếp tư nhân như một quá trình thương lượng tạo ra các quy tắc tối ưu—có được chứng minh bằng bằng chứng thực nghiệm trong bối cảnh các điều khoản miễn trừ trách nhiệm hay không. Những điều khoản này cho phép các công ty loại bỏ khoản bồi thường thiệt hại bằng tiền đối với hành vi vi phạm nghĩa vụ cẩn trọng (duty of care) thông qua việc sửa đổi điều lệ công ty (articles of incorporation). Với việc tất cả các bang đều cho phép một hình thức nào đó của những điều khoản này, chúng tạo thành một phòng thí nghiệm tốt để xem xét quá trình thương lượng giữa ban quản lý và cổ đông.</w:t>
      </w:r>
    </w:p>
    <w:p>
      <w:pPr>
        <w:spacing w:after="80"/>
      </w:pPr>
      <w:r>
        <w:rPr>
          <w:b w:val="0"/>
          <w:i w:val="0"/>
        </w:rPr>
        <w:t>Việc chọn các điều khoản miễn trừ trách nhiệm để nghiên cứu là đặc biệt phù hợp vì chúng thể hiện rõ cách tiếp cận theo thuyết hợp đồng đối với việc điều tiết. Chúng là phản ứng trước những vấn đề được cho là do cách tiếp cận bắt buộc tạo ra và cho phép các công ty chọn không tham gia một chế độ áp đặt trách nhiệm lên các nhà quản lý khi vi phạm nghĩa vụ cẩn trọng. Hơn nữa, với tư cách là các sửa đổi điều lệ, chúng đòi hỏi sự đồng thuận của cả nhà quản lý lẫn chủ sở hữu. Do đó, kết quả được cho là đến từ các cuộc đàm phán giữa hai nhóm này và đáng lẽ phải là một ví dụ điển hình của việc sắp xếp tư nhân bằng hợp đồng.</w:t>
      </w:r>
    </w:p>
    <w:p>
      <w:pPr>
        <w:spacing w:after="80"/>
      </w:pPr>
      <w:r>
        <w:rPr>
          <w:b w:val="0"/>
          <w:i w:val="0"/>
        </w:rPr>
        <w:t>Nếu một quá trình thương lượng thực sự đang diễn ra như những người theo thuyết hợp đồng khẳng định, thì quá trình chọn tham gia (opt-in) đối với các điều khoản miễn trừ trách nhiệm đáng lẽ phải tạo ra nhiều cách tiếp cận đa dạng. Các cổ đông muốn mức độ trách nhiệm giải trình cao hẳn sẽ không ủng hộ việc miễn trừ bồi thường thiệt hại. Trong những trường hợp khác, cổ đông có thể ủng hộ chúng để thu hút hoặc giữ chân các nhà quản lý có năng lực. Lại có những cổ đông khác hẳn sẽ muốn một sự kết hợp, chỉ cho phép miễn trừ trong những tình huống được chỉ định cụ thể.</w:t>
      </w:r>
    </w:p>
    <w:p>
      <w:pPr>
        <w:spacing w:after="80"/>
      </w:pPr>
      <w:r>
        <w:rPr>
          <w:b w:val="0"/>
          <w:i w:val="0"/>
        </w:rPr>
        <w:t>Trên thực tế, như phân tích cho thấy, không có sự đa dạng nào được dự đoán bởi mô hình sắp xếp tư nhân xuất hiện liên quan đến các điều khoản miễn trừ trách nhiệm. Chúng được mọi bang cho phép và được sử dụng bởi tất cả trừ một công ty trong danh sách Fortune 100. Hơn nữa, chúng giống nhau một cách đáng kinh ngạc về hiệu lực, miễn trừ trách nhiệm ở mức tối đa mà pháp luật cho phép. Nói cách khác, một quy tắc tuyệt đối chỉ đơn thuần được thay thế bằng một quy tắc tuyệt đối khác, không có bằng chứng nào cho thấy việc miễn trừ trách nhiệm tuyệt đối hiệu quả hơn bất kỳ quy tắc tuyệt đối nào áp đặt trách nhiệm. Đồng thời, sự thay đổi này mang lại lợi ích cho ban quản lý, cho thấy động cơ không phải là hiệu quả mà là tư lợi của một trong các nhóm liên quan. Hơn nữa, dù người ta có nghĩ gì về lợi ích của việc sắp xếp tư nhân và thương lượng, bằng chứng cho thấy điều đó không diễn ra trong bối cảnh miễn trừ trách nhiệm.</w:t>
      </w:r>
    </w:p>
    <w:p>
      <w:pPr>
        <w:pStyle w:val="Heading5"/>
      </w:pPr>
      <w:r>
        <w:rPr>
          <w:rFonts w:ascii="Calibri" w:hAnsi="Calibri"/>
          <w:b/>
          <w:i/>
          <w:sz w:val="22"/>
        </w:rPr>
        <w:t>Bình luận và Câu hỏi</w:t>
      </w:r>
    </w:p>
    <w:p>
      <w:pPr>
        <w:spacing w:after="80"/>
      </w:pPr>
      <w:r>
        <w:rPr>
          <w:b w:val="0"/>
          <w:i w:val="0"/>
        </w:rPr>
        <w:t>1. Trong số các công ty lớn được nghiên cứu, chỉ có một công ty không có điều khoản miễn trừ trách nhiệm: Pepsi.</w:t>
      </w:r>
    </w:p>
    <w:p>
      <w:pPr>
        <w:spacing w:after="80"/>
      </w:pPr>
      <w:r>
        <w:rPr>
          <w:b w:val="0"/>
          <w:i w:val="0"/>
        </w:rPr>
        <w:t>2. Liệu lịch sử của Mục 102(b)(7) và mô hình ở các bang khác ủng hộ mạnh hơn cho cuộc đua lên đỉnh hay cuộc đua xuống đáy? Hãy lập luận cho từng quan điểm.</w:t>
      </w:r>
    </w:p>
    <w:p>
      <w:pPr>
        <w:spacing w:after="80"/>
      </w:pPr>
      <w:r>
        <w:rPr>
          <w:b w:val="0"/>
          <w:i w:val="0"/>
        </w:rPr>
        <w:t>3. Khi được yêu cầu phê duyệt các điều khoản miễn trừ trách nhiệm, cổ đông thường thông qua chúng với sự ủng hộ áp đảo. Bạn nghĩ tại sao lại như vậy? Lẽ ra cổ đông không nên phản đối một đề xuất được thiết kế để tước đi khoản bồi thường của họ trong trường hợp vi phạm nghĩa vụ cẩn trọng hay sao?</w:t>
      </w:r>
    </w:p>
    <w:p>
      <w:pPr>
        <w:spacing w:after="80"/>
      </w:pPr>
      <w:r>
        <w:rPr>
          <w:b w:val="0"/>
          <w:i w:val="0"/>
        </w:rPr>
        <w:t>4. Với tính chất đồng nhất của những điều khoản này, liệu có chính xác khi mô tả các điều khoản miễn trừ trách nhiệm như một quy tắc mặc định (default rule) không? Nếu cổ đông muốn loại bỏ điều khoản đó thì sao? Liệu họ có thể làm được điều đó không?</w:t>
      </w:r>
    </w:p>
    <w:p>
      <w:pPr>
        <w:spacing w:after="80"/>
      </w:pPr>
      <w:r>
        <w:rPr>
          <w:b w:val="0"/>
          <w:i w:val="0"/>
        </w:rPr>
        <w:t xml:space="preserve">5. Ngôn ngữ của Mục 102(b)(7) đã bị chỉ trích là thiếu chính xác. Ví dụ, nó loại trừ các hành vi vi phạm nghĩa vụ trung thành (duty of loyalty) mà không định nghĩa thuật ngữ này. Hơn nữa, điều khoản này loại trừ cả những vi phạm về thiện chí (good faith) lẫn nghĩa vụ trung thành. Tuy nhiên, các tòa án Delaware đã định nghĩa những vi phạm về thiện chí là vi phạm nghĩa vụ trung thành. </w:t>
      </w:r>
      <w:r>
        <w:rPr>
          <w:b w:val="0"/>
          <w:i/>
        </w:rPr>
        <w:t>Xem Stone v. Ritter</w:t>
      </w:r>
      <w:r>
        <w:rPr>
          <w:b w:val="0"/>
          <w:i w:val="0"/>
        </w:rPr>
        <w:t xml:space="preserve"> , 911 A.2d 362, 370 (Del. 2006). Điều khoản miễn trừ trách nhiệm trong Đạo luật Công ty Kinh doanh Mẫu (Model Business Corporation Act) mở rộng đến, trong số những thứ khác, “số tiền lợi ích tài chính mà một giám đốc nhận được mà người đó không được hưởng” và “việc cố ý gây tổn hại cho công ty hoặc các cổ đông. . . .” Một số khác biệt có thể có về phạm vi bao phủ giữa hai điều khoản này là gì?</w:t>
      </w:r>
    </w:p>
    <w:p>
      <w:pPr>
        <w:spacing w:after="80"/>
      </w:pPr>
      <w:r>
        <w:rPr>
          <w:b w:val="0"/>
          <w:i w:val="0"/>
        </w:rPr>
        <w:t xml:space="preserve">6. Dù là cuộc đua xuống đáy hay cuộc đua lên đỉnh, Mục 102(b)(7) đã có tác động đáng kể đến thị trường điều lệ công ty (corporate charters). Một khi Delaware đưa điều khoản này vào áp dụng, một số lượng đáng kể các công ty đã tái đăng ký thành lập tại bang này. </w:t>
      </w:r>
      <w:r>
        <w:rPr>
          <w:b w:val="0"/>
          <w:i/>
        </w:rPr>
        <w:t>Xem</w:t>
      </w:r>
      <w:r>
        <w:rPr>
          <w:b w:val="0"/>
          <w:i w:val="0"/>
        </w:rPr>
        <w:t xml:space="preserve"> Michael Bradley &amp; Cindy A. Schipani, </w:t>
      </w:r>
      <w:r>
        <w:rPr>
          <w:b w:val="0"/>
          <w:i/>
        </w:rPr>
        <w:t>The Relevance of the Duty of Care Standard in Corporate Governance</w:t>
      </w:r>
      <w:r>
        <w:rPr>
          <w:b w:val="0"/>
          <w:i w:val="0"/>
        </w:rPr>
        <w:t xml:space="preserve"> , 75 Iowa L. Rev. 1, 65 (1989) (“Cho đến nay chúng tôi đã xác định được khoảng 100 công ty đã tái đăng ký thành lập tại Delaware trong khoảng thời gian từ ngày 1 tháng 7 năm 1986 đến tháng 5 năm 1988.”).</w:t>
      </w:r>
    </w:p>
    <w:p>
      <w:pPr>
        <w:pStyle w:val="Heading2"/>
      </w:pPr>
      <w:r>
        <w:rPr>
          <w:rFonts w:ascii="Calibri" w:hAnsi="Calibri"/>
          <w:b/>
          <w:i w:val="0"/>
          <w:sz w:val="32"/>
        </w:rPr>
        <w:t>II. SEC và Quản trị Công ty</w:t>
      </w:r>
    </w:p>
    <w:p>
      <w:pPr>
        <w:pStyle w:val="Heading3"/>
      </w:pPr>
      <w:r>
        <w:rPr>
          <w:rFonts w:ascii="Calibri" w:hAnsi="Calibri"/>
          <w:b/>
          <w:i w:val="0"/>
          <w:sz w:val="26"/>
        </w:rPr>
        <w:t>A. Đôi nét Lịch sử</w:t>
      </w:r>
    </w:p>
    <w:p>
      <w:pPr>
        <w:spacing w:after="80"/>
      </w:pPr>
      <w:r>
        <w:rPr>
          <w:b w:val="0"/>
          <w:i w:val="0"/>
        </w:rPr>
        <w:t xml:space="preserve">Là một phần của Đạo luật Giao dịch Chứng khoán năm 1934 (Securities Exchange Act of 1934), Quốc hội đã thành lập Ủy ban Chứng khoán và Giao dịch (Securities and Exchange Commission), một cơ quan độc lập chịu trách nhiệm giám sát các luật chứng khoán liên bang. </w:t>
      </w:r>
      <w:r>
        <w:rPr>
          <w:b w:val="0"/>
          <w:i/>
        </w:rPr>
        <w:t>Xem</w:t>
      </w:r>
      <w:r>
        <w:rPr>
          <w:b w:val="0"/>
          <w:i w:val="0"/>
        </w:rPr>
        <w:t xml:space="preserve"> Mục 4, 15 USC 78d. Trớ trêu thay, sự ra đời của cơ quan này lại có một lý do tiêu cực. Nó được thiết kế để làm suy yếu chế độ giám sát hiện có của chính phủ bằng cách tước bỏ trách nhiệm về các luật chứng khoán khỏi Ủy ban Thương mại Liên bang (Federal Trade Commission).</w:t>
      </w:r>
    </w:p>
    <w:p>
      <w:pPr>
        <w:pStyle w:val="Heading4"/>
      </w:pPr>
      <w:r>
        <w:rPr>
          <w:rFonts w:ascii="Calibri" w:hAnsi="Calibri"/>
          <w:b/>
          <w:i w:val="0"/>
          <w:sz w:val="23"/>
        </w:rPr>
        <w:t xml:space="preserve">Bevis Longstreth, </w:t>
      </w:r>
      <w:r>
        <w:rPr>
          <w:rFonts w:ascii="Calibri" w:hAnsi="Calibri"/>
          <w:b/>
          <w:i/>
          <w:sz w:val="23"/>
        </w:rPr>
        <w:t>Book Review: The SEC after Fifty Years:</w:t>
      </w:r>
      <w:r>
        <w:br/>
      </w:r>
      <w:r>
        <w:rPr>
          <w:rFonts w:ascii="Calibri" w:hAnsi="Calibri"/>
          <w:b/>
          <w:i/>
          <w:sz w:val="23"/>
        </w:rPr>
        <w:t xml:space="preserve"> An Assessment of Its Past and Future</w:t>
      </w:r>
    </w:p>
    <w:p>
      <w:pPr>
        <w:spacing w:after="80"/>
      </w:pPr>
      <w:r>
        <w:rPr>
          <w:b w:val="0"/>
          <w:i w:val="0"/>
        </w:rPr>
        <w:t>83 Colum. L. Rev. 1593, 1594–95, 1597–98 (1983)</w:t>
      </w:r>
    </w:p>
    <w:p>
      <w:pPr>
        <w:spacing w:after="80"/>
      </w:pPr>
      <w:r>
        <w:rPr>
          <w:b w:val="0"/>
          <w:i w:val="0"/>
        </w:rPr>
        <w:t>Theo tác giả, sự ra đời của SEC là “một sự tình cờ.” Nó phần lớn bắt nguồn từ nỗi lo sợ của Thượng nghị sĩ Carter Glass và những người phản đối Đạo luật Giao dịch Chứng khoán rằng cơ quan hiển nhiên phải quản lý luật này — Ủy ban Thương mại Liên bang — đã nằm quá nhiều dưới sự kiểm soát của các nhà cải cách thuộc New Deal. Đứng đầu trong nhóm cải cách này là James Landis, người được bổ nhiệm vào FTC năm 1933. Giới lãnh đạo Sở Giao dịch tin rằng khuynh hướng ủng hộ quản lý của cơ quan đó cùng đội ngũ nhân sự chất lượng cao của nó tạo ra những mối nguy không thể chấp nhận được. Động lực thúc đẩy thành lập một cơ quan mới rõ ràng một phần xuất phát từ hy vọng (hóa ra là vô ích) rằng SEC sẽ tỏ ra kém hiệu quả hơn. Dù có thể nói rằng, như Giáo sư Seligman gợi ý, hiệu quả của SEC qua nhiều năm là sản phẩm của phạm vi thẩm quyền hẹp của nó, thì sự ra đời và điều lệ của nó không phải là sản phẩm của một thiết kế thống nhất mà là một hỗn hợp được tạo nên bởi thỏa hiệp chính trị. Trớ trêu thay, nhà cải cách New Deal Landis lại trở thành chủ tịch thứ hai của SEC, được Roosevelt bổ nhiệm năm 1935.</w:t>
      </w:r>
    </w:p>
    <w:p>
      <w:pPr>
        <w:spacing w:after="80"/>
      </w:pPr>
      <w:r>
        <w:rPr>
          <w:b w:val="0"/>
          <w:i w:val="0"/>
        </w:rPr>
        <w:t>Theo Giáo sư Seligman, chính nhờ sự khăng khăng đòi hỏi sự xuất sắc chuyên môn của Landis mà đội ngũ SEC đã phát triển “tinh thần đồng đội, những tiêu chuẩn chất lượng cao bền vững, sức hấp dẫn đối với các luật sư tài năng”. Tất nhiên, cha đẻ của luật hành chính, Felix Frankfurter, trước đó đã nhận ra nhu cầu về những nhà quản lý chuyên gia có trình độ cao. Năm 1934, ông viết: “Có những điều chúng ta không thể tiếp tục chịu đựng được nữa . . . Trên hết, chúng ta không thể tiếp tục chịu đựng việc thiếu một đội ngũ nhân sự chính phủ được đào tạo bài bản, vô tư”. Và như Ferdinand Pecora đã nhấn mạnh với Tổng thống Roosevelt vào ngày ông ký Đạo luật Chứng khoán năm 1933 thành luật, “[đ]ó sẽ là một luật tốt hay xấu tùy thuộc vào những người thi hành nó.”</w:t>
      </w:r>
    </w:p>
    <w:p>
      <w:pPr>
        <w:spacing w:after="80"/>
      </w:pPr>
      <w:r>
        <w:rPr>
          <w:b w:val="0"/>
          <w:i w:val="0"/>
        </w:rPr>
        <w:t>* * *</w:t>
      </w:r>
    </w:p>
    <w:p>
      <w:pPr>
        <w:spacing w:after="80"/>
      </w:pPr>
      <w:r>
        <w:rPr>
          <w:b w:val="0"/>
          <w:i w:val="0"/>
        </w:rPr>
        <w:t>Trong suốt lịch sử của mình, Ủy ban đã hiểu rằng, thứ nhất, ngay cả đối với một cái gọi là “cơ quan quản lý độc lập,” chính trị vẫn đóng một vai trò quan trọng trong việc quản lý và, thứ hai, chính trị là nghệ thuật của những gì khả thi. Người ta phải cẩn trọng kẻo giải pháp tốt nhất hay tốt hơn lại trở thành kẻ thù của giải pháp tốt.</w:t>
      </w:r>
    </w:p>
    <w:p>
      <w:pPr>
        <w:spacing w:after="80"/>
      </w:pPr>
      <w:r>
        <w:rPr>
          <w:b w:val="0"/>
          <w:i w:val="0"/>
        </w:rPr>
        <w:t>Lịch sử lập pháp về chứng khoán cho thấy một khuôn mẫu nhất quán. Để một đạo luật được thông qua, cần có một cuộc khủng hoảng, một vụ bê bối hoặc một sự kiện kịch tính khác để mở ra một “cửa sổ cơ hội,” qua đó Ủy ban hoặc những người ủng hộ cải cách khác có thể thúc đẩy Quốc hội hành động. Giáo sư Seligman trích dẫn William O. Douglas về điểm này: “Quyền lực chính trị và kinh tế hiếm khi tách rời nhau, và khi chúng tách rời, bạn phải hành động nhanh chóng” . . .</w:t>
      </w:r>
    </w:p>
    <w:p>
      <w:pPr>
        <w:pStyle w:val="Heading5"/>
      </w:pPr>
      <w:r>
        <w:rPr>
          <w:rFonts w:ascii="Calibri" w:hAnsi="Calibri"/>
          <w:b/>
          <w:i/>
          <w:sz w:val="22"/>
        </w:rPr>
        <w:t>Bình luận và Câu hỏi</w:t>
      </w:r>
    </w:p>
    <w:p>
      <w:pPr>
        <w:spacing w:after="80"/>
      </w:pPr>
      <w:r>
        <w:rPr>
          <w:b w:val="0"/>
          <w:i w:val="0"/>
        </w:rPr>
        <w:t>1. Có một sự trớ trêu nhất định khi việc thành lập Ủy ban Chứng khoán và Giao dịch được thiết kế để làm suy yếu chứ không phải tăng cường việc thực thi pháp luật về chứng khoán. Nhìn chung, liệu vị trí giám sát chứng khoán (nằm trong FTC hay trong một thực thể riêng biệt) có khả năng tạo ra khác biệt gì không?</w:t>
      </w:r>
    </w:p>
    <w:p>
      <w:pPr>
        <w:spacing w:after="80"/>
      </w:pPr>
      <w:r>
        <w:rPr>
          <w:b w:val="0"/>
          <w:i w:val="0"/>
        </w:rPr>
        <w:t>2. Cải cách thị trường chứng khoán là một ưu tiên cao trong chính quyền Roosevelt. Đạo luật đầu tiên trong số các luật về chứng khoán, Đạo luật Chứng khoán năm 1933, được thông qua trong 100 ngày đầu tiên Roosevelt tại nhiệm, một dấu hiệu cho thấy mức độ ưu tiên trong chương trình nghị sự của ông.</w:t>
      </w:r>
    </w:p>
    <w:p>
      <w:pPr>
        <w:spacing w:after="80"/>
      </w:pPr>
      <w:r>
        <w:rPr>
          <w:b w:val="0"/>
          <w:i w:val="0"/>
        </w:rPr>
        <w:t xml:space="preserve">3. Joseph Kennedy là chủ tịch đầu tiên của Ủy ban. Kennedy được mô tả là “một doanh nhân thành đạt nổi tiếng . . .” John C. Coates IV, </w:t>
      </w:r>
      <w:r>
        <w:rPr>
          <w:b w:val="0"/>
          <w:i/>
        </w:rPr>
        <w:t>Private vs. Political Choice of Securities Regulation: A Political Cost/Benefit Analysis</w:t>
      </w:r>
      <w:r>
        <w:rPr>
          <w:b w:val="0"/>
          <w:i w:val="0"/>
        </w:rPr>
        <w:t xml:space="preserve"> , 41 Va. J. Int'l L. 531, 563 (2001). Tổng thống Roosevelt có thể đã nghĩ gì khi đưa ra quyết định bổ nhiệm này?</w:t>
      </w:r>
    </w:p>
    <w:p>
      <w:pPr>
        <w:spacing w:after="80"/>
      </w:pPr>
      <w:r>
        <w:rPr>
          <w:b w:val="0"/>
          <w:i w:val="0"/>
        </w:rPr>
        <w:t xml:space="preserve">4. Chủ tịch Ủy ban ban đầu do chính Ủy ban lựa chọn. Chủ tịch thứ ba là William O. Douglas, người sau này gia nhập Tòa án Tối cao. Quyền hạn này được chuyển giao cho Tổng thống vào năm 1950. </w:t>
      </w:r>
      <w:r>
        <w:rPr>
          <w:b w:val="0"/>
          <w:i/>
        </w:rPr>
        <w:t>Xem</w:t>
      </w:r>
      <w:r>
        <w:rPr>
          <w:b w:val="0"/>
          <w:i w:val="0"/>
        </w:rPr>
        <w:t xml:space="preserve"> Reorganization Plan No. 10 of 1950. Mô hình này có thể mang lại những điểm mạnh và điểm yếu gì? Điều gì xảy ra nếu không có ghế trống nào trong Ủy ban khi một Tổng thống được bầu? Trên thực tế, tại sao điều đó khó có thể xảy ra?</w:t>
      </w:r>
    </w:p>
    <w:p>
      <w:pPr>
        <w:spacing w:after="80"/>
      </w:pPr>
      <w:r>
        <w:rPr>
          <w:b w:val="0"/>
          <w:i w:val="0"/>
        </w:rPr>
        <w:t>5. Đội ngũ nhân sự tại Ủy ban theo truyền thống có tinh thần đồng đội mạnh mẽ, ngay cả sau khi rời cơ quan. Điều này phần nào có thể thấy qua các tổ chức như Association of Securities and Exchange Commission Alumni, Inc. và SEC Historical Society, trong đó có một bảo tàng ảo.</w:t>
      </w:r>
    </w:p>
    <w:p>
      <w:pPr>
        <w:spacing w:after="80"/>
      </w:pPr>
      <w:r>
        <w:rPr>
          <w:b w:val="0"/>
          <w:i w:val="0"/>
        </w:rPr>
        <w:t xml:space="preserve">6. Tác giả của bài viết này, Bevis Longstreth, là một cựu ủy viên của SEC. Bạn nghĩ gì về mô tả rằng “chính trị đóng một vai trò quan trọng trong việc quản lý”? Điều đó có thể diễn ra như thế nào? Ủy ban không được có nhiều hơn một nửa số thành viên từ một đảng duy nhất. </w:t>
      </w:r>
      <w:r>
        <w:rPr>
          <w:b w:val="0"/>
          <w:i/>
        </w:rPr>
        <w:t>Xem</w:t>
      </w:r>
      <w:r>
        <w:rPr>
          <w:b w:val="0"/>
          <w:i w:val="0"/>
        </w:rPr>
        <w:t xml:space="preserve"> Section 4, 15 USC § 78d. Kết quả là, cả hai đảng lớn thường đều có đại diện trong cơ quan này. Điều này làm tăng hay giảm ảnh hưởng của chính trị đối với sứ mệnh quản lý của cơ quan?</w:t>
      </w:r>
    </w:p>
    <w:p>
      <w:pPr>
        <w:spacing w:after="80"/>
      </w:pPr>
      <w:r>
        <w:rPr>
          <w:b w:val="0"/>
          <w:i w:val="0"/>
        </w:rPr>
        <w:t>7. Mục đích chính của SEC là gì? Trở lại năm 1937, Chủ tịch khi đó là Douglas nói rằng “[c]húng ta có những người bênh vực môi giới; chúng ta có những người bênh vực Sở Giao dịch; chúng ta có những người bênh vực ngân hàng đầu tư; và chúng ta là người bênh vực nhà đầu tư.” Trang web của SEC ngày nay mô tả sứ mệnh là “ba phần” bao gồm bảo vệ nhà đầu tư, duy trì “thị trường công bằng, có trật tự và hiệu quả” và tạo điều kiện thuận lợi cho việc hình thành vốn. Điều này có phản ánh sự thay đổi trong sứ mệnh của SEC không? Việc biết rằng Quốc hội trong Dodd-Frank đã yêu cầu SEC thành lập một Ủy ban Cố vấn Nhà đầu tư và bổ nhiệm một Người bênh vực Nhà đầu tư có ảnh hưởng đến phân tích của bạn không? Xem Section 951 (thành lập Ủy ban Cố vấn Nhà đầu tư) và Section 915 (thành lập Văn phòng Người bênh vực Nhà đầu tư).</w:t>
      </w:r>
    </w:p>
    <w:p>
      <w:pPr>
        <w:spacing w:after="80"/>
      </w:pPr>
      <w:r>
        <w:rPr>
          <w:b w:val="0"/>
          <w:i w:val="0"/>
        </w:rPr>
        <w:t>—————</w:t>
      </w:r>
    </w:p>
    <w:p>
      <w:pPr>
        <w:spacing w:after="80"/>
      </w:pPr>
      <w:r>
        <w:rPr>
          <w:b w:val="0"/>
          <w:i w:val="0"/>
        </w:rPr>
        <w:t>Ủy ban Chứng khoán và Giao dịch được coi là một cơ quan “độc lập” trong nhánh hành pháp. Tính độc lập thường là một thuật ngữ không chính xác. Đôi khi nó chỉ đơn thuần đề cập đến các bộ máy quan liêu tự đứng độc lập và không thuộc một bộ nào khác. Theo nghĩa đó, Cơ quan Bảo vệ Môi trường là độc lập trong khi Sở Thuế vụ (thuộc Bộ Tài chính) thì không.</w:t>
      </w:r>
    </w:p>
    <w:p>
      <w:pPr>
        <w:spacing w:after="80"/>
      </w:pPr>
      <w:r>
        <w:rPr>
          <w:b w:val="0"/>
          <w:i w:val="0"/>
        </w:rPr>
        <w:t>Tuy nhiên, đối với SEC, khái niệm độc lập lại mang những hàm ý về mặt hiến pháp. Độc lập ở đây có nghĩa là độc lập với Tổng thống. Điều này phát sinh bởi vì các ủy viên có nhiệm kỳ năm năm và không thể bị Tổng thống cách chức trừ khi có lý do chính đáng. Do đó, một Tổng thống không hài lòng với các chính sách quản lý mà cơ quan này thực hiện cũng không thể tự động loại bỏ các thành viên. Ít nhất là về mặt lý thuyết, điều này cho phép Ủy ban hành động theo cách ít bị ảnh hưởng bởi chính trị hơn. Kiểu độc lập này đã có một lịch sử đầy biến động đáng ngạc nhiên, và ở một mức độ nào đó vẫn chưa được giải quyết dứt khoát cho đến tận ngày nay.</w:t>
      </w:r>
    </w:p>
    <w:p>
      <w:pPr>
        <w:pStyle w:val="Heading4"/>
      </w:pPr>
      <w:r>
        <w:rPr>
          <w:rFonts w:ascii="Calibri" w:hAnsi="Calibri"/>
          <w:b/>
          <w:i w:val="0"/>
          <w:sz w:val="23"/>
        </w:rPr>
        <w:t>SEC v. Blinder, Robinson &amp; Co.</w:t>
      </w:r>
    </w:p>
    <w:p>
      <w:pPr>
        <w:spacing w:after="80"/>
      </w:pPr>
      <w:r>
        <w:rPr>
          <w:b w:val="0"/>
          <w:i w:val="0"/>
        </w:rPr>
        <w:t>Tòa án Phúc thẩm Hoa Kỳ, Vòng thứ Mười</w:t>
      </w:r>
      <w:r>
        <w:br/>
      </w:r>
      <w:r>
        <w:rPr>
          <w:b w:val="0"/>
          <w:i w:val="0"/>
        </w:rPr>
        <w:t xml:space="preserve"> 855 F.2d 677 (1988)</w:t>
      </w:r>
    </w:p>
    <w:p>
      <w:pPr>
        <w:spacing w:after="80"/>
      </w:pPr>
      <w:r>
        <w:rPr>
          <w:b w:val="0"/>
          <w:i w:val="0"/>
        </w:rPr>
        <w:t>BRORBY, THẨM PHÁN VÒNG:</w:t>
      </w:r>
    </w:p>
    <w:p>
      <w:pPr>
        <w:spacing w:after="80"/>
      </w:pPr>
      <w:r>
        <w:rPr>
          <w:b w:val="0"/>
          <w:i w:val="0"/>
        </w:rPr>
        <w:t>Blinder, Robinson and Co., Inc. và Meyer Blinder đều kháng cáo các lệnh của Tòa án Quận Hoa Kỳ bác bỏ các kiến nghị của những người kháng cáo nhằm hủy bỏ một lệnh cấm.</w:t>
      </w:r>
    </w:p>
    <w:p>
      <w:pPr>
        <w:spacing w:after="80"/>
      </w:pPr>
      <w:r>
        <w:rPr>
          <w:b w:val="0"/>
          <w:i w:val="0"/>
        </w:rPr>
        <w:t>Người kháng cáo Blinder, Robinson and Co., Inc. (Blinder, Robinson) là một công ty môi giới/kinh doanh chứng khoán trên toàn quốc. Người kháng cáo Meyer Blinder là người sáng lập, và trong suốt mọi thời điểm liên quan đến vụ việc này, là và vẫn là cổ đông chính và chủ tịch của Blinder, Robinson. Năm 1982, Tòa án Quận Hoa Kỳ cho Quận Colorado, sau phiên xét xử, đã phát hiện rằng đội ngũ bán hàng của Blinder, Robinson đã thực hiện một chương trình phát tán "thông tin sai lệch có chủ đích lừa dối," được dàn dựng bởi ông Blinder. Tòa án đặc biệt phát hiện rằng ông Blinder đã hành động với "ý định lừa dối" các nhà đầu tư. Dựa trên những phát hiện này và các phát hiện khác, tòa án quận đã ban hành các lệnh cấm ngăn chặn những người kháng cáo tham gia vào các hành vi được chỉ định vi phạm nhiều quy định khác nhau của luật chứng khoán. Các lệnh cấm này có thể được mô tả là ra lệnh cho những người kháng cáo phải tuân thủ pháp luật. Khi kháng cáo, tòa án này đã giữ nguyên quyết định của tòa án quận trong một quyết định không được báo cáo vào tháng 9 năm 1983. Sau đó, những người kháng cáo đã đệ đơn kiện Ủy ban Chứng khoán và Giao dịch (SEC) để yêu cầu một lệnh cấm, biện pháp tuyên bố và bồi thường thiệt hại. Hành động này một phần dựa trên một cuộc điều tra đang tiếp diễn của SEC. Một lý thuyết khác của hành động này là những người kháng cáo đã được đại diện bởi luật sư không đủ năng lực hoặc cẩu thả trong hành động thực thi ban đầu. Tòa án này đã giữ nguyên quyết định của tòa án xét xử, trong đó bác bỏ yêu cầu cứu trợ của những người kháng cáo.</w:t>
      </w:r>
    </w:p>
    <w:p>
      <w:pPr>
        <w:spacing w:after="80"/>
      </w:pPr>
      <w:r>
        <w:rPr>
          <w:b w:val="0"/>
          <w:i w:val="0"/>
        </w:rPr>
        <w:t>* * *</w:t>
      </w:r>
    </w:p>
    <w:p>
      <w:pPr>
        <w:spacing w:after="80"/>
      </w:pPr>
      <w:r>
        <w:rPr>
          <w:b w:val="0"/>
          <w:i w:val="0"/>
        </w:rPr>
        <w:t>Những người kháng cáo lập luận rằng quyền hạn của SEC để khởi xướng một hành động thực thi dân sự tại tòa án liên bang là vi phạm nguyên tắc phân chia quyền lực. Những người kháng cáo cho rằng SEC là một cơ quan độc lập được trao quyền thực thi luật liên bang thông qua các hành động dân sự để yêu cầu lệnh cấm, và rằng Tổng thống được trao quyền kiểm soát duy nhất và độc quyền đối với việc thực thi pháp luật theo Điều II của Hiến pháp, trong đó quy định rằng Tổng thống phải "đảm bảo các luật được thực thi một cách trung thành."</w:t>
      </w:r>
    </w:p>
    <w:p>
      <w:pPr>
        <w:spacing w:after="80"/>
      </w:pPr>
      <w:r>
        <w:rPr>
          <w:b w:val="0"/>
          <w:i w:val="0"/>
        </w:rPr>
        <w:t>* * *</w:t>
      </w:r>
    </w:p>
    <w:p>
      <w:pPr>
        <w:spacing w:after="80"/>
      </w:pPr>
      <w:r>
        <w:rPr>
          <w:b w:val="0"/>
          <w:i w:val="0"/>
        </w:rPr>
        <w:t>Một cái nhìn tổng quan ngắn gọn về SEC sẽ hữu ích trong việc hiểu vấn đề hiến pháp được đặt ra. Việc thành lập, thành phần và quyền hạn của SEC được tìm thấy trong Đạo luật Giao dịch Chứng khoán năm 1934. Ủy ban bao gồm năm thành viên được Tổng thống bổ nhiệm với sự tư vấn và đồng ý của Thượng viện. Nhiệm kỳ của các ủy viên được so le và độ dài cơ bản của mỗi nhiệm kỳ là năm năm. Không quá ba ủy viên có thể là thành viên của cùng một đảng chính trị. Đạo luật không quy định về một chủ tịch. Cho đến năm 1950, Chủ tịch được bầu hàng năm. Sau Kế hoạch Tái tổ chức số 10 năm 1950 (xem, Đạo luật Tái tổ chức năm 1949, 5 U.S.C. §§ 901–913), Tổng thống chỉ định chủ tịch. Theo Kế hoạch Tái tổ chức này, chủ tịch kế thừa hầu hết các chức năng hành pháp và hành chính của ủy ban. Đạo luật không trao một cách rõ ràng cho Tổng thống quyền cách chức một ủy viên. Tuy nhiên, cho mục đích của vụ án này, chúng tôi chấp nhận các khẳng định của những người kháng cáo trong bản tóm tắt của họ, rằng theo cách hiểu thông thường, Tổng thống chỉ có thể cách chức một ủy viên vì "sự kém hiệu quả, bỏ bê nhiệm vụ hoặc hành vi sai trái trong chức vụ." Mặc dù SEC phải chuyển bằng chứng về hành vi phạm tội hình sự cho Tổng chưởng lý, không thể nghi ngờ rằng SEC được ủy quyền khởi xướng các hành động dân sự tại các tòa án quận liên bang để thực thi nhiều luật chứng khoán khác nhau.</w:t>
      </w:r>
    </w:p>
    <w:p>
      <w:pPr>
        <w:spacing w:after="80"/>
      </w:pPr>
      <w:r>
        <w:rPr>
          <w:b w:val="0"/>
          <w:i w:val="0"/>
        </w:rPr>
        <w:t>Một số kết luận có thể được rút ra từ cái nhìn tổng quan ngắn gọn này. Thứ nhất, vì Tổng thống có quyền chọn chủ tịch của SEC từ các ủy viên của nó để phục vụ một nhiệm kỳ không xác định, nên chủ tịch phục vụ theo ý muốn của Tổng thống. Thứ hai, vì chủ tịch kiểm soát nhân sự chủ chốt, tổ chức nội bộ và việc chi tiêu ngân sách, chủ tịch có ảnh hưởng kiểm soát nhiều hơn so với việc một lá phiếu của ông ta dường như chỉ ra. Thứ ba, có thể an tâm giả định rằng khi thực hiện quyền bổ nhiệm của mình, ngay cả đối với các ủy viên không phải là thành viên đảng của mình, Tổng thống sẽ có xu hướng bổ nhiệm những người đồng tình với quan điểm của mình.</w:t>
      </w:r>
    </w:p>
    <w:p>
      <w:pPr>
        <w:spacing w:after="80"/>
      </w:pPr>
      <w:r>
        <w:rPr>
          <w:b w:val="0"/>
          <w:i w:val="0"/>
        </w:rPr>
        <w:t xml:space="preserve">Trong Humphrey's Executor v. United States, 295 U.S. 602, 79 L. Ed. 1611, 55 S. Ct. 869 (1935), Tổng thống Roosevelt đã yêu cầu Humphrey từ chức ủy viên của Ủy ban Thương mại Liên bang vì lý do Humphrey và Tổng thống có các chính sách khác nhau liên quan đến việc quản lý ủy ban. Đạo luật quy định rằng một ủy viên có thể bị cách chức "vì sự kém hiệu quả, bỏ bê nhiệm vụ hoặc hành vi sai trái trong chức vụ." Tòa án Tối cao đã công nhận ý định của Quốc hội là tạo ra một ủy ban không phải chịu sự chi phối của bất kỳ ai trong chính phủ—một cơ quan nên độc lập với quyền hành pháp, </w:t>
      </w:r>
      <w:r>
        <w:rPr>
          <w:b w:val="0"/>
          <w:i/>
        </w:rPr>
        <w:t>ngoại trừ trong việc lựa chọn nó</w:t>
      </w:r>
      <w:r>
        <w:rPr>
          <w:b w:val="0"/>
          <w:i w:val="0"/>
        </w:rPr>
        <w:t>, và đã phán quyết rằng khái niệm một thành viên tiếp tục tại chức theo "ý muốn đơn thuần" của Tổng thống có thể cản trở chính những mục tiêu mà Quốc hội tìm cách đạt được. Tòa án Tối cao sau đó chuyển sự chú ý sang câu hỏi liệu một giới hạn như vậy đối với quyền cách chức một ủy viên của Tổng thống có hợp hiến theo các nguyên tắc phân chia quyền lực hay không. Tòa án đã phán quyết rằng liệu quyền của Tổng thống để cách chức một viên chức có thắng thế so với thẩm quyền của Quốc hội để đặt điều kiện cho quyền đó bằng cách ấn định một nhiệm kỳ xác định và ngăn cấm việc cách chức trừ khi có lý do chính đáng hay không, sẽ phụ thuộc vào tính chất của chức vụ đó. Tòa án kết luận "đối với các viên chức thuộc loại được xem xét ở đây" không thể có việc cách chức nào ngoại trừ như được quy định bởi đạo luật. Tòa án Tối cao lưu ý rằng phán quyết này cũng sẽ áp dụng tương tự cho các thành viên của Ủy ban Thương mại Liên bang. Cả FTC và SEC đều là các cơ quan hành chính được Quốc hội tạo ra để thực hiện các chính sách lập pháp được thể hiện trong đạo luật. Chúng tôi kết luận rằng lý luận tương tự cũng sẽ áp dụng cho các ủy viên của SEC.</w:t>
      </w:r>
    </w:p>
    <w:p>
      <w:pPr>
        <w:spacing w:after="80"/>
      </w:pPr>
      <w:r>
        <w:rPr>
          <w:b w:val="0"/>
          <w:i w:val="0"/>
        </w:rPr>
        <w:t>Gần đây hơn, trong Morrison v. Olson, 487 U.S. 654, 108 S. Ct. 2597, 101 L. Ed. 2d 569 (1988), Tòa án Tối cao đã quyết định tính hợp hiến của các đạo luật về luật sư độc lập. Luật được xem xét ở đó quy định việc bổ nhiệm một luật sư độc lập để điều tra và truy tố một số quan chức chính phủ vì vi phạm luật hình sự liên bang. Luật được xem xét nói chung quy định rằng khi nhận được thông tin được chỉ định, tòa án sẽ bổ nhiệm luật sư độc lập. Một luật sư độc lập có thể bị cách chức, ngoài việc luận tội và kết án, chỉ bởi Tổng chưởng lý và chỉ vì lý do chính đáng, khuyết tật thể chất hoặc bất lực về tinh thần.</w:t>
      </w:r>
    </w:p>
    <w:p>
      <w:pPr>
        <w:spacing w:after="80"/>
      </w:pPr>
      <w:r>
        <w:rPr>
          <w:b w:val="0"/>
          <w:i w:val="0"/>
        </w:rPr>
        <w:t xml:space="preserve">Chúng tôi lưu ý rằng </w:t>
      </w:r>
      <w:r>
        <w:rPr>
          <w:b w:val="0"/>
          <w:i/>
        </w:rPr>
        <w:t>Morrison</w:t>
      </w:r>
      <w:r>
        <w:rPr>
          <w:b w:val="0"/>
          <w:i w:val="0"/>
        </w:rPr>
        <w:t xml:space="preserve"> một phần dựa trên </w:t>
      </w:r>
      <w:r>
        <w:rPr>
          <w:b w:val="0"/>
          <w:i/>
        </w:rPr>
        <w:t>Humphrey</w:t>
      </w:r>
      <w:r>
        <w:rPr>
          <w:b w:val="0"/>
          <w:i w:val="0"/>
        </w:rPr>
        <w:t xml:space="preserve">, mà nói chung đại diện cho quan điểm rằng Quốc hội có thể, mà không vi phạm Điều II, ủy quyền cho một cơ quan độc lập khởi xướng các hành động thực thi pháp luật dân sự khi quyền cách chức của Tổng thống bị hạn chế ở sự kém hiệu quả, bỏ bê nhiệm vụ hoặc hành vi sai trái trong chức vụ. </w:t>
      </w:r>
      <w:r>
        <w:rPr>
          <w:b w:val="0"/>
          <w:i/>
        </w:rPr>
        <w:t>Morrison</w:t>
      </w:r>
      <w:r>
        <w:rPr>
          <w:b w:val="0"/>
          <w:i w:val="0"/>
        </w:rPr>
        <w:t xml:space="preserve"> dạy rằng câu hỏi thực sự cần được trả lời là liệu các hạn chế cách chức có cản trở khả năng của Tổng thống trong việc thực hiện nhiệm vụ hiến pháp của mình hay không. Đó là một vấn đề của luật cơ bản rằng Hiến pháp giao cho Quốc hội quyền chỉ định nhiệm vụ của các viên chức cụ thể. Tổng thống không có nghĩa vụ theo Hiến pháp phải thực hiện quyền kiểm soát tuyệt đối đối với các nhà điều hành chính phủ của chúng ta. Tổng thống không được yêu cầu thực thi pháp luật; ông được yêu cầu đảm bảo rằng chúng được thực thi một cách trung thành. Tổng thống có quyền bổ nhiệm các ủy viên; ông có quyền chọn chủ tịch của SEC, người có quyền hạn rộng rãi liên quan đến hoạt động và quản lý của ủy ban; chủ tịch phục vụ theo ý muốn của Tổng thống; và, Tổng thống có quyền cách chức một ủy viên vì sự kém hiệu quả, bỏ bê nhiệm vụ hoặc hành vi sai trái trong chức vụ. Chúng tôi kết luận rằng những quyền hạn này trao cho Tổng thống sự kiểm soát đủ đối với các ủy viên để đảm bảo các luật chứng khoán được thực thi một cách trung thành và các hạn chế cách chức không cản trở khả năng của Tổng thống trong việc thực hiện nhiệm vụ hiến pháp của mình.</w:t>
      </w:r>
    </w:p>
    <w:p>
      <w:pPr>
        <w:spacing w:after="80"/>
      </w:pPr>
      <w:r>
        <w:rPr>
          <w:b w:val="0"/>
          <w:i w:val="0"/>
        </w:rPr>
        <w:t>Chúng tôi kết luận rằng tòa án xét xử đã áp dụng đúng tiêu chuẩn pháp lý thích hợp liên quan đến việc hủy bỏ hoặc sửa đổi lệnh cấm. Chúng tôi cũng kết luận rằng quyền thực thi dân sự được trao cho SEC là hợp hiến. Chúng tôi đã xem xét cẩn thận tất cả các vấn đề được những người kháng cáo nêu ra, và những vấn đề không được thảo luận ở đây được xem là không có cơ sở.</w:t>
      </w:r>
    </w:p>
    <w:p>
      <w:pPr>
        <w:spacing w:after="80"/>
      </w:pPr>
      <w:r>
        <w:rPr>
          <w:b w:val="0"/>
          <w:i w:val="0"/>
        </w:rPr>
        <w:t>Vì những lý do được nêu ở đây, phán quyết của tòa án xét xử được GIỮ NGUYÊN.</w:t>
      </w:r>
    </w:p>
    <w:p>
      <w:pPr>
        <w:pStyle w:val="Heading5"/>
      </w:pPr>
      <w:r>
        <w:rPr>
          <w:rFonts w:ascii="Calibri" w:hAnsi="Calibri"/>
          <w:b/>
          <w:i/>
          <w:sz w:val="22"/>
        </w:rPr>
        <w:t>Bình luận và Câu hỏi</w:t>
      </w:r>
    </w:p>
    <w:p>
      <w:pPr>
        <w:spacing w:after="80"/>
      </w:pPr>
      <w:r>
        <w:rPr>
          <w:b w:val="0"/>
          <w:i w:val="0"/>
        </w:rPr>
        <w:t>1. “Độc lập” có nghĩa là gì? Những đặc điểm nào của SEC khiến nó được xem là độc lập? Điều đó có thể ảnh hưởng như thế nào đến việc SEC quản lý quản trị công ty?</w:t>
      </w:r>
    </w:p>
    <w:p>
      <w:pPr>
        <w:spacing w:after="80"/>
      </w:pPr>
      <w:r>
        <w:rPr>
          <w:b w:val="0"/>
          <w:i w:val="0"/>
        </w:rPr>
        <w:t xml:space="preserve">2. Trong trường hợp luật sư độc lập trong </w:t>
      </w:r>
      <w:r>
        <w:rPr>
          <w:b w:val="0"/>
          <w:i/>
        </w:rPr>
        <w:t>Morrison</w:t>
      </w:r>
      <w:r>
        <w:rPr>
          <w:b w:val="0"/>
          <w:i w:val="0"/>
        </w:rPr>
        <w:t xml:space="preserve"> , Tổng thống không có quyền cách chức trực tiếp. Quyền đó thuộc về Bộ trưởng Tư pháp. Tuy nhiên, trên thực tế, Tổng thống có thể cách chức luật sư độc lập thông qua quyền kiểm soát của mình đối với Bộ trưởng Tư pháp. Điều này xảy ra, ví dụ, trong vụ được gọi là Thảm sát Đêm Thứ Bảy khi Tổng thống Nixon cách chức hai bộ trưởng tư pháp (Elliot Richardson và William Ruckelshaus) trước khi người thứ ba (Robert Bork) thực hiện chỉ thị của ông để sa thải Archibald Cox, công tố viên đặc biệt vụ Watergate. </w:t>
      </w:r>
      <w:r>
        <w:rPr>
          <w:b w:val="0"/>
          <w:i/>
        </w:rPr>
        <w:t>Xem</w:t>
      </w:r>
      <w:r>
        <w:rPr>
          <w:b w:val="0"/>
          <w:i w:val="0"/>
        </w:rPr>
        <w:t xml:space="preserve"> Thượng nghị sĩ Carl Levin (với sự hỗ trợ của Elise J. Bean), </w:t>
      </w:r>
      <w:r>
        <w:rPr>
          <w:b w:val="0"/>
          <w:i/>
        </w:rPr>
        <w:t>The Independent Counsel Statute: A Matter of Public Confidence and Constitutional Balance</w:t>
      </w:r>
      <w:r>
        <w:rPr>
          <w:b w:val="0"/>
          <w:i w:val="0"/>
        </w:rPr>
        <w:t xml:space="preserve"> , 16 Hofstra L. Rev. 11, 12 (Fall 1987).</w:t>
      </w:r>
    </w:p>
    <w:p>
      <w:pPr>
        <w:spacing w:after="80"/>
      </w:pPr>
      <w:r>
        <w:rPr>
          <w:b w:val="0"/>
          <w:i w:val="0"/>
        </w:rPr>
        <w:t xml:space="preserve">3. Vấn đề về tính hợp hiến của cơ cấu SEC có thể phức tạp hơn những gì tòa án này nghĩ. Một điều là, tính độc lập thường phát sinh từ việc Tổng thống không thể đối xử với các ủy viên như những nhân viên có thể bị sa thải tùy ý. Quyền cách chức “vì lý do chính đáng” này thường được quy định trong luật thành lập cơ quan. Do đó, các ủy viên phục vụ trong Ủy ban Thương mại Liên bang chỉ có thể bị cách chức “vì sự kém hiệu quả, bỏ bê nhiệm vụ, hoặc hành vi sai trái trong công vụ.” 15 U.S.C.S § 41. Đạo luật Giao dịch Chứng khoán, trong khi quy định nhiệm kỳ năm năm cho các ủy viên, không giới hạn rõ ràng quyền cách chức của Tổng thống. </w:t>
      </w:r>
      <w:r>
        <w:rPr>
          <w:b w:val="0"/>
          <w:i/>
        </w:rPr>
        <w:t>Xem</w:t>
      </w:r>
      <w:r>
        <w:rPr>
          <w:b w:val="0"/>
          <w:i w:val="0"/>
        </w:rPr>
        <w:t xml:space="preserve"> 15 U.S.C. § 78d. Nói cách khác, những hạn chế đối với quyền cách chức của Tổng thống là ngầm hiểu chứ không phải rõ ràng.</w:t>
      </w:r>
    </w:p>
    <w:p>
      <w:pPr>
        <w:spacing w:after="80"/>
      </w:pPr>
      <w:r>
        <w:rPr>
          <w:b w:val="0"/>
          <w:i w:val="0"/>
        </w:rPr>
        <w:t xml:space="preserve">4. Vấn đề này nổi lên trong </w:t>
      </w:r>
      <w:r>
        <w:rPr>
          <w:b w:val="0"/>
          <w:i/>
        </w:rPr>
        <w:t>Free Enterprise Fund v. PCAOB</w:t>
      </w:r>
      <w:r>
        <w:rPr>
          <w:b w:val="0"/>
          <w:i w:val="0"/>
        </w:rPr>
        <w:t xml:space="preserve"> , 561 US 467 (2010) (Breyer, J., phản đối). Thẩm phán Breyer đã nói điều này về tính độc lập của SEC:</w:t>
      </w:r>
    </w:p>
    <w:p>
      <w:pPr>
        <w:spacing w:after="80"/>
      </w:pPr>
      <w:r>
        <w:rPr>
          <w:b w:val="0"/>
          <w:i w:val="0"/>
        </w:rPr>
        <w:t>Chắc chắn không rõ ràng rằng các Ủy viên SEC được hưởng sự bảo vệ “vì lý do chính đáng”. Không giống như các luật thành lập 48 cơ quan liên bang được liệt kê trong Phụ lục A, infra, luật thành lập Ủy ban không nói gì về việc cách chức. Nó im lặng về vấn đề này. Xét về văn bản của nó, quyền cách chức các Ủy viên của Tổng thống không khác gì quyền cách chức Ngoại trưởng hoặc Bộ trưởng Tư pháp của ông. . . .</w:t>
      </w:r>
    </w:p>
    <w:p>
      <w:pPr>
        <w:spacing w:after="80"/>
      </w:pPr>
      <w:r>
        <w:rPr>
          <w:b w:val="0"/>
          <w:i w:val="0"/>
        </w:rPr>
        <w:t xml:space="preserve">Việc thiếu quy định “vì lý do chính đáng” trong luật thành lập Ủy ban cũng không có khả năng là do vô ý. Quốc hội thành lập Ủy ban trong khoảng thời gian 9 năm sau khi Tòa án này ra phán quyết </w:t>
      </w:r>
      <w:r>
        <w:rPr>
          <w:b w:val="0"/>
          <w:i/>
        </w:rPr>
        <w:t>Myers</w:t>
      </w:r>
      <w:r>
        <w:rPr>
          <w:b w:val="0"/>
          <w:i w:val="0"/>
        </w:rPr>
        <w:t xml:space="preserve"> , và do đó gây nghi ngờ nghiêm trọng về tính hợp hiến của tất cả các quy định cách chức “vì lý do chính đáng”, nhưng trước khi ra phán quyết </w:t>
      </w:r>
      <w:r>
        <w:rPr>
          <w:b w:val="0"/>
          <w:i/>
        </w:rPr>
        <w:t>Humphrey's Executor</w:t>
      </w:r>
      <w:r>
        <w:rPr>
          <w:b w:val="0"/>
          <w:i w:val="0"/>
        </w:rPr>
        <w:t xml:space="preserve"> , vốn xóa bỏ mọi nghi ngờ về tính hợp hiến của việc biến các ủy viên của các cơ quan độc lập chỉ có thể bị cách chức vì lý do chính đáng. Nói cách khác, Quốc hội thành lập SEC vào thời điểm mà, theo các tiền lệ của Tòa án này, việc biến các Ủy viên chỉ có thể bị cách chức vì lý do chính đáng sẽ là vi hiến. Và, trong khoảng thời gian 9 năm đó, Quốc hội đã thành lập ít nhất ba cơ quan liên bang lớn mà không làm cho bất kỳ viên chức nào của họ có thể bị cách chức vì lý do chính đáng. </w:t>
      </w:r>
      <w:r>
        <w:rPr>
          <w:b w:val="0"/>
          <w:i/>
        </w:rPr>
        <w:t>Xem</w:t>
      </w:r>
      <w:r>
        <w:rPr>
          <w:b w:val="0"/>
          <w:i w:val="0"/>
        </w:rPr>
        <w:t xml:space="preserve"> 48 Stat. 885, 15 U. S. C. § 78d (Ủy ban Giao dịch và Chứng khoán), 48 Stat. 1066, 47 U. S. C. § 154 (Ủy ban Truyền thông Liên bang); 46 Stat. 797 (Ủy ban Năng lượng Liên bang) (được cải tổ sau Humphrey's Executor thành Ủy ban Quản lý Năng lượng Liên bang với sự bảo vệ “vì lý do chính đáng”, 91 Stat. 582, 42 U. S. C. § 7171). Ngược lại, chỉ một tháng sau khi Humphrey's Executor được quyết định, Quốc hội đã quay lại thực tiễn trước Myers của mình là đưa các quy định như vậy vào luật thành lập các ủy ban độc lập. </w:t>
      </w:r>
      <w:r>
        <w:rPr>
          <w:b w:val="0"/>
          <w:i/>
        </w:rPr>
        <w:t>Xem</w:t>
      </w:r>
      <w:r>
        <w:rPr>
          <w:b w:val="0"/>
          <w:i w:val="0"/>
        </w:rPr>
        <w:t xml:space="preserve"> § 3, 49 Stat. 451, 29 U. S. C. § 153 (thành lập Ban Quan hệ Lao động Quốc gia với giới hạn cách chức rõ ràng).</w:t>
      </w:r>
    </w:p>
    <w:p>
      <w:pPr>
        <w:spacing w:after="80"/>
      </w:pPr>
      <w:r>
        <w:rPr>
          <w:b w:val="0"/>
          <w:i/>
        </w:rPr>
        <w:t>Id.</w:t>
      </w:r>
      <w:r>
        <w:rPr>
          <w:b w:val="0"/>
          <w:i w:val="0"/>
        </w:rPr>
        <w:t xml:space="preserve"> tại 3182–83. Bạn nghĩ gì về phân tích này? Nó có đúng không? Nó có mâu thuẫn với phân tích trong </w:t>
      </w:r>
      <w:r>
        <w:rPr>
          <w:b w:val="0"/>
          <w:i/>
        </w:rPr>
        <w:t>Blinder, Robinson</w:t>
      </w:r>
      <w:r>
        <w:rPr>
          <w:b w:val="0"/>
          <w:i w:val="0"/>
        </w:rPr>
        <w:t xml:space="preserve"> không?</w:t>
      </w:r>
    </w:p>
    <w:p>
      <w:pPr>
        <w:spacing w:after="80"/>
      </w:pPr>
      <w:r>
        <w:rPr>
          <w:b w:val="0"/>
          <w:i w:val="0"/>
        </w:rPr>
        <w:t>5. Mặc dù Thẩm phán Breyer phản đối, liệu phân tích của ông có mở lại vấn đề về tính độc lập của SEC không? Ông đã nói điều này về chủ đề này:</w:t>
      </w:r>
    </w:p>
    <w:p>
      <w:pPr>
        <w:spacing w:after="80"/>
      </w:pPr>
      <w:r>
        <w:rPr>
          <w:b w:val="0"/>
          <w:i w:val="0"/>
        </w:rPr>
        <w:t xml:space="preserve">Việc Quốc hội không làm cho các Ủy viên SEC có thể bị cách chức “vì lý do chính đáng” không có nghĩa là họ có ý định tạo ra một cơ quan phụ thuộc, thay vì độc lập. Tính độc lập của cơ quan là một hàm số của nhiều yếu tố khác nhau, trong đó sự bảo vệ “vì lý do chính đáng” chỉ là một. Những yếu tố đó bao gồm, </w:t>
      </w:r>
      <w:r>
        <w:rPr>
          <w:b w:val="0"/>
          <w:i/>
        </w:rPr>
        <w:t>inter alia</w:t>
      </w:r>
      <w:r>
        <w:rPr>
          <w:b w:val="0"/>
          <w:i w:val="0"/>
        </w:rPr>
        <w:t xml:space="preserve"> , quyền lập ngân sách riêng (thay vì phụ thuộc vào tổng thống) của cơ quan, quyền tranh tụng riêng của nó, thành phần của nó là một hội đồng lưỡng đảng đa thành viên, việc sử dụng từ “độc lập” trong luật ủy quyền của nó, và trên hết, một môi trường chính trị, phản ánh truyền thống và chức năng, sẽ áp đặt chi phí chính trị nặng nề lên bất kỳ Tổng thống nào cố gắng cách chức một ủy viên của cơ quan mà không có lý do chính đáng. . . .</w:t>
      </w:r>
    </w:p>
    <w:p>
      <w:pPr>
        <w:spacing w:after="80"/>
      </w:pPr>
      <w:r>
        <w:rPr>
          <w:b w:val="0"/>
          <w:i w:val="0"/>
        </w:rPr>
        <w:t>561 US tại 547. Thẩm phán Breyer có đúng không? Tính độc lập có phát sinh từ các yếu tố khác ngoài những hạn chế đối với quyền cách chức không? Trong Phụ lục D của bản phản đối của mình, ông đã liệt kê sáu tiêu chí “gợi ý tính độc lập.” Những tiêu chí này bao gồm các yếu tố như liệu cơ quan có một ủy ban đa thành viên hay không, liệu cơ quan có tính độc lập trong việc đệ trình ngân sách lên Quốc hội hay không, và liệu một cơ quan có quyền xuất hiện trước tòa án độc lập với Bộ Tư pháp hay không. Những yếu tố này có đảm bảo tính độc lập không, ít nhất nếu nó được định nghĩa là độc lập với ảnh hưởng của Tổng thống?</w:t>
      </w:r>
    </w:p>
    <w:p>
      <w:pPr>
        <w:spacing w:after="80"/>
      </w:pPr>
      <w:r>
        <w:rPr>
          <w:b w:val="0"/>
          <w:i w:val="0"/>
        </w:rPr>
        <w:t xml:space="preserve">6. Tính độc lập của SEC thực sự chuyển thành quyền kiện các vụ án tại tòa án liên bang mà không cần sự chấp thuận trước của bất kỳ ai trong nhánh hành pháp. </w:t>
      </w:r>
      <w:r>
        <w:rPr>
          <w:b w:val="0"/>
          <w:i/>
        </w:rPr>
        <w:t>Xem</w:t>
      </w:r>
      <w:r>
        <w:rPr>
          <w:b w:val="0"/>
          <w:i w:val="0"/>
        </w:rPr>
        <w:t xml:space="preserve"> 15 U.S.C. § 78u. Tuy nhiên, có một giới hạn đáng kể. SEC không có quyền nộp bản tóm tắt tại Tòa án Tối cao Hoa Kỳ. Quyền đó thuộc độc quyền của Tổng Biện lý trong Bộ Tư pháp. Thông thường, Tổng Biện lý nộp các bản tóm tắt được viết chung bởi nhân viên của mình và nhân viên tại SEC, do đó trình bày quan điểm của Ủy ban lên Tòa án Tối cao. Tuy nhiên, trong một số vụ án nổi bật, Tổng Biện lý đã từ chối nộp bản tóm tắt thay mặt cho Ủy ban. Do đó, trong </w:t>
      </w:r>
      <w:r>
        <w:rPr>
          <w:b w:val="0"/>
          <w:i/>
        </w:rPr>
        <w:t>Stoneridge Inv. Partners, LLC v. Scientific-Atlanta, Inc.</w:t>
      </w:r>
      <w:r>
        <w:rPr>
          <w:b w:val="0"/>
          <w:i w:val="0"/>
        </w:rPr>
        <w:t xml:space="preserve"> , 552 U.S. 148 (2008), theo các báo cáo đã công bố, Ủy ban đã yêu cầu Tổng Biện lý nộp một bản tóm tắt amicus thay mặt cho mình và Tổng Biện lý đã từ chối. Thay vào đó, Tổng Biện lý đã nộp một bản tóm tắt amicus về phía của vụ án không được SEC ủng hộ. Do đó, Tòa án Tối cao đã quyết định một vụ án chứng khoán quan trọng mà không có quan điểm của cơ quan hành chính được giao nhiệm vụ quản lý Đạo luật đang được xem xét.</w:t>
      </w:r>
    </w:p>
    <w:p>
      <w:pPr>
        <w:spacing w:after="80"/>
      </w:pPr>
      <w:r>
        <w:rPr>
          <w:b w:val="0"/>
          <w:i w:val="0"/>
        </w:rPr>
        <w:t xml:space="preserve">7. SEC đã tìm kiếm quyền nộp các bản tóm tắt amicus tại Tòa án Tối cao mà không cần sự cho phép trước của Tổng Biện lý vào những năm 1970 nhưng chưa bao giờ nhận được quyền đó. Để thảo luận về những gì đã xảy ra, xem Neal Devins, </w:t>
      </w:r>
      <w:r>
        <w:rPr>
          <w:b w:val="0"/>
          <w:i/>
        </w:rPr>
        <w:t>Unitariness and Independence: Solicitor General Control Over Independent Agency Litigation</w:t>
      </w:r>
      <w:r>
        <w:rPr>
          <w:b w:val="0"/>
          <w:i w:val="0"/>
        </w:rPr>
        <w:t xml:space="preserve"> , 82 Cal. L. Rev. 255 (1994). Những ưu và nhược điểm của việc giao quyền này cho SEC là gì? Tại sao Tổng thống có thể phản đối?</w:t>
      </w:r>
    </w:p>
    <w:p>
      <w:pPr>
        <w:spacing w:after="80"/>
      </w:pPr>
      <w:r>
        <w:rPr>
          <w:b w:val="0"/>
          <w:i w:val="0"/>
        </w:rPr>
        <w:t>8. Ban đầu, chủ tịch của Ủy ban được xác định bởi chính các ủy viên. Điều đó đã thay đổi vào năm 1950 khi quyền này được giao cho Tổng thống. Khi các chính quyền thay đổi, về lý thuyết Tổng thống có thể không có vị trí trống để bổ sung nhưng sẽ có thể chỉ định chủ tịch. Điều này cung cấp một số khả năng tức thời để gây ảnh hưởng đến chương trình nghị sự của cơ quan. Tuy nhiên, trên thực tế, truyền thống là chủ tịch được bổ nhiệm bởi chính quyền trước đó sẽ từ chức. Điều này có khả năng có tác động gì đến cách tiếp cận quản lý của Ủy ban?</w:t>
      </w:r>
    </w:p>
    <w:p>
      <w:pPr>
        <w:spacing w:after="80"/>
      </w:pPr>
      <w:r>
        <w:rPr>
          <w:b w:val="0"/>
          <w:i w:val="0"/>
        </w:rPr>
        <w:t>—————</w:t>
      </w:r>
    </w:p>
    <w:p>
      <w:pPr>
        <w:spacing w:after="80"/>
      </w:pPr>
      <w:r>
        <w:rPr>
          <w:b w:val="0"/>
          <w:i w:val="0"/>
        </w:rPr>
        <w:t>Tuy nhiên, vai trò của SEC đã thay đổi trong những năm gần đây. Vai trò của cơ quan trong quá trình quản trị công ty đã trở nên thực chất hơn. Hơn nữa, mặc dù vẫn giữ được tình trạng “độc lập” của mình, chính trị vẫn đóng một vai trò, như đoạn trích tiếp theo gợi ý.</w:t>
      </w:r>
    </w:p>
    <w:p>
      <w:pPr>
        <w:pStyle w:val="Heading4"/>
      </w:pPr>
      <w:r>
        <w:rPr>
          <w:rFonts w:ascii="Calibri" w:hAnsi="Calibri"/>
          <w:b/>
          <w:i w:val="0"/>
          <w:sz w:val="23"/>
        </w:rPr>
        <w:t xml:space="preserve">J. Robert Brown, Jr., </w:t>
      </w:r>
      <w:r>
        <w:rPr>
          <w:rFonts w:ascii="Calibri" w:hAnsi="Calibri"/>
          <w:b/>
          <w:i/>
          <w:sz w:val="23"/>
        </w:rPr>
        <w:t>Chính trị hóa Quản trị Công ty:</w:t>
      </w:r>
      <w:r>
        <w:br/>
      </w:r>
      <w:r>
        <w:rPr>
          <w:rFonts w:ascii="Calibri" w:hAnsi="Calibri"/>
          <w:b/>
          <w:i/>
          <w:sz w:val="23"/>
        </w:rPr>
        <w:t xml:space="preserve"> Quyền Tùy nghi Quan liêu, SEC, và Việc Cổ đông</w:t>
      </w:r>
      <w:r>
        <w:br/>
      </w:r>
      <w:r>
        <w:rPr>
          <w:rFonts w:ascii="Calibri" w:hAnsi="Calibri"/>
          <w:b/>
          <w:i/>
          <w:sz w:val="23"/>
        </w:rPr>
        <w:t xml:space="preserve"> Phê chuẩn Kiểm toán viên</w:t>
      </w:r>
    </w:p>
    <w:p>
      <w:pPr>
        <w:spacing w:after="80"/>
      </w:pPr>
      <w:r>
        <w:rPr>
          <w:b w:val="0"/>
          <w:i w:val="0"/>
        </w:rPr>
        <w:t>2 Harv. Bus. L. Rev. 501, 501–505 (2012)</w:t>
      </w:r>
    </w:p>
    <w:p>
      <w:pPr>
        <w:spacing w:after="80"/>
      </w:pPr>
      <w:r>
        <w:rPr>
          <w:b w:val="0"/>
          <w:i w:val="0"/>
        </w:rPr>
        <w:t>Một trong những thay đổi sâu sắc nhất trong quản trị công ty (corporate governance) suốt thập kỷ qua là sự chuyển dịch vai trò của Ủy ban Chứng khoán và Giao dịch (“SEC”). Ban đầu chủ yếu chỉ giới hạn ở nhiệm vụ đảm bảo công bố thông tin đầy đủ, SEC hầu như chỉ đóng vai trò mờ nhạt trong nội dung cốt lõi của quản trị công ty. Việc xác định quyền và nghĩa vụ của giám đốc và cổ đông được giao cho các bang. Những nỗ lực dang dở của SEC trong thập niên 1980 nhằm tham gia ban hành quy định mang tính nội dung thông qua phương tiện là các tiêu chuẩn niêm yết đã bị tòa án kiên quyết bác bỏ.</w:t>
      </w:r>
    </w:p>
    <w:p>
      <w:pPr>
        <w:spacing w:after="80"/>
      </w:pPr>
      <w:r>
        <w:rPr>
          <w:b w:val="0"/>
          <w:i w:val="0"/>
        </w:rPr>
        <w:t>Sự phân biệt giữa công bố thông tin và nội dung cốt lõi, nếu như nó từng thực sự tồn tại, phần lớn đã bị phá bỏ. Suốt thập kỷ qua, Quốc hội đã nhiều lần chuyển giao cho SEC quyền hạn nội dung trực tiếp đối với quá trình quản trị công ty, đầu tiên là trong Đạo luật Sarbanes-Oxley năm 2002 (“Sarbanes-Oxley”), rồi đến Đạo luật Cải cách Phố Wall Dodd-Frank năm 2010 (“Dodd-Frank”). Trong khi Sarbanes-Oxley bị chỉ trích gay gắt và bị nhiều người coi là một hiện tượng dị thường nảy sinh từ cơn bão hoàn hảo của vụ bê bối Enron và các cuộc bầu cử Quốc hội đang đến gần, thì Dodd-Frank đã khẳng định rằng các nguyên tắc liên bang (federalism) trong lĩnh vực quản trị công ty đã bị bào mòn vĩnh viễn. Đạo luật này cho thấy rõ việc Quốc hội không có bất kỳ sự bảo lưu đáng kể nào đối với việc chuyển giao quyền quản trị từ các bang sang SEC.</w:t>
      </w:r>
    </w:p>
    <w:p>
      <w:pPr>
        <w:spacing w:after="80"/>
      </w:pPr>
      <w:r>
        <w:rPr>
          <w:b w:val="0"/>
          <w:i w:val="0"/>
        </w:rPr>
        <w:t>Tác động tích lũy của những thay đổi này là đẩy SEC vào trung tâm của cuộc tranh luận về quản trị công ty. Thay vì chỉ giải quyết nhu cầu thông tin của nhà đầu tư, SEC ngày càng được yêu cầu phát triển các tiêu chuẩn nội dung và phân xử những quan điểm thường không thể dung hòa giữa các nhóm lợi ích đang ganh đua để gây ảnh hưởng lên quá trình quản trị.</w:t>
      </w:r>
    </w:p>
    <w:p>
      <w:pPr>
        <w:spacing w:after="80"/>
      </w:pPr>
      <w:r>
        <w:rPr>
          <w:b w:val="0"/>
          <w:i w:val="0"/>
        </w:rPr>
        <w:t>Việc chuyển giao quyền quản trị cho SEC sẽ có những hệ quả đáng kể. Thứ nhất, triết lý quản lý có khả năng sẽ thay đổi. Khác với cách tiếp cận thân thiện với ban điều hành mà Delaware sử dụng khi xác định các tiêu chuẩn quản trị, SEC có sứ mệnh quản lý là bảo vệ cổ đông và nhà đầu tư. Cơ quan này cũng có nghĩa vụ luật định là phải xem xét tác động của các sáng kiến quản lý đối với hiệu quả, cạnh tranh và hình thành vốn. Kết quả có lẽ phần lớn sẽ là các chính sách cân bằng hơn.</w:t>
      </w:r>
    </w:p>
    <w:p>
      <w:pPr>
        <w:spacing w:after="80"/>
      </w:pPr>
      <w:r>
        <w:rPr>
          <w:b w:val="0"/>
          <w:i w:val="0"/>
        </w:rPr>
        <w:t>Tuy nhiên, việc chuyển giao sẽ gây ra tình trạng chính trị hóa ngày càng tăng đối với quá trình quản trị. Khi chính quyền thay đổi, thành phần chính trị của Ủy ban thường cũng thay đổi. Do đó, triết lý quản lý của SEC bám sát hơn triết lý chính trị của đảng đang nắm quyền. Khi quản trị ngày càng được nhìn nhận như một trò chơi có tổng bằng không giữa nhà đầu tư và tổ chức phát hành, áp lực sẽ gia tăng theo mỗi lần thay đổi chính quyền nhằm đảo ngược các thông lệ của SEC tiền nhiệm. Kết quả sẽ là sự biến động gia tăng.</w:t>
      </w:r>
    </w:p>
    <w:p>
      <w:pPr>
        <w:spacing w:after="80"/>
      </w:pPr>
      <w:r>
        <w:rPr>
          <w:b w:val="0"/>
          <w:i w:val="0"/>
        </w:rPr>
        <w:t>Sự biến động sẽ ít rõ rệt hơn đối với việc ban hành quy định. Các quy định phải được thông qua theo trình tự thông báo và lấy ý kiến theo Đạo luật Thủ tục Hành chính (“APA”) và rất khó đảo ngược một khi đã được thực thi. Hơn nữa, những nỗ lực thay đổi quy định sẽ dễ bị thách thức pháp lý tại Tòa án Phúc thẩm Vòng D.C. vốn ngày càng can thiệp sâu.</w:t>
      </w:r>
    </w:p>
    <w:p>
      <w:pPr>
        <w:spacing w:after="80"/>
      </w:pPr>
      <w:r>
        <w:rPr>
          <w:b w:val="0"/>
          <w:i w:val="0"/>
        </w:rPr>
        <w:t>Tuy nhiên, các giải thích của nhân viên lại là một câu chuyện hoàn toàn khác. Được ban hành một cách không chính thức, thường thông qua cái gọi là “thư Không Hành động” (No-Action letters), những quan điểm này không chịu sự chi phối của trình tự thông báo và lấy ý kiến mà APA quy định, và trong nhiều trường hợp không bị thách thức pháp lý. Hơn nữa, các lá thư này hiếm khi chứa đựng phân tích có ý nghĩa về các quan điểm pháp lý mà nhân viên đưa ra. Do đó, chúng có thể bị thay đổi hoặc bị bỏ rơi mà không cần giải thích gì nhiều.</w:t>
      </w:r>
    </w:p>
    <w:p>
      <w:pPr>
        <w:spacing w:after="80"/>
      </w:pPr>
      <w:r>
        <w:rPr>
          <w:b w:val="0"/>
          <w:i w:val="0"/>
        </w:rPr>
        <w:t>Điều này có thể thấy qua những thay đổi trong quan điểm của nhân viên SEC theo Quy tắc 14a-8, quy tắc về đề xuất của cổ đông. Quy tắc này cho phép cổ đông gửi đề xuất đến công ty để đưa vào bản tuyên bố ủy quyền (proxy statement). Ban điều hành có thể, trong một số trường hợp nhất định, loại trừ các đề xuất, bao gồm những đề xuất can thiệp vào “hoạt động kinh doanh thông thường” (ordinary business) của công ty. Tuy nhiên, sự loại trừ này không áp dụng khi đề xuất liên quan đến các vấn đề chính sách công quan trọng.</w:t>
      </w:r>
    </w:p>
    <w:p>
      <w:pPr>
        <w:spacing w:after="80"/>
      </w:pPr>
      <w:r>
        <w:rPr>
          <w:b w:val="0"/>
          <w:i w:val="0"/>
        </w:rPr>
        <w:t>Việc xem xét các giải thích của nhân viên theo quy định loại trừ này cho thấy chúng thay đổi đáng kể từ chính quyền này sang chính quyền khác, đặc biệt khi thành phần chính trị của cơ quan thay đổi. Quốc hội dự liệu rằng Ủy ban gồm năm người sẽ bao gồm đại diện của cả hai đảng lớn. Khi đủ thành viên, Ủy ban thường gồm ba thành viên từ đảng của chính quyền đương nhiệm và hai thành viên từ đảng lớn còn lại. Việc thay thế chỉ một thành viên cũng có thể khiến triết lý quản lý của cơ quan hành chính thay đổi.</w:t>
      </w:r>
    </w:p>
    <w:p>
      <w:pPr>
        <w:spacing w:after="80"/>
      </w:pPr>
      <w:r>
        <w:rPr>
          <w:b w:val="0"/>
          <w:i w:val="0"/>
        </w:rPr>
        <w:t>Dưới các chính quyền Cộng hòa, các quan điểm giải thích theo Quy tắc 14a-8 có xu hướng giảm thiểu hoặc loại bỏ việc xem xét chính sách xã hội và cho phép loại trừ các đề xuất của cổ đông một cách rộng rãi hơn. Dưới các chính quyền Dân chủ, tình hình đảo ngược. Chính sách xã hội được diễn giải rộng rãi theo hướng có lợi cho cổ đông và hạn chế một cách hiệu quả khả năng của ban điều hành trong việc loại trừ đề xuất. Với những quan điểm đối lập này, lập trường của nhân viên thường thay đổi sau khi chính quyền mới lên nắm quyền, đôi khi dẫn đến việc đảo ngược các chính sách đã được thông qua trước đó.</w:t>
      </w:r>
    </w:p>
    <w:p>
      <w:pPr>
        <w:spacing w:after="80"/>
      </w:pPr>
      <w:r>
        <w:rPr>
          <w:b w:val="0"/>
          <w:i w:val="0"/>
        </w:rPr>
        <w:t>Ảnh hưởng chính trị không vận hành theo đường thẳng. Khả năng thay đổi lập trường của nhân viên phụ thuộc vào nhiều yếu tố, bao gồm tầm quan trọng của vấn đề, quan điểm và tính cách cụ thể của các Ủy viên đương nhiệm, và động lực gắn với việc ra quyết định mang tính hợp tác. Các Ủy viên có thể cần thời gian để xây dựng liên minh ủng hộ một lập trường nhất định. Hơn nữa, vì các Ủy viên phục vụ nhiệm kỳ năm năm, một Tổng thống mới đắc cử thường phải chờ vài năm trước khi có thể bổ nhiệm đa số vào Ủy ban. Cuối cùng, ảnh hưởng chính trị có một yếu tố hậu cần, với cơ hội can thiệp bị ảnh hưởng bởi các đề xuất cụ thể do cổ đông gửi và phản hồi của ban điều hành.</w:t>
      </w:r>
    </w:p>
    <w:p>
      <w:pPr>
        <w:pStyle w:val="Heading5"/>
      </w:pPr>
      <w:r>
        <w:rPr>
          <w:rFonts w:ascii="Calibri" w:hAnsi="Calibri"/>
          <w:b/>
          <w:i/>
          <w:sz w:val="22"/>
        </w:rPr>
        <w:t>Bình luận và Câu hỏi</w:t>
      </w:r>
    </w:p>
    <w:p>
      <w:pPr>
        <w:spacing w:after="80"/>
      </w:pPr>
      <w:r>
        <w:rPr>
          <w:b w:val="0"/>
          <w:i w:val="0"/>
        </w:rPr>
        <w:t>1. Mục 4(a) của Đạo luật Giao dịch Chứng khoán quy định rằng “[k]hông quá ba trong số các ủy viên đó được là thành viên của cùng một đảng chính trị, và khi bổ nhiệm, các thành viên của các đảng chính trị khác nhau phải được bổ nhiệm luân phiên trong chừng mực có thể thực hiện được.” 15 USC 78d(a). Bạn nghĩ tại sao yêu cầu này lại được đưa vào luật?</w:t>
      </w:r>
    </w:p>
    <w:p>
      <w:pPr>
        <w:spacing w:after="80"/>
      </w:pPr>
      <w:r>
        <w:rPr>
          <w:b w:val="0"/>
          <w:i w:val="0"/>
        </w:rPr>
        <w:t>2. Trong phần lớn lịch sử của Ủy ban, nhu cầu có đại diện của cả hai đảng có lẽ ít ảnh hưởng đến quá trình ra quyết định của cơ quan. Suy cho cùng, Tổng thống có thể tìm được các ủy viên từ cả hai đảng phản ánh quan điểm của mình. Tuy nhiên, ít nhất kể từ thập niên 1990, thông lệ là Tổng thống bổ nhiệm những người được lãnh đạo đảng chính trị còn lại tại Thượng viện đề cử. Điều này có thể có tác động gì đến các lập trường mà Ủy ban đưa ra?</w:t>
      </w:r>
    </w:p>
    <w:p>
      <w:pPr>
        <w:spacing w:after="80"/>
      </w:pPr>
      <w:r>
        <w:rPr>
          <w:b w:val="0"/>
          <w:i w:val="0"/>
        </w:rPr>
        <w:t>3. Số lượng các cuộc bỏ phiếu 3–2 trong các cuộc họp công khai đã tăng lên đáng kể. Hầu hết (nhưng không phải tất cả) là những cuộc bỏ phiếu phản ánh sự chia rẽ chính trị của Ủy ban. Các cuộc bỏ phiếu về các vấn đề công khai được đăng trên trang web của SEC và có thể tìm thấy tại đây: https://www.sec.gov/foia/foia-votes.shtml . Liệu có bất kỳ mô hình nào trong các cuộc bỏ phiếu chia rẽ không?</w:t>
      </w:r>
    </w:p>
    <w:p>
      <w:pPr>
        <w:spacing w:after="80"/>
      </w:pPr>
      <w:r>
        <w:rPr>
          <w:b w:val="0"/>
          <w:i w:val="0"/>
        </w:rPr>
        <w:t>4. Các Ủy viên đã bất đồng không chỉ về các quy tắc cuối cùng mà còn về các đề xuất. Trong phạm vi mà một sự bất đồng ở giai đoạn đề xuất thực sự tuyên bố phản đối bất kỳ quy tắc cuối cùng nào, điều đó có thể tạo ra sự khác biệt gì trong bản chất của quy tắc cuối cùng? Liệu đội ngũ nhân viên, khi soạn thảo ngôn ngữ của quy tắc cuối cùng, có cần tính đến quan điểm của các Ủy viên bất đồng không? Điều đó có thể có tác động gì đến các quyết định của Ủy ban?</w:t>
      </w:r>
    </w:p>
    <w:p>
      <w:pPr>
        <w:spacing w:after="80"/>
      </w:pPr>
      <w:r>
        <w:rPr>
          <w:b w:val="0"/>
          <w:i w:val="0"/>
        </w:rPr>
        <w:t>5. Bài viết này gợi ý những hàm ý thực tiễn nào của việc ra quyết định trong phạm vi mà Ủy ban vẫn bị chia rẽ trên cơ sở đảng phái chính trị? Tại sao những khác biệt chính trị lại được phản ánh dễ dàng hơn trong các giải thích của đội ngũ nhân viên?</w:t>
      </w:r>
    </w:p>
    <w:p>
      <w:pPr>
        <w:pStyle w:val="Heading3"/>
      </w:pPr>
      <w:r>
        <w:rPr>
          <w:rFonts w:ascii="Calibri" w:hAnsi="Calibri"/>
          <w:b/>
          <w:i w:val="0"/>
          <w:sz w:val="26"/>
        </w:rPr>
        <w:t>B. Thẩm quyền Ban hành Quy tắc</w:t>
      </w:r>
    </w:p>
    <w:p>
      <w:pPr>
        <w:spacing w:after="80"/>
      </w:pPr>
      <w:r>
        <w:rPr>
          <w:b w:val="0"/>
          <w:i w:val="0"/>
        </w:rPr>
        <w:t>Trong việc giải quyết các trách nhiệm giám sát của SEC, Quốc hội đã trao cho cơ quan này một vai trò trong quá trình quản trị công ty. Lịch sử lập pháp của Đạo luật Giao dịch Chứng khoán (Exchange Act) cho thấy mối quan ngại đáng kể về việc kiểm soát quá trình bỏ phiếu của các giám đốc nhằm củng cố vị trí của họ trong bộ máy. Như Báo cáo của Hạ viện đã lưu ý:</w:t>
      </w:r>
    </w:p>
    <w:p>
      <w:pPr>
        <w:spacing w:after="80"/>
      </w:pPr>
      <w:r>
        <w:rPr>
          <w:b w:val="0"/>
          <w:i w:val="0"/>
        </w:rPr>
        <w:t>Quyền bầu cử công bằng của cổ đông là một quyền quan trọng gắn liền với mọi chứng khoán vốn được mua trên một sàn giao dịch công khai. Ban quản lý của các tài sản thuộc sở hữu của công chúng đầu tư không nên được phép duy trì vị trí của mình thông qua việc lạm dụng giấy ủy quyền của công ty. Những người nội bộ có ít hoặc không có lợi ích đáng kể trong các tài sản mà họ quản lý thường đã giữ quyền kiểm soát của mình mà không công bố đầy đủ về lợi ích của họ và không có giải thích thỏa đáng về các chính sách quản lý mà họ dự định theo đuổi. Những người nội bộ đôi khi đã thu thập giấy ủy quyền mà không thông báo một cách công bằng cho các cổ đông về mục đích sử dụng giấy ủy quyền và đã sử dụng những giấy ủy quyền đó để lấy từ các cổ đông những quyền tài sản có giá trị vì lợi ích ích kỷ của riêng họ.</w:t>
      </w:r>
    </w:p>
    <w:p>
      <w:pPr>
        <w:spacing w:after="80"/>
      </w:pPr>
      <w:r>
        <w:rPr>
          <w:b w:val="0"/>
          <w:i w:val="0"/>
        </w:rPr>
        <w:t>Quốc hội đã trao cho Ủy ban quyền điều chỉnh quá trình ủy quyền, chủ yếu (mặc dù không phải duy nhất) thông qua việc công bố thông tin. Với việc công bố thông tin, Quốc hội dự đoán rằng các cổ đông sẽ ở vị trí có thể sửa chữa những lạm dụng quản trị công ty nghiêm trọng nhất. Điều này được đề cập đầy đủ hơn trong Chương 9 .</w:t>
      </w:r>
    </w:p>
    <w:p>
      <w:pPr>
        <w:spacing w:after="80"/>
      </w:pPr>
      <w:r>
        <w:rPr>
          <w:b w:val="0"/>
          <w:i w:val="0"/>
        </w:rPr>
        <w:t xml:space="preserve">Một nguồn đáng kể dẫn đến sự tham gia của Ủy ban vào quá trình quản trị là thông qua việc ban hành quy tắc. Mục 553 của Đạo luật Thủ tục Hành chính (Administrative Procedures Act) yêu cầu các cơ quan liên bang phải thông báo về các quy tắc được đề xuất và tạo cơ hội để bình luận. </w:t>
      </w:r>
      <w:r>
        <w:rPr>
          <w:b w:val="0"/>
          <w:i/>
        </w:rPr>
        <w:t>Xem</w:t>
      </w:r>
      <w:r>
        <w:rPr>
          <w:b w:val="0"/>
          <w:i w:val="0"/>
        </w:rPr>
        <w:t xml:space="preserve"> 5 U.S.C. § 553. Do đó, các đề xuất tạo ra một thứ tương đương với một diễn đàn mở về các tiêu chuẩn quản trị công ty. Các quy tắc này, không có gì đáng ngạc nhiên, đã tạo ra sự chú ý và tranh cãi đáng kể. </w:t>
      </w:r>
      <w:r>
        <w:rPr>
          <w:b w:val="0"/>
          <w:i/>
        </w:rPr>
        <w:t>Xem</w:t>
      </w:r>
      <w:r>
        <w:rPr>
          <w:b w:val="0"/>
          <w:i w:val="0"/>
        </w:rPr>
        <w:t xml:space="preserve"> Joseph A. Grundfest, </w:t>
      </w:r>
      <w:r>
        <w:rPr>
          <w:b w:val="0"/>
          <w:i/>
        </w:rPr>
        <w:t>The SEC's Proposed Proxy Access Rules: Politics, Economics and the Law</w:t>
      </w:r>
      <w:r>
        <w:rPr>
          <w:b w:val="0"/>
          <w:i w:val="0"/>
        </w:rPr>
        <w:t xml:space="preserve"> , 65 Bus. Law. 361, 386 (Feb. 2010) (lưu ý rằng đối với các đề xuất về quyền tiếp cận của cổ đông, “hơn 34,000 bình luận đã được gửi trong các lần ban hành quy tắc trước đó về vấn đề này.”).</w:t>
      </w:r>
    </w:p>
    <w:p>
      <w:pPr>
        <w:spacing w:after="80"/>
      </w:pPr>
      <w:r>
        <w:rPr>
          <w:b w:val="0"/>
          <w:i w:val="0"/>
        </w:rPr>
        <w:t>Ngoài bất kỳ quy trình nào được áp đặt theo APA, Ủy ban chỉ có thể thông qua các quy tắc phù hợp với thẩm quyền theo luật định của mình. Với vai trò chính là đảm bảo thông tin chính xác và đầy đủ, hầu hết các quy tắc ảnh hưởng đến quá trình quản trị đều liên quan đến các yêu cầu công bố thông tin. Tuy nhiên, SEC đôi khi đã cố gắng đi xa hơn, sử dụng các tiêu chuẩn ban hành quy tắc của mình để áp đặt các yêu cầu quản trị mang tính thực chất.</w:t>
      </w:r>
    </w:p>
    <w:p>
      <w:pPr>
        <w:spacing w:after="80"/>
      </w:pPr>
      <w:r>
        <w:rPr>
          <w:b w:val="0"/>
          <w:i w:val="0"/>
        </w:rPr>
        <w:t xml:space="preserve">Không có thẩm quyền trực tiếp để làm điều đó, Ủy ban đã tìm cách can thiệp vào cuộc tranh luận về quản trị công ty thông qua cơ chế tiêu chuẩn niêm yết tại các sàn giao dịch chứng khoán. Theo mục 19(c) của Đạo luật Giao dịch Chứng khoán, SEC có thẩm quyền áp đặt các quy tắc lên các sàn giao dịch. </w:t>
      </w:r>
      <w:r>
        <w:rPr>
          <w:b w:val="0"/>
          <w:i/>
        </w:rPr>
        <w:t>Xem</w:t>
      </w:r>
      <w:r>
        <w:rPr>
          <w:b w:val="0"/>
          <w:i w:val="0"/>
        </w:rPr>
        <w:t xml:space="preserve"> 15 U.S.C. § 78(c). Năm 1988, Ủy ban đã cố gắng sử dụng thẩm quyền này để yêu cầu các sàn giao dịch thông qua một điều khoản điều chỉnh quyền biểu quyết của cổ đông. Quy tắc này đã nhanh chóng bị thách thức.</w:t>
      </w:r>
    </w:p>
    <w:p>
      <w:pPr>
        <w:pStyle w:val="Heading4"/>
      </w:pPr>
      <w:r>
        <w:rPr>
          <w:rFonts w:ascii="Calibri" w:hAnsi="Calibri"/>
          <w:b/>
          <w:i w:val="0"/>
          <w:sz w:val="23"/>
        </w:rPr>
        <w:t>Business Roundtable kiện</w:t>
      </w:r>
      <w:r>
        <w:br/>
      </w:r>
      <w:r>
        <w:rPr>
          <w:rFonts w:ascii="Calibri" w:hAnsi="Calibri"/>
          <w:b/>
          <w:i w:val="0"/>
          <w:sz w:val="23"/>
        </w:rPr>
        <w:t xml:space="preserve"> Securities and Exchange Commission</w:t>
      </w:r>
    </w:p>
    <w:p>
      <w:pPr>
        <w:spacing w:after="80"/>
      </w:pPr>
      <w:r>
        <w:rPr>
          <w:b w:val="0"/>
          <w:i w:val="0"/>
        </w:rPr>
        <w:t>Tòa án Phúc thẩm Hoa Kỳ, Vòng Đặc khu Columbia</w:t>
      </w:r>
      <w:r>
        <w:br/>
      </w:r>
      <w:r>
        <w:rPr>
          <w:b w:val="0"/>
          <w:i w:val="0"/>
        </w:rPr>
        <w:t xml:space="preserve"> 905 F.2d 406 (1990)</w:t>
      </w:r>
    </w:p>
    <w:p>
      <w:pPr>
        <w:spacing w:after="80"/>
      </w:pPr>
      <w:r>
        <w:rPr>
          <w:b w:val="0"/>
          <w:i w:val="0"/>
        </w:rPr>
        <w:t>WILLIAMS , THẨM PHÁN VÒNG :</w:t>
      </w:r>
    </w:p>
    <w:p>
      <w:pPr>
        <w:spacing w:after="80"/>
      </w:pPr>
      <w:r>
        <w:rPr>
          <w:b w:val="0"/>
          <w:i w:val="0"/>
        </w:rPr>
        <w:t>Năm 1984, General Motors công bố kế hoạch phát hành một loại cổ phiếu phổ thông thứ hai với nửa phiếu bầu cho mỗi cổ phiếu. Đề xuất này xung đột với một quy tắc lâu đời của Sở Giao dịch Chứng khoán New York (New York Stock Exchange) yêu cầu các công ty niêm yết phải cung cấp một phiếu bầu cho mỗi cổ phiếu phổ thông. NYSE đã do dự trong việc thực thi, và sau hai năm đã nộp một đề xuất lên Ủy ban Giao dịch và Chứng khoán để nới lỏng quy tắc của chính mình. SEC đã không phê duyệt thay đổi quy tắc đó mà thay vào đó đưa ra quy tắc của riêng mình. Vào ngày 7 tháng 7 năm 1988, SEC đã thông qua Quy tắc 19c-4, cấm các sàn giao dịch chứng khoán quốc gia và các hiệp hội chứng khoán quốc gia, được gọi chung là các tổ chức tự quản (self-regulatory organizations - SROs), niêm yết cổ phiếu của một công ty thực hiện bất kỳ hành động công ty nào “có tác dụng vô hiệu hóa, hạn chế hoặc giảm bớt một cách không đồng đều quyền biểu quyết trên mỗi cổ phiếu của [các cổ đông phổ thông hiện hữu].” Voting Rights Listing Standards; Disenfranchisement Rule, 53 Fed.Reg. 26,376, 26,394 (1988) (“Final Rule”), được hệ thống hóa tại 17 CFR § 240.19c-4 (1990). Quy tắc này cấm việc “tước quyền” như vậy ngay cả khi được chấp thuận bởi một cuộc bỏ phiếu của cổ đông được tiến hành theo nguyên tắc một cổ phiếu/một phiếu bầu. Bởi vì quy tắc này trực tiếp kiểm soát việc phân bổ quyền lực mang tính thực chất giữa các loại cổ đông, chúng tôi thấy nó vượt quá thẩm quyền của Ủy ban theo § 19 của Đạo luật Giao dịch Chứng khoán năm 1934, đã được sửa đổi (gọi là “Exchange Act”), 15 U.S.C. § 78s (1988). Ở đây không đặt vấn đề về tính khôn ngoan của yêu cầu này, cũng như việc nó được áp đặt ở cấp liên bang.</w:t>
      </w:r>
    </w:p>
    <w:p>
      <w:pPr>
        <w:spacing w:after="80"/>
      </w:pPr>
      <w:r>
        <w:rPr>
          <w:b w:val="0"/>
          <w:i w:val="0"/>
        </w:rPr>
        <w:t>* * *</w:t>
      </w:r>
    </w:p>
    <w:p>
      <w:pPr>
        <w:spacing w:after="80"/>
      </w:pPr>
      <w:r>
        <w:rPr>
          <w:b w:val="0"/>
          <w:i w:val="0"/>
        </w:rPr>
        <w:t>Hai thành phần của § 19 trao cho Ủy ban thẩm quyền đối với các quy tắc của các tổ chức tự quản. Thứ nhất, § 19(b) yêu cầu họ phải nộp cho Ủy ban bất kỳ thay đổi được đề xuất nào trong quy tắc của họ. Ủy ban phải phê duyệt thay đổi đó nếu họ thấy nó “phù hợp với các yêu cầu của [Đạo luật Giao dịch Chứng khoán] và các quy tắc và quy định theo đó áp dụng” cho tổ chức tự quản. § 19(b)(2), 15 U.S.C. § 78s(b)(2). Điều khoản này không trực tiếp được đặt vấn đề ở đây, nhưng, như chúng ta sẽ thấy, cả thủ tục và các điều khoản hướng dẫn việc phê duyệt của Ủy ban đều quan trọng trong việc hiểu phạm vi thẩm quyền mà Ủy ban đã tìm cách thực thi. Điều đó được tìm thấy trong § 19(c), cho phép Ủy ban theo sáng kiến của riêng mình sửa đổi các quy tắc của một tổ chức tự quản khi nó</w:t>
      </w:r>
    </w:p>
    <w:p>
      <w:pPr>
        <w:spacing w:after="80"/>
      </w:pPr>
      <w:r>
        <w:rPr>
          <w:b w:val="0"/>
          <w:i w:val="0"/>
        </w:rPr>
        <w:t xml:space="preserve">cho là cần thiết hoặc thích hợp [1] để đảm bảo việc quản lý công bằng tổ chức tự quản, [2] để điều chỉnh các quy tắc của tổ chức cho phù hợp với các yêu cầu của [Đạo luật Giao dịch Chứng khoán] và các quy tắc, quy định ban hành theo đó áp dụng cho tổ chức đó, hoặc </w:t>
      </w:r>
      <w:r>
        <w:rPr>
          <w:b w:val="0"/>
          <w:i/>
        </w:rPr>
        <w:t>theo cách khác nhằm thúc đẩy các mục đích của [Đạo luật Giao dịch Chứng khoán].</w:t>
      </w:r>
    </w:p>
    <w:p>
      <w:pPr>
        <w:spacing w:after="80"/>
      </w:pPr>
      <w:r>
        <w:rPr>
          <w:b w:val="0"/>
          <w:i w:val="0"/>
        </w:rPr>
        <w:t>§ 19(c), 15 U.S.C. § 78s(c) (phần nhấn mạnh và liệt kê được thêm vào). Vì không ai cho rằng một trong hai mục đích đầu tiên biện minh cho Quy tắc 19c-4, nên vấn đề trước chúng tôi là phạm vi của điều khoản thứ ba, điều khoản bao quát chung.</w:t>
      </w:r>
    </w:p>
    <w:p>
      <w:pPr>
        <w:spacing w:after="80"/>
      </w:pPr>
      <w:r>
        <w:rPr>
          <w:b w:val="0"/>
          <w:i w:val="0"/>
        </w:rPr>
        <w:t>* * *</w:t>
      </w:r>
    </w:p>
    <w:p>
      <w:pPr>
        <w:spacing w:after="80"/>
      </w:pPr>
      <w:r>
        <w:rPr>
          <w:b w:val="0"/>
          <w:i w:val="0"/>
        </w:rPr>
        <w:t xml:space="preserve">Vậy thì các “mục đích” của Đạo luật Giao dịch Chứng khoán là gì? Ủy ban ủng hộ Quy tắc 19c-4 như một quy tắc thúc đẩy các mục đích của nhiều điều khoản khác nhau, xem Quy tắc Cuối cùng, 53 Fed.Reg. tại 26,390/1, nhưng trước tiên chúng tôi xem xét lập luận mạnh nhất của Ủy ban—quyền hạn được trao trong § 14 để điều chỉnh quá trình ủy quyền bỏ phiếu. Ủy ban nhận thấy có một mục đích “để đảm bảo quyền bỏ phiếu công bằng của cổ đông.” </w:t>
      </w:r>
      <w:r>
        <w:rPr>
          <w:b w:val="0"/>
          <w:i/>
        </w:rPr>
        <w:t>Xem</w:t>
      </w:r>
      <w:r>
        <w:rPr>
          <w:b w:val="0"/>
          <w:i w:val="0"/>
        </w:rPr>
        <w:t xml:space="preserve"> Quy tắc Cuối cùng, 53 Fed.Reg. tại 26,391/2. Thật vậy, Ủy ban viện dẫn các tuyên bố trong Báo cáo của Hạ viện rằng “quyền bỏ phiếu công bằng của cổ đông là một quyền quan trọng,” H.R.Rep. No. 1383, 73d Cong., 2d Sess. 13 (1934) (“Báo cáo Hạ viện 1934”), và rằng “việc sử dụng các sàn giao dịch phải đi kèm với nghĩa vụ tương ứng là dành cho cổ đông quyền bỏ phiếu công bằng,” id. tại 14. Cách diễn đạt này đúng theo nghĩa rằng quyết định của Quốc hội có thể được xếp vào dưới chiếc ô rộng lớn đó.</w:t>
      </w:r>
    </w:p>
    <w:p>
      <w:pPr>
        <w:spacing w:after="80"/>
      </w:pPr>
      <w:r>
        <w:rPr>
          <w:b w:val="0"/>
          <w:i w:val="0"/>
        </w:rPr>
        <w:t xml:space="preserve">Nhưng trừ khi mục đích lập pháp được xác định bằng cách tham chiếu đến các phương tiện mà Quốc hội đã lựa chọn, nó có thể được diễn đạt ở bất kỳ mức độ khái quát nào—chẳng hạn như để cải thiện hoạt động của thị trường vốn. Trên thực tế, mặc dù § 14(a) nói chung cấm việc sử dụng dịch vụ bưu chính (và các phương tiện khác) “để trưng cầu . . . bất kỳ giấy ủy quyền nào” trái với các quy tắc và quy định của Ủy ban, nhưng không có tranh cãi nghiêm túc rằng mối quan tâm trọng tâm của Quốc hội là về việc công bố thông tin. </w:t>
      </w:r>
      <w:r>
        <w:rPr>
          <w:b w:val="0"/>
          <w:i/>
        </w:rPr>
        <w:t>Xem</w:t>
      </w:r>
      <w:r>
        <w:rPr>
          <w:b w:val="0"/>
          <w:i w:val="0"/>
        </w:rPr>
        <w:t xml:space="preserve"> J. I. Case Co. v. Borak, 377 U.S. 426, 431, 84 S. Ct. 1555, 12 L. Ed. 2d 423 (1964) (“Mục đích của § 14(a) là để ngăn chặn ban lãnh đạo hoặc những người khác giành được sự ủy quyền cho hành động của công ty bằng cách công bố thông tin gây nhầm lẫn hoặc không đầy đủ trong việc trưng cầu giấy ủy quyền.”); xem thêm Santa Fe Industries Inc. v. Green, 430 U.S. 462, 477–78, 97 S. Ct. 1292, 51 L. Ed. 2d 480 (1977) (nhấn mạnh triết lý công bố thông tin đầy đủ của Đạo luật Giao dịch Chứng khoán và bác bỏ tính công bằng của các điều khoản giao dịch như “cùng lắm chỉ là mối quan tâm phụ của đạo luật” một khi việc công bố thông tin đầy đủ và công bằng đã diễn ra).</w:t>
      </w:r>
    </w:p>
    <w:p>
      <w:pPr>
        <w:spacing w:after="80"/>
      </w:pPr>
      <w:r>
        <w:rPr>
          <w:b w:val="0"/>
          <w:i w:val="0"/>
        </w:rPr>
        <w:t xml:space="preserve">Trong khi Báo cáo Hạ viện thực sự nói về quyền bỏ phiếu công bằng của cổ đông, báo cáo này cũng xác định rõ ràng mục tiêu của Quốc hội—việc trưng cầu giấy ủy quyền bởi những người nội bộ hiểu biết “mà không thông báo một cách công bằng cho các cổ đông về các mục đích mà giấy ủy quyền sẽ được sử dụng.” Báo cáo Hạ viện 1934 tại 14. Báo cáo Thượng viện không chứa ngôn ngữ mơ hồ nào về “quyền bỏ phiếu của cổ đông,” mà thay vào đó giải thích mục đích của các biện pháp bảo vệ liên quan đến giấy ủy quyền là đảm bảo rằng cổ đông có “kiến thức đầy đủ” về “tình hình tài chính của công ty . . . [và] các câu hỏi chính sách quan trọng, vốn được quyết định tại các cuộc họp cổ đông.” S.Rep. No. 792, 73d Cong., 2d Sess. 12 (1934) (“Báo cáo Thượng viện 1934”). Cuối cùng, cả hai báo cáo đều nhất trí về quyền hạn mà các điều khoản về giấy ủy quyền đã trao cho Ủy ban—“quyền kiểm soát các điều kiện mà theo đó giấy ủy quyền có thể được trưng cầu.” Báo cáo Hạ viện 1934 tại 14. </w:t>
      </w:r>
      <w:r>
        <w:rPr>
          <w:b w:val="0"/>
          <w:i/>
        </w:rPr>
        <w:t>Xem</w:t>
      </w:r>
      <w:r>
        <w:rPr>
          <w:b w:val="0"/>
          <w:i w:val="0"/>
        </w:rPr>
        <w:t xml:space="preserve"> thêm Báo cáo Thượng viện 1934 tại 12 (ngôn ngữ tương tự).</w:t>
      </w:r>
    </w:p>
    <w:p>
      <w:pPr>
        <w:spacing w:after="80"/>
      </w:pPr>
      <w:r>
        <w:rPr>
          <w:b w:val="0"/>
          <w:i w:val="0"/>
        </w:rPr>
        <w:t xml:space="preserve">Việc quy định về giấy ủy quyền hầu như chỉ liên quan đến công bố thông tin xuất phát từ tính tất yếu của bản chất giấy ủy quyền. Suy cho cùng, việc trưng cầu giấy ủy quyền chỉ là những </w:t>
      </w:r>
      <w:r>
        <w:rPr>
          <w:b w:val="0"/>
          <w:i/>
        </w:rPr>
        <w:t>thông tin liên lạc</w:t>
      </w:r>
      <w:r>
        <w:rPr>
          <w:b w:val="0"/>
          <w:i w:val="0"/>
        </w:rPr>
        <w:t xml:space="preserve"> với những cử tri vắng mặt tiềm năng. Mục tiêu của quy định liên bang về giấy ủy quyền là cải thiện những thông tin liên lạc đó và qua đó cho phép các cử tri bỏ phiếu qua giấy ủy quyền kiểm soát công ty một cách hiệu quả như thể họ đã tham dự một cuộc họp cổ đông. </w:t>
      </w:r>
      <w:r>
        <w:rPr>
          <w:b w:val="0"/>
          <w:i/>
        </w:rPr>
        <w:t>Id. Xem</w:t>
      </w:r>
      <w:r>
        <w:rPr>
          <w:b w:val="0"/>
          <w:i w:val="0"/>
        </w:rPr>
        <w:t xml:space="preserve"> thêm S.Rep. No. 1455, 73d Cong., 2d Sess. 74 (1934); Sheldon E. Bernstein và Henry G. Fischer, </w:t>
      </w:r>
      <w:r>
        <w:rPr>
          <w:b w:val="0"/>
          <w:i/>
        </w:rPr>
        <w:t>The Regulation of the Solicitation of Proxies: Some Reflections on Corporate Democracy</w:t>
      </w:r>
      <w:r>
        <w:rPr>
          <w:b w:val="0"/>
          <w:i w:val="0"/>
        </w:rPr>
        <w:t xml:space="preserve"> , 7 U. Chi. L. Rev. 226, 227–28 (1940).</w:t>
      </w:r>
    </w:p>
    <w:p>
      <w:pPr>
        <w:spacing w:after="80"/>
      </w:pPr>
      <w:r>
        <w:rPr>
          <w:b w:val="0"/>
          <w:i w:val="0"/>
        </w:rPr>
        <w:t xml:space="preserve">Chúng tôi không có ý nói rằng công bố thông tin nhất thiết là chủ đề duy nhất của § 14. </w:t>
      </w:r>
      <w:r>
        <w:rPr>
          <w:b w:val="0"/>
          <w:i/>
        </w:rPr>
        <w:t>Xem</w:t>
      </w:r>
      <w:r>
        <w:rPr>
          <w:b w:val="0"/>
          <w:i w:val="0"/>
        </w:rPr>
        <w:t xml:space="preserve"> Louis Loss, Fundamentals of Securities Regulation 452-53 (1988) (khẳng định rằng § 14 không chỉ giới hạn ở việc đảm bảo công bố thông tin), được trích dẫn trong Quy tắc Cuối cùng, 53 Fed. Reg. tại 26,391 n. 163; Karmel, 36 Cath. U.L. Rev. 809, 824 (tương tự). Nhưng xem thêm Dent, 54 Geo. Wash. L. Rev. 725, 733–34 (§ 14 chủ yếu, nếu không phải là duy nhất, hướng đến công bố thông tin); Comment, 83 Nw. U.L. Rev. 1057, 1071 (tương tự). Ví dụ, Quy tắc 14a-4(b)(2) của Ủy ban yêu cầu giấy ủy quyền phải cung cấp một cơ chế nào đó để người nắm giữ chứng khoán có thể từ chối quyền biểu quyết cho từng ứng viên riêng lẻ. </w:t>
      </w:r>
      <w:r>
        <w:rPr>
          <w:b w:val="0"/>
          <w:i/>
        </w:rPr>
        <w:t>Xem</w:t>
      </w:r>
      <w:r>
        <w:rPr>
          <w:b w:val="0"/>
          <w:i w:val="0"/>
        </w:rPr>
        <w:t xml:space="preserve"> 17 CFR § 240.14a-4(b)(2). Do đó, quy tắc này cấm một kiểu sắp đặt liên kết trong bầu cử, và có thể được ủng hộ như một biện pháp kiểm soát quyền hạn của ban lãnh đạo trong việc thiết lập chương trình nghị sự biểu quyết, hoặc, rộng hơn một chút, các thủ tục biểu quyết. </w:t>
      </w:r>
      <w:r>
        <w:rPr>
          <w:b w:val="0"/>
          <w:i/>
        </w:rPr>
        <w:t>Xem nói chung</w:t>
      </w:r>
      <w:r>
        <w:rPr>
          <w:b w:val="0"/>
          <w:i w:val="0"/>
        </w:rPr>
        <w:t xml:space="preserve"> , Dennis C. Mueller, Public Choice 38–58 (1979) (lưu ý rằng những khó khăn cố hữu của việc biểu quyết theo đa số, như logrolling và cycling (trong đó các kết quả khác nhau có thể được tạo ra khi các liên minh tái định hình qua các lần biểu quyết liên tiếp), có thể làm tăng quyền lực của người thiết lập chương trình nghị sự và dẫn đến các kết quả làm giảm phúc lợi của cộng đồng cử tri). Nhưng trong khi Quy tắc 14a-4(b)(2) có thể nằm trong vùng mờ giữa nội dung và thủ tục, thì Quy tắc 19c-4 can thiệp trực tiếp hơn nhiều vào nội dung của những gì cổ đông có thể ban hành. Quy tắc này cấm một số việc tái phân bổ quyền biểu quyết và một số cơ cấu vốn nhất định, ngay cả khi được thông qua bởi một cuộc biểu quyết của cổ đông tuân theo việc công bố thông tin đầy đủ và các quy tắc thủ tục khắt khe nhất. . . .</w:t>
      </w:r>
    </w:p>
    <w:p>
      <w:pPr>
        <w:spacing w:after="80"/>
      </w:pPr>
      <w:r>
        <w:rPr>
          <w:b w:val="0"/>
          <w:i w:val="0"/>
        </w:rPr>
        <w:t xml:space="preserve">Ủy ban đã lưu ý trong phần mở đầu của Quy tắc Đề xuất rằng Ủy ban tin tưởng rằng các vấn đề hành động tập thể có thể khiến ngay cả một cuộc biểu quyết cổ đông được tiến hành đúng cách (với đầy đủ thông tin công bố và các thủ tục hợp lý) cũng mang lại những kết quả gây tổn hại cho cổ đông. </w:t>
      </w:r>
      <w:r>
        <w:rPr>
          <w:b w:val="0"/>
          <w:i/>
        </w:rPr>
        <w:t>Xem</w:t>
      </w:r>
      <w:r>
        <w:rPr>
          <w:b w:val="0"/>
          <w:i w:val="0"/>
        </w:rPr>
        <w:t xml:space="preserve"> Quy tắc Đề xuất, 52 Fed. Reg. tại 23,672/1 (trình bày chi tiết vấn đề hành động tập thể trong quá trình biểu quyết của cổ đông và bày tỏ “lo ngại” về “ảnh hưởng của cuộc biểu quyết đó”). Chúng tôi không đặt câu hỏi về những phát hiện này. Nhưng chúng tôi cho rằng việc Ủy ban dựa vào chúng là một dấu hiệu cho thấy sự kéo giãn các mục đích của Quốc hội. Như chính Ủy ban đã nhận xét, “điều khoản 14(a) chứa đựng một giả định ngầm rằng cổ đông sẽ có thể sử dụng thông tin được cung cấp trong các văn bản trưng cầu giấy ủy quyền để bỏ phiếu trong các cuộc bầu cử công ty.” Quy tắc Cuối cùng, 53 Fed.Reg. tại 26,391/3. Năm 1934, Quốc hội hành động trên tiền đề rằng việc biểu quyết của cổ đông có thể hiệu quả, miễn là nhà đầu tư có đủ thông tin và, có lẽ, được hưởng lợi từ các biện pháp bảo vệ thủ tục khác. Quốc hội không tìm cách điều chỉnh các lựa chọn của cổ đông. Nếu Ủy ban cho rằng tiền đề đó là sai lầm, Ủy ban phải quay sang Quốc hội.</w:t>
      </w:r>
    </w:p>
    <w:p>
      <w:pPr>
        <w:spacing w:after="80"/>
      </w:pPr>
      <w:r>
        <w:rPr>
          <w:b w:val="0"/>
          <w:i w:val="0"/>
        </w:rPr>
        <w:t xml:space="preserve">Với bước đi vượt ra ngoài việc kiểm soát thủ tục biểu quyết và tiến vào việc phân bổ quyền biểu quyết, Ủy ban sẽ đảm nhận một quyền hạn mà những người ủng hộ Đạo luật Giao dịch Chứng khoán đã phủ nhận bất kỳ ý định nào trao cho. Lưu ý rằng những người phản đối bày tỏ lo ngại rằng dự luật sẽ trao cho Ủy ban “quyền can thiệp vào việc quản lý các công ty,” Ủy ban Ngân hàng và Tiền tệ của Thượng viện nói rằng ủy ban “không có ý định như vậy” và rằng dự luật “không đưa ra bất kỳ biện minh nào cho cách giải thích như vậy.” Báo cáo Thượng viện 1934 tại 10. </w:t>
      </w:r>
      <w:r>
        <w:rPr>
          <w:b w:val="0"/>
          <w:i/>
        </w:rPr>
        <w:t>Xem</w:t>
      </w:r>
      <w:r>
        <w:rPr>
          <w:b w:val="0"/>
          <w:i w:val="0"/>
        </w:rPr>
        <w:t xml:space="preserve"> thêm H.R. Conf.Rep. No. 1838, 73d Cong., 2d Sess. 35 (1934) (xóa bỏ vì không cần thiết điều khoản 13(d) của dự luật, điều khoản này nêu rõ rằng Ủy ban không thể “can thiệp vào việc quản lý các công việc của một tổ chức phát hành”).</w:t>
      </w:r>
    </w:p>
    <w:p>
      <w:pPr>
        <w:spacing w:after="80"/>
      </w:pPr>
      <w:r>
        <w:rPr>
          <w:b w:val="0"/>
          <w:i w:val="0"/>
        </w:rPr>
        <w:t>Tất nhiên, có những sắc thái trong khái niệm “quản lý.” Với quy tắc hiện tại, Ủy ban không bảo bất kỳ công ty nào đặt nhà máy tiếp theo ở đâu. Nhưng luật công ty của tiểu bang cũng không làm điều đó; luật này điều chỉnh việc phân bổ quyền hạn giữa các chủ thể khác nhau trong quá trình quản trị công ty, và bước nhảy vọt hiện tại của Ủy ban vượt ra ngoài công bố thông tin chính là kiểu quy định đó. Tập hợp hỗn tạp các tiêu chuẩn niêm yết trước đây đã được đệ trình lên Ủy ban theo § 19(b), xem chú thích 4 ở trên, cho thấy phạm vi của yêu sách hiện tại của Ủy ban. Những tiêu chuẩn này điều chỉnh các yêu cầu về giám đốc độc lập, ủy ban kiểm toán độc lập, số đại biểu cổ đông tối thiểu, sự chấp thuận của cổ đông cho một số giao dịch công ty lớn, và các vấn đề lớn khác vốn theo truyền thống được điều chỉnh bởi luật tiểu bang. Nếu Quy tắc 19c-4 có liên quan đủ chặt chẽ đến mục đích quy định về giấy ủy quyền của § 14, thì tất cả những vấn đề này dường như cũng phải chịu sự kiểm soát tùy ý của Ủy ban.</w:t>
      </w:r>
    </w:p>
    <w:p>
      <w:pPr>
        <w:spacing w:after="80"/>
      </w:pPr>
      <w:r>
        <w:rPr>
          <w:b w:val="0"/>
          <w:i w:val="0"/>
        </w:rPr>
        <w:t xml:space="preserve">Đáng ngạc nhiên là Ủy ban không thừa nhận việc thiếu thẩm quyền đối với những vấn đề như vậy. Khi được hỏi tại phần tranh luận miệng về việc những quy tắc công ty của tiểu bang nào không liên quan đến “quyền bỏ phiếu công bằng của cổ đông,” luật sư của SEC chỉ thừa nhận rằng những sự xâm phạm sâu hơn vào quản trị công ty của tiểu bang “sẽ tạo ra những tình huống khó khăn hơn.” Tr. of Oral Argument tại 29 (Nov. 21, 1989). Trên thực tế, nhận thức rõ ràng của Ủy ban về quyền hạn theo § 19 của mình đã cực kỳ rộng lớn, không bị giới hạn ngay cả bởi bất kỳ vẻ ngoài nào của mối liên hệ với § 14. Khi xem xét các thay đổi quy tắc trước đây của SRO về các vấn đề giám đốc độc lập và ủy ban kiểm toán độc lập, Ủy ban đã đặt cơ sở cho việc xem xét của mình vào một nhiệm vụ được cho là để “bảo vệ nhà đầu tư và lợi ích công chúng.” Midwest Stock Exchange, Inc., 52 Fed.Reg. 36,657, 36,658/2 (1987). </w:t>
      </w:r>
      <w:r>
        <w:rPr>
          <w:b w:val="0"/>
          <w:i/>
        </w:rPr>
        <w:t>Xem</w:t>
      </w:r>
      <w:r>
        <w:rPr>
          <w:b w:val="0"/>
          <w:i w:val="0"/>
        </w:rPr>
        <w:t xml:space="preserve"> thêm Order Approving Amendments to the Transaction Reporting Plan With Respect to NASDAQ/NMS Securities, 52 Fed.Reg. 24,234, 24,235/2 (1987). Ủy ban không cố gắng giới hạn khái niệm này bằng cách tham chiếu đến các mục đích cụ thể của bất kỳ điều khoản nào. Thay vào đó, Ủy ban lập luận rằng các thay đổi quy tắc bảo vệ nhà đầu tư bằng cách “tạo ra sự thống nhất giúp đảm bảo với nhà đầu tư rằng tất cả các công ty được giao dịch trên những thị trường đó đều có những biện pháp bảo vệ cơ bản mà họ đã quen mong đợi ở các công ty lớn.” Midwest Stock Exchange, 52 Fed. Reg. tại 36,658/1. Nếu Quy tắc 19c-4 được xác nhận trên những cơ sở rộng lớn như vậy, Ủy ban sẽ có thể thiết lập một luật công ty liên bang bằng cách sử dụng quyền tiếp cận các thị trường vốn quốc gia làm cơ chế thực thi. Điều này sẽ giải quyết một cuộc tranh cãi lâu dài về tính khôn ngoan của một động thái như vậy trước những lời phủ nhận từ Quốc hội và không có bất kỳ ràng buộc thực chất nào đối với quyền hạn đó. Hơn nữa, nó sẽ lật ngược hoặc ít nhất là xâm phạm nghiêm trọng truyền thống quy định luật công ty của tiểu bang. Như Tòa án Tối cao đã nói, “các công ty là sản phẩm của luật tiểu bang, và nhà đầu tư giao phó tiền của họ cho các giám đốc công ty với sự hiểu biết rằng, trừ khi luật liên bang </w:t>
      </w:r>
      <w:r>
        <w:rPr>
          <w:b w:val="0"/>
          <w:i/>
        </w:rPr>
        <w:t>quy định rõ ràng</w:t>
      </w:r>
      <w:r>
        <w:rPr>
          <w:b w:val="0"/>
          <w:i w:val="0"/>
        </w:rPr>
        <w:t xml:space="preserve"> một số trách nhiệm nhất định của giám đốc đối với cổ đông, luật tiểu bang sẽ điều chỉnh các công việc nội bộ của công ty.” Sante Fe Industries, 430 U.S. tại 479 (phần nhấn mạnh trong nguyên bản, trích dẫn Cort v. Ash, 422 U.S. 66, 84, 95 S. Ct. 2080, 45 L. Ed. 2d 26 (1975)). Ít nhất một Ủy viên chia sẻ quan điểm này, tuyên bố rằng “điều khoản 19(c) không trao cho Ủy ban quyền tự do hoàn toàn để thông qua các tiêu chuẩn quản trị công ty liên bang qua cửa sau bằng cách bắt buộc các tiêu chuẩn niêm yết thống nhất.” Quy tắc Cuối cùng, 53 Fed. Reg. tại 26,395/1 (Grundfest, Comm'r, đồng ý). </w:t>
      </w:r>
      <w:r>
        <w:rPr>
          <w:b w:val="0"/>
          <w:i/>
        </w:rPr>
        <w:t>Xem</w:t>
      </w:r>
      <w:r>
        <w:rPr>
          <w:b w:val="0"/>
          <w:i w:val="0"/>
        </w:rPr>
        <w:t xml:space="preserve"> thêm Seligman, 54 Geo. Wash. L. Rev. tại 715 (§ 19(c) “dường như không cho phép SEC sửa đổi các quy tắc của SRO nhằm mục đích thiết lập một đạo luật công ty liên bang toàn diện (bao gồm các vấn đề như số lượng giám đốc hoặc bao nhiêu người phải là người bên ngoài)”). Chúng tôi đọc Đạo luật này như phản ánh quyết định rõ ràng của Quốc hội là không trao bất kỳ sự ủy quyền rộng lớn nào như vậy cho Ủy ban.</w:t>
      </w:r>
    </w:p>
    <w:p>
      <w:pPr>
        <w:spacing w:after="80"/>
      </w:pPr>
      <w:r>
        <w:rPr>
          <w:b w:val="0"/>
          <w:i w:val="0"/>
        </w:rPr>
        <w:t xml:space="preserve">Vậy thì, nếu quy tắc một cổ phiếu/một phiếu bầu của Ủy ban muốn tồn tại, cần có một loại rào chắn nào đó để tách nó khỏi toàn bộ vấn đề quản trị công ty. Nhưng gợi ý duy nhất của Ủy ban về một rào chắn như vậy là việc viện dẫn “bối cảnh lịch sử độc đáo của quy tắc một cổ phiếu, một phiếu bầu của NYSE.” Brief for Respondent tại 21 n. 24. Đúng là trong các phiên điều trần của Thượng viện dẫn đến việc ban hành Đạo luật Giao dịch Chứng khoán có một vài tham chiếu thuận lợi đến quy tắc đó. </w:t>
      </w:r>
      <w:r>
        <w:rPr>
          <w:b w:val="0"/>
          <w:i/>
        </w:rPr>
        <w:t>Xem Stock Exchange Practices: Hearings before the Senate Committee on Banking and Currency</w:t>
      </w:r>
      <w:r>
        <w:rPr>
          <w:b w:val="0"/>
          <w:i w:val="0"/>
        </w:rPr>
        <w:t xml:space="preserve"> , 73d Cong., 1st Sess., Pt. 15, 6677 (1934) (lời khai của Frank Altschul, Chủ tịch Ủy ban Danh mục Cổ phiếu của NYSE); </w:t>
      </w:r>
      <w:r>
        <w:rPr>
          <w:b w:val="0"/>
          <w:i/>
        </w:rPr>
        <w:t>id.</w:t>
      </w:r>
      <w:r>
        <w:rPr>
          <w:b w:val="0"/>
          <w:i w:val="0"/>
        </w:rPr>
        <w:t xml:space="preserve"> tại 6779–80 (chất vấn Frank Altschul bởi Ferdinand Pecora, luật sư của Thượng viện). </w:t>
      </w:r>
      <w:r>
        <w:rPr>
          <w:b w:val="0"/>
          <w:i/>
        </w:rPr>
        <w:t>Xem</w:t>
      </w:r>
      <w:r>
        <w:rPr>
          <w:b w:val="0"/>
          <w:i w:val="0"/>
        </w:rPr>
        <w:t xml:space="preserve"> thêm </w:t>
      </w:r>
      <w:r>
        <w:rPr>
          <w:b w:val="0"/>
          <w:i/>
        </w:rPr>
        <w:t>id</w:t>
      </w:r>
      <w:r>
        <w:rPr>
          <w:b w:val="0"/>
          <w:i w:val="0"/>
        </w:rPr>
        <w:t xml:space="preserve"> Pt. 2 tại 661–62 (chất vấn O. P. Van Sweringen, chủ tịch của Alleghany Corporation, bởi Ferdinand Pecora) (thảo luận về quyết định của ICC từ chối một đơn yêu cầu sáp nhập một số tuyến đường sắt với lý do cổ đông của một trong các công ty sẽ bị từ chối quyền biểu quyết của họ). Nhưng vài tham chiếu này được chọn lọc từ 9500 trang lời khai trong các phiên điều trần của Thượng viện. Không có nhà lập pháp nào trực tiếp thảo luận về quy tắc của NYSE và không có tham chiếu nào đến nó trong bất kỳ Báo cáo Ủy ban nào. Những gì các tham chiếu này cho thấy nhiều nhất là các nhà lập pháp đã biết về quy tắc này và rằng nó là một phần quan trọng của bối cảnh. Ngay cả khi chúng tôi gán các tuyên bố đó cho một thành viên Quốc hội, không có tuyên bố nào tiến gần đến việc nói rằng, “Các mục đích của đạo luật này, mặc dù nói chung sẽ không liên quan đến Ủy ban trong vấn đề quản trị công ty, lại bao gồm việc bảo tồn nguyên tắc một cổ phiếu/một phiếu bầu.” Và ngay cả khi đó, chúng tôi nghi ngờ rằng một tuyên bố như vậy trong lịch sử lập pháp có thể hỗ trợ một ngoại lệ đặc biệt và bất thường đối với ranh giới khái niệm vốn dễ hiểu của Đạo luật, vốn loại trừ Ủy ban khỏi vấn đề quản trị công ty.</w:t>
      </w:r>
    </w:p>
    <w:p>
      <w:pPr>
        <w:spacing w:after="80"/>
      </w:pPr>
      <w:r>
        <w:rPr>
          <w:b w:val="0"/>
          <w:i w:val="0"/>
        </w:rPr>
        <w:t>* * *</w:t>
      </w:r>
    </w:p>
    <w:p>
      <w:pPr>
        <w:spacing w:after="80"/>
      </w:pPr>
      <w:r>
        <w:rPr>
          <w:b w:val="0"/>
          <w:i w:val="0"/>
        </w:rPr>
        <w:t>Đơn yêu cầu xem xét lại được chấp thuận và Quy tắc 19c-4 bị bãi bỏ.</w:t>
      </w:r>
    </w:p>
    <w:p>
      <w:pPr>
        <w:pStyle w:val="Heading5"/>
      </w:pPr>
      <w:r>
        <w:rPr>
          <w:rFonts w:ascii="Calibri" w:hAnsi="Calibri"/>
          <w:b/>
          <w:i/>
          <w:sz w:val="22"/>
        </w:rPr>
        <w:t>Bình luận và Câu hỏi</w:t>
      </w:r>
    </w:p>
    <w:p>
      <w:pPr>
        <w:spacing w:after="80"/>
      </w:pPr>
      <w:r>
        <w:rPr>
          <w:b w:val="0"/>
          <w:i w:val="0"/>
        </w:rPr>
        <w:t xml:space="preserve">1. Một câu hỏi tinh tế nhưng quan trọng là liệu các tiêu chuẩn niêm yết có cấu thành “quy tắc” (rules) theo nghĩa được sử dụng trong Mục 19(c) hay không. Các tiêu chuẩn này là một phần của thỏa thuận niêm yết mà các công ty ký kết khi họ chọn để cổ phiếu của mình được giao dịch trên sàn. Như vậy, chúng mang dáng dấp của các nghĩa vụ hợp đồng. Tuy nhiên, Tòa án Phúc thẩm Khu vực D.C. không gặp khó khăn gì khi kết luận rằng các tiêu chuẩn niêm yết là quy tắc, một phần dựa vào thực tiễn. </w:t>
      </w:r>
      <w:r>
        <w:rPr>
          <w:b w:val="0"/>
          <w:i/>
        </w:rPr>
        <w:t>Xem Business Roundtable</w:t>
      </w:r>
      <w:r>
        <w:rPr>
          <w:b w:val="0"/>
          <w:i w:val="0"/>
        </w:rPr>
        <w:t xml:space="preserve"> , 905 F.2d at 409 (“Trong mười lăm năm qua, các sàn giao dịch đã thường xuyên đệ trình các thay đổi trong tiêu chuẩn niêm yết để phê duyệt và Ủy ban đã xem xét chúng mà không có bất kỳ bên bình luận nào bày tỏ nghi ngờ về thẩm quyền của mình. Thật vậy, các sàn giao dịch đã tuân theo thực tiễn này với các đề xuất dẫn trực tiếp đến các quy định bị thách thức ở đây.”). Bỏ qua thực tiễn, liệu kết luận đó có đúng không? Người ta có thể lập luận thế nào rằng các tiêu chuẩn niêm yết và “quy tắc” không đồng nhất với nhau?</w:t>
      </w:r>
    </w:p>
    <w:p>
      <w:pPr>
        <w:spacing w:after="80"/>
      </w:pPr>
      <w:r>
        <w:rPr>
          <w:b w:val="0"/>
          <w:i w:val="0"/>
        </w:rPr>
        <w:t>2. SEC có một số thẩm quyền theo các quy tắc ủy quyền (proxy rules) để điều chỉnh quá trình bỏ phiếu của cổ đông. Tuy nhiên, tòa án trong vụ này dường như quan tâm đến ranh giới và giới hạn. Nếu quy tắc này được thông qua, liệu nó có thể được sử dụng để biện minh cho việc áp đặt các quy tắc lên các sàn giao dịch, chẳng hạn như điều chỉnh hoạt động của hội đồng quản trị hay không?</w:t>
      </w:r>
    </w:p>
    <w:p>
      <w:pPr>
        <w:spacing w:after="80"/>
      </w:pPr>
      <w:r>
        <w:rPr>
          <w:b w:val="0"/>
          <w:i w:val="0"/>
        </w:rPr>
        <w:t xml:space="preserve">3. Mặc dù không thể buộc các sàn giao dịch thông qua các tiêu chuẩn niêm yết về quản trị công ty thông qua việc viện dẫn Mục 19, vụ án này không ngăn cản SEC sử dụng áp lực phi chính thức hơn để khuyến khích các sàn giao dịch thông qua các tiêu chuẩn niêm yết nghiêm ngặt hơn. Điều này xảy ra ngay sau sự sụp đổ của Enron vào năm 2002. </w:t>
      </w:r>
      <w:r>
        <w:rPr>
          <w:b w:val="0"/>
          <w:i/>
        </w:rPr>
        <w:t>Xem</w:t>
      </w:r>
      <w:r>
        <w:rPr>
          <w:b w:val="0"/>
          <w:i w:val="0"/>
        </w:rPr>
        <w:t xml:space="preserve"> J. Robert Brown, Jr., </w:t>
      </w:r>
      <w:r>
        <w:rPr>
          <w:b w:val="0"/>
          <w:i/>
        </w:rPr>
        <w:t>Corporate Governance, the Securities and Exchange Commission, and the Limits of Disclosure</w:t>
      </w:r>
      <w:r>
        <w:rPr>
          <w:b w:val="0"/>
          <w:i w:val="0"/>
        </w:rPr>
        <w:t xml:space="preserve"> , 57 Cath. U.L. Rev. 45, 67 (2007) (lưu ý rằng SEC đã gây áp lực buộc các sàn chứng khoán phải thông qua các tiêu chuẩn niêm yết về quản trị sau sự sụp đổ của Enron). Liệu đây có phải là sự thay thế thỏa đáng cho loại thẩm quyền ban hành quy tắc đã bị bác bỏ trong </w:t>
      </w:r>
      <w:r>
        <w:rPr>
          <w:b w:val="0"/>
          <w:i/>
        </w:rPr>
        <w:t>Business Roundtable</w:t>
      </w:r>
      <w:r>
        <w:rPr>
          <w:b w:val="0"/>
          <w:i w:val="0"/>
        </w:rPr>
        <w:t xml:space="preserve"> hay không?</w:t>
      </w:r>
    </w:p>
    <w:p>
      <w:pPr>
        <w:spacing w:after="80"/>
      </w:pPr>
      <w:r>
        <w:rPr>
          <w:b w:val="0"/>
          <w:i w:val="0"/>
        </w:rPr>
        <w:t xml:space="preserve">4. Một số người cho rằng </w:t>
      </w:r>
      <w:r>
        <w:rPr>
          <w:b w:val="0"/>
          <w:i/>
        </w:rPr>
        <w:t>Business Roundtable</w:t>
      </w:r>
      <w:r>
        <w:rPr>
          <w:b w:val="0"/>
          <w:i w:val="0"/>
        </w:rPr>
        <w:t xml:space="preserve"> đã thực sự bị đảo ngược bởi việc thông qua Mục 301 của Đạo luật Sarbanes-Oxley năm 2001 (SOX), đạo luật này trao cho Ủy ban thẩm quyền điều chỉnh các ủy ban kiểm toán thông qua cơ chế tiêu chuẩn niêm yết. Bạn có đồng ý với quan điểm này không? Còn về việc Quốc hội, khi thông qua Đạo luật Cải cách Phố Wall Dodd-Frank năm 2010, đã trao cho cổ đông của các công ty đại chúng quyền bỏ phiếu về các vấn đề thù lao, cái được gọi là quyền “say on pay” (</w:t>
      </w:r>
      <w:r>
        <w:rPr>
          <w:b w:val="0"/>
          <w:i/>
        </w:rPr>
        <w:t>xem</w:t>
      </w:r>
      <w:r>
        <w:rPr>
          <w:b w:val="0"/>
          <w:i w:val="0"/>
        </w:rPr>
        <w:t xml:space="preserve"> Mục 951) và để cho Ủy ban định nghĩa các vấn đề sẽ được bỏ phiếu và thực hiện yêu cầu này theo cách khác. Liệu cách tiếp cận này của Quốc hội có đúng không? Bạn có thể lập luận rằng quá trình quản trị sẽ tốt hơn nếu Business Roundtable có kết quả khác đi không?</w:t>
      </w:r>
    </w:p>
    <w:p>
      <w:pPr>
        <w:spacing w:after="80"/>
      </w:pPr>
      <w:r>
        <w:rPr>
          <w:b w:val="0"/>
          <w:i w:val="0"/>
        </w:rPr>
        <w:t xml:space="preserve">5. Những nỗ lực của Ủy ban nhằm tăng cường quản trị các quỹ tương hỗ (mutual funds) cũng không mấy thành công. </w:t>
      </w:r>
      <w:r>
        <w:rPr>
          <w:b w:val="0"/>
          <w:i/>
        </w:rPr>
        <w:t>Xem Chamber of Commerce v. SEC</w:t>
      </w:r>
      <w:r>
        <w:rPr>
          <w:b w:val="0"/>
          <w:i w:val="0"/>
        </w:rPr>
        <w:t xml:space="preserve"> , 412 F.3d 133 (D.C. Cir. 2006) (bác bỏ quy tắc yêu cầu hội đồng quản trị quỹ tương hỗ phải có không dưới 75% giám đốc độc lập và một chủ tịch độc lập). Tuy nhiên, các quỹ tương hỗ chủ yếu được điều chỉnh theo Đạo luật Công ty Đầu tư năm 1940. Đạo luật năm 1940 chứa một số điều khoản quản trị không có trong các đạo luật trước đó. Do đó, Đạo luật yêu cầu một số lượng tối thiểu giám đốc độc lập trong hội đồng quản trị quỹ tương hỗ và yêu cầu các quỹ phải đệ trình kiểm toán viên cho cổ đông phê duyệt. </w:t>
      </w:r>
      <w:r>
        <w:rPr>
          <w:b w:val="0"/>
          <w:i/>
        </w:rPr>
        <w:t>Xem</w:t>
      </w:r>
      <w:r>
        <w:rPr>
          <w:b w:val="0"/>
          <w:i w:val="0"/>
        </w:rPr>
        <w:t xml:space="preserve"> 15 USCS § 80a-10. Như vậy, trong </w:t>
      </w:r>
      <w:r>
        <w:rPr>
          <w:b w:val="0"/>
          <w:i/>
        </w:rPr>
        <w:t>Chamber of Commerce</w:t>
      </w:r>
      <w:r>
        <w:rPr>
          <w:b w:val="0"/>
          <w:i w:val="0"/>
        </w:rPr>
        <w:t xml:space="preserve"> , tòa án nhận thấy SEC có thẩm quyền thông qua các điều khoản quản trị nhưng đã không hoàn thành tất cả các yêu cầu thủ tục để làm điều đó. </w:t>
      </w:r>
      <w:r>
        <w:rPr>
          <w:b w:val="0"/>
          <w:i/>
        </w:rPr>
        <w:t>Id.</w:t>
      </w:r>
      <w:r>
        <w:rPr>
          <w:b w:val="0"/>
          <w:i w:val="0"/>
        </w:rPr>
        <w:t xml:space="preserve"> (vô hiệu hóa quy tắc vì cơ quan đã dựa “vào các tài liệu không có trong hồ sơ ban hành quy tắc mà không cho cơ hội bình luận công khai”). Điều này gợi ý gì về điểm mạnh và điểm yếu của việc sử dụng ban hành quy tắc để thiết lập chính sách? Có cách nào khác để đạt được kết quả tương tự không?</w:t>
      </w:r>
    </w:p>
    <w:p>
      <w:pPr>
        <w:spacing w:after="80"/>
      </w:pPr>
      <w:r>
        <w:rPr>
          <w:b w:val="0"/>
          <w:i w:val="0"/>
        </w:rPr>
        <w:t>6. Mục 3(f) của Đạo luật Giao dịch Chứng khoán yêu cầu Ủy ban xem xét “ngoài việc bảo vệ nhà đầu tư, liệu hành động đó có thúc đẩy hiệu quả, cạnh tranh và hình thành vốn hay không.” 15 USC 78c(f). Điều khoản này có thể có tác động gì đến việc ban hành quy tắc của Ủy ban?</w:t>
      </w:r>
    </w:p>
    <w:p>
      <w:pPr>
        <w:pStyle w:val="Heading3"/>
      </w:pPr>
      <w:r>
        <w:rPr>
          <w:rFonts w:ascii="Calibri" w:hAnsi="Calibri"/>
          <w:b/>
          <w:i w:val="0"/>
          <w:sz w:val="26"/>
        </w:rPr>
        <w:t>C. Thẩm quyền Thực thi</w:t>
      </w:r>
    </w:p>
    <w:p>
      <w:pPr>
        <w:spacing w:after="80"/>
      </w:pPr>
      <w:r>
        <w:rPr>
          <w:b w:val="0"/>
          <w:i w:val="0"/>
        </w:rPr>
        <w:t>Ủy ban có thể gây ảnh hưởng đến quá trình quản trị công ty thông qua các cơ chế khác ngoài việc ban hành quy tắc. Một cách là thông qua các thủ tục thực thi. SEC có thẩm quyền khởi kiện những người vi phạm luật chứng khoán. Một số vụ kiện được đưa ra vì những gì tương đương với sự thất bại của hệ thống quản trị công ty. Điều này đặc biệt đúng khi các giám đốc không giám sát đầy đủ ban điều hành, đặc biệt khi sự thất bại dẫn đến các vi phạm công bố thông tin nghiêm trọng.</w:t>
      </w:r>
    </w:p>
    <w:p>
      <w:pPr>
        <w:pStyle w:val="Heading4"/>
      </w:pPr>
      <w:r>
        <w:rPr>
          <w:rFonts w:ascii="Calibri" w:hAnsi="Calibri"/>
          <w:b/>
          <w:i w:val="0"/>
          <w:sz w:val="23"/>
        </w:rPr>
        <w:t>In re W. R. Grace &amp; Co.</w:t>
      </w:r>
    </w:p>
    <w:p>
      <w:pPr>
        <w:spacing w:after="80"/>
      </w:pPr>
      <w:r>
        <w:rPr>
          <w:b w:val="0"/>
          <w:i w:val="0"/>
        </w:rPr>
        <w:t>Exchange Act Release No. 39157 (Admin. Proc. Sept. 30, 1997)</w:t>
      </w:r>
    </w:p>
    <w:p>
      <w:pPr>
        <w:spacing w:after="80"/>
      </w:pPr>
      <w:r>
        <w:rPr>
          <w:b w:val="0"/>
          <w:i w:val="0"/>
        </w:rPr>
        <w:t>BÁO CÁO ĐIỀU TRA THEO MỤC 21(A) CỦA</w:t>
      </w:r>
      <w:r>
        <w:br/>
      </w:r>
      <w:r>
        <w:rPr>
          <w:b w:val="0"/>
          <w:i w:val="0"/>
        </w:rPr>
        <w:t xml:space="preserve"> ĐẠO LUẬT GIAO DỊCH CHỨNG KHOÁN NĂM 1934 LIÊN QUAN ĐẾN HÀNH VI CỦA</w:t>
      </w:r>
      <w:r>
        <w:br/>
      </w:r>
      <w:r>
        <w:rPr>
          <w:b w:val="0"/>
          <w:i w:val="0"/>
        </w:rPr>
        <w:t xml:space="preserve"> MỘT SỐ CỰU VIÊN CHỨC VÀ GIÁM ĐỐC CỦA W. R. GRACE &amp; CO.</w:t>
      </w:r>
    </w:p>
    <w:p>
      <w:pPr>
        <w:spacing w:after="80"/>
      </w:pPr>
      <w:r>
        <w:rPr>
          <w:b w:val="0"/>
          <w:i w:val="0"/>
        </w:rPr>
        <w:t>* * *</w:t>
      </w:r>
    </w:p>
    <w:p>
      <w:pPr>
        <w:spacing w:after="80"/>
      </w:pPr>
      <w:r>
        <w:rPr>
          <w:b w:val="0"/>
          <w:i w:val="0"/>
        </w:rPr>
        <w:t>Ủy ban ban hành Báo cáo Điều tra này để nhấn mạnh trách nhiệm chủ động của các viên chức và giám đốc công ty trong việc đảm bảo rằng các cổ đông mà họ phục vụ nhận được thông tin công bố chính xác và đầy đủ theo yêu cầu của các điều khoản về ủy quyền và báo cáo định kỳ của luật chứng khoán liên bang. Các viên chức và giám đốc xem xét, phê duyệt hoặc ký các bản tuyên bố ủy quyền hoặc báo cáo định kỳ của công ty mình phải thực hiện các bước để đảm bảo tính chính xác và đầy đủ của các tuyên bố trong đó, đặc biệt là những vấn đề thuộc kiến thức hoặc chuyên môn cụ thể của họ. Để hoàn thành trách nhiệm này, các viên chức và giám đốc phải cảnh giác trong việc thực thi thẩm quyền của mình trong suốt quá trình công bố thông tin.</w:t>
      </w:r>
    </w:p>
    <w:p>
      <w:pPr>
        <w:spacing w:after="80"/>
      </w:pPr>
      <w:r>
        <w:rPr>
          <w:b w:val="0"/>
          <w:i w:val="0"/>
        </w:rPr>
        <w:t>Trong vụ này, cả Grace, Jr., khi đó là chủ tịch hội đồng quản trị của WRG, và J. P. Bolduc, khi đó là giám đốc điều hành của WRG và là thành viên hội đồng quản trị của WRG, đều biết về các khoản trợ cấp hưu trí đáng kể của Grace, Jr. và giao dịch được đề xuất với Grace III. Eben Pyne, một thành viên không thuộc ban điều hành của hội đồng quản trị, cũng biết về các khoản trợ cấp của Grace, Jr. Charles Erhart, một thành viên không thuộc ban điều hành khác của hội đồng quản trị, biết về giao dịch bên liên quan được đề xuất. Cả bốn viên chức và giám đốc này đều đã xem xét toàn bộ hoặc một phần các tài liệu liên quan, và tất cả trừ Pyne đều đã ký các báo cáo liên quan. Mặc dù hồ sơ không chứng minh rằng Bolduc, Pyne và Erhart đã hành động với ý đồ xấu, Ủy ban kết luận rằng họ đã không hoàn thành nghĩa vụ của mình theo luật chứng khoán liên bang. Bolduc, Pyne và Erhart mỗi người đều giả định, mà không thực hiện các bước cần thiết để xác nhận giả định của mình, rằng các thủ tục của WRG sẽ tạo ra các bản nháp tài liệu công bố mô tả tất cả các vấn đề cần công bố. Mỗi người cũng giả định, mà không thực hiện các bước cần thiết để xác nhận giả định của mình, rằng các viên chức công ty khác, bao gồm cả cố vấn pháp lý, đã tiến hành xem xét đầy đủ và có hiểu biết về các bản nháp. Bolduc, Pyne và Erhart mỗi người đều có trách nhiệm vượt ra ngoài các thủ tục đã được thiết lập để điều tra lý do không công bố thông tin mà họ đã biết.</w:t>
      </w:r>
    </w:p>
    <w:p>
      <w:pPr>
        <w:spacing w:after="80"/>
      </w:pPr>
      <w:r>
        <w:rPr>
          <w:b w:val="0"/>
          <w:i w:val="0"/>
        </w:rPr>
        <w:t>* * *</w:t>
      </w:r>
    </w:p>
    <w:p>
      <w:pPr>
        <w:spacing w:after="80"/>
      </w:pPr>
      <w:r>
        <w:rPr>
          <w:b w:val="0"/>
          <w:i w:val="0"/>
        </w:rPr>
        <w:t>III. GRACE, JR., BOLDUC VÀ PYNE ĐÃ KHÔNG THỰC HIỆN CÁC BƯỚC ĐỂ ĐẢM BẢO</w:t>
      </w:r>
      <w:r>
        <w:br/>
      </w:r>
      <w:r>
        <w:rPr>
          <w:b w:val="0"/>
          <w:i w:val="0"/>
        </w:rPr>
        <w:t xml:space="preserve"> RẰNG CÁC KHOẢN TRỢ CẤP HƯU TRÍ CỦA GRACE, JR. ĐÃ ĐƯỢC CÔNG BỐ ĐẦY ĐỦ</w:t>
      </w:r>
    </w:p>
    <w:p>
      <w:pPr>
        <w:spacing w:after="80"/>
      </w:pPr>
      <w:r>
        <w:rPr>
          <w:b w:val="0"/>
          <w:i w:val="0"/>
        </w:rPr>
        <w:t>Trong giai đoạn cuối năm 1992, sức khỏe của Grace, Jr. ngày càng suy yếu. Theo thẩm quyền được ủy nhiệm từ hội đồng quản trị của WRG, Ủy ban Lương thưởng, Phúc lợi Nhân viên và Khuyến khích Cổ phiếu của WRG (gọi tắt là “Ủy ban Lương thưởng”) đã tiến hành đàm phán với Grace, Jr., dẫn đến việc ông nghỉ hưu khỏi vị trí tổng giám đốc điều hành của WRG, có hiệu lực từ ngày 31 tháng 12 năm 1992. Pyne, lúc đó là chủ tịch Ủy ban Lương thưởng, đã gặp Grace, Jr. nhiều lần trong tháng 11 và tháng 12 năm 1992. Các cuộc đàm phán đã dẫn đến một thỏa thuận về nguyên tắc liên quan đến các quyền lợi hưu trí được đề xuất cho Grace, Jr. Trong số các điều khoản của thỏa thuận về nguyên tắc này có sự hiểu biết rằng Grace, Jr. sẽ tiếp tục được hưởng trong thời gian nghỉ hưu nhiều đặc quyền đáng kể khác nhau mà ông đã được hưởng khi còn là tổng giám đốc điều hành. Vào ngày 7 tháng 12 năm 1992, hội đồng quản trị của WRG đã phê duyệt các quyền lợi hưu trí được đề xuất cho Grace, Jr.</w:t>
      </w:r>
    </w:p>
    <w:p>
      <w:pPr>
        <w:spacing w:after="80"/>
      </w:pPr>
      <w:r>
        <w:rPr>
          <w:b w:val="0"/>
          <w:i w:val="0"/>
        </w:rPr>
        <w:t>Sau đó, Grace, Jr. và Pyne, thay mặt cho WRG, đã ký một thỏa thuận bằng thư đề ngày 21 tháng 12 năm 1992 (“Thỏa thuận Nghỉ hưu”), phản ánh các điều khoản của thỏa thuận về nguyên tắc này. Thỏa thuận Nghỉ hưu quy định, trong số những điều khác, rằng ngay sau khi Grace, Jr. nghỉ hưu:</w:t>
      </w:r>
    </w:p>
    <w:p>
      <w:pPr>
        <w:spacing w:after="80"/>
      </w:pPr>
      <w:r>
        <w:rPr>
          <w:b w:val="0"/>
          <w:i w:val="0"/>
        </w:rPr>
        <w:t>Tất cả các quyền lợi và thỏa thuận khác hiện đang được cung cấp cho ông [Grace, Jr.] với tư cách tổng giám đốc điều hành (bao gồm, nhưng không giới hạn ở, việc sử dụng không gian văn phòng và máy bay của công ty) sẽ tiếp tục được cung cấp cho ông.</w:t>
      </w:r>
    </w:p>
    <w:p>
      <w:pPr>
        <w:spacing w:after="80"/>
      </w:pPr>
      <w:r>
        <w:rPr>
          <w:b w:val="0"/>
          <w:i w:val="0"/>
        </w:rPr>
        <w:t>Theo điều khoản này của Thỏa thuận Nghỉ hưu, Grace, Jr. đã nhận được những quyền lợi sau đây, trong số những quyền lợi khác, từ WRG trong năm 1993: (a) tiếp tục sử dụng một căn hộ thuộc sở hữu và được duy trì bởi Công ty với giá trị thị trường được WRG ước tính vượt quá 3 triệu đô la, cùng với dịch vụ của một đầu bếp, người là nhân viên của WRG; (b) sử dụng xe limousine và tài xế của công ty 24 giờ mỗi ngày; (c) dịch vụ của các thư ký và trợ lý hành chính toàn thời gian; (d) sử dụng máy bay của công ty cho các chuyến đi cá nhân và công tác; (e) dịch vụ điều dưỡng tại nhà; và (f) dịch vụ bảo vệ.</w:t>
      </w:r>
    </w:p>
    <w:p>
      <w:pPr>
        <w:spacing w:after="80"/>
      </w:pPr>
      <w:r>
        <w:rPr>
          <w:b w:val="0"/>
          <w:i w:val="0"/>
        </w:rPr>
        <w:t>Mặc dù trong nội bộ ban quản lý có hiểu biết chung rằng Thỏa thuận Nghỉ hưu của Grace, Jr. quy định việc tiếp tục các quyền lợi mà ông đã được hưởng trước khi nghỉ hưu, thông tin cụ thể về các quyền lợi của Grace, Jr. lại không được ban quản lý WRG biết đến một cách phổ biến. Chỉ có các giám đốc không thuộc ban quản lý tham gia vào việc đàm phán hoặc phê duyệt các quyền lợi hưu trí của Grace, Jr. Các thành viên của ban quản lý WRG đương nhiệm lúc đó, bao gồm Bolduc và thư ký kiêm cố vấn trưởng về công bố thông tin của WRG, đã được yêu cầu rời khỏi các cuộc họp hội đồng quản trị và/hoặc Ủy ban Lương thưởng nơi các quyền lợi hưu trí của Grace, Jr. được thảo luận. Tuy nhiên, Grace, Jr. và Pyne đã gặp Bolduc vào tháng 12 năm 1992 để thảo luận về các quyền lợi hưu trí của Grace, Jr. sau khi các cuộc đàm phán về những quyền lợi này đã hoàn tất. Vào thời điểm đó, Bolduc đã biết về từng “quyền lợi khác” mà WRG đang cung cấp cho Grace, Jr.</w:t>
      </w:r>
    </w:p>
    <w:p>
      <w:pPr>
        <w:spacing w:after="80"/>
      </w:pPr>
      <w:r>
        <w:rPr>
          <w:b w:val="0"/>
          <w:i w:val="0"/>
        </w:rPr>
        <w:t>Công ty đã cung cấp cho Grace, Jr. các bảng câu hỏi dành cho giám đốc và cán bộ (“Bảng câu hỏi D&amp;O”) trong quá trình chuẩn bị Mẫu 10-K năm 1992 và bản tuyên bố ủy quyền năm 1993 cũng như Mẫu 10-K năm 1993 và bản tuyên bố ủy quyền năm 1994 của mình. Những bảng câu hỏi này chứa các câu hỏi hỏi liệu Grace, Jr. có nhận được một số quyền lợi nhất định từ Công ty trong năm trước đó hay không, bao gồm, trong số những điều khác, việc sử dụng tài sản của Công ty, bao gồm các căn hộ; chi phí nhà ở và sinh hoạt khác (bao gồm dịch vụ giúp việc trong nhà) được cung cấp tại nơi ở chính và/hoặc nhà nghỉ của ông; và các đặc quyền khác. Grace, Jr. đã trả lời “không” một cách sai lệch cho những câu hỏi này.</w:t>
      </w:r>
    </w:p>
    <w:p>
      <w:pPr>
        <w:spacing w:after="80"/>
      </w:pPr>
      <w:r>
        <w:rPr>
          <w:b w:val="0"/>
          <w:i w:val="0"/>
        </w:rPr>
        <w:t>Phiên bản cuối cùng của bản tuyên bố ủy quyền năm 1993 của WRG có chứa nội dung thảo luận về Thỏa thuận Nghỉ hưu của Grace, Jr., bao gồm một tuyên bố rằng Grace, Jr. sẽ nhận được “một số quyền lợi khác nhất định”. WRG đã nộp Thỏa thuận Nghỉ hưu như một tài liệu kèm theo cho Mẫu 10-K năm 1992 của mình, nhưng không mô tả thêm về “các quyền lợi khác” của Grace, Jr., cũng như WRG không công bố chi phí cung cấp chúng trong bất kỳ bản tuyên bố ủy quyền hay báo cáo định kỳ nào nộp cho Ủy ban trước năm 1995.</w:t>
      </w:r>
    </w:p>
    <w:p>
      <w:pPr>
        <w:spacing w:after="80"/>
      </w:pPr>
      <w:r>
        <w:rPr>
          <w:b w:val="0"/>
          <w:i w:val="0"/>
        </w:rPr>
        <w:t>Vì ban quản lý cấp cao của WRG bị loại khỏi việc đàm phán và phê duyệt các quyền lợi hưu trí của Grace, Jr., cố vấn về công bố thông tin của WRG đã sắp xếp để Pyne xem xét phần thù lao điều hành trong bản dự thảo tuyên bố ủy quyền năm 1993 của WRG, và Pyne đã làm như vậy. Bolduc, với tư cách là tổng giám đốc điều hành của WRG, đã xem xét các bản dự thảo tuyên bố ủy quyền năm 1993 của WRG và ký Mẫu 10-K năm 1992 của WRG, trong đó có viện dẫn phần về thù lao điều hành của bản tuyên bố ủy quyền. Grace, Jr., với tư cách là chủ tịch, cũng đã ký Mẫu 10-K năm 1992. Mặc dù Grace, Jr., Bolduc và Pyne đều biết về “các quyền lợi khác” mà WRG đã đồng ý cung cấp cho Grace, Jr. khi ông nghỉ hưu, họ đã không đặt câu hỏi về việc thiếu thông tin về những “quyền lợi khác” này trong phần công bố của WRG về các quyền lợi hưu trí của Grace, Jr. Ngay cả khi Bolduc và Pyne, như mỗi người đã khẳng định, cho rằng cố vấn pháp lý của WRG (mà văn phòng của họ đã tham gia soạn thảo Thỏa thuận Nghỉ hưu) đã xem xét tính đầy đủ của việc công bố thông tin liên quan đến các quyền lợi của Grace, Jr., họ lẽ ra không nên dựa vào giả định đó. Họ lẽ ra phải nêu ra vấn đề công bố “các quyền lợi khác” của Grace, Jr., ví dụ, bằng cách thảo luận cụ thể vấn đề này với cố vấn về công bố thông tin, nói cho cố vấn biết chính xác những gì họ biết về các quyền lợi đó, và hỏi cụ thể liệu các quyền lợi đó có nên được công bố hay không. Kết quả là, Mẫu 10-K năm 1992 và bản tuyên bố ủy quyền năm 1993 của WRG đã không công bố thông tin cụ thể về “các quyền lợi khác”.</w:t>
      </w:r>
    </w:p>
    <w:p>
      <w:pPr>
        <w:spacing w:after="80"/>
      </w:pPr>
      <w:r>
        <w:rPr>
          <w:b w:val="0"/>
          <w:i w:val="0"/>
        </w:rPr>
        <w:t>* * *</w:t>
      </w:r>
    </w:p>
    <w:p>
      <w:pPr>
        <w:spacing w:after="80"/>
      </w:pPr>
      <w:r>
        <w:rPr>
          <w:b w:val="0"/>
          <w:i w:val="0"/>
        </w:rPr>
        <w:t>V. KẾT LUẬN</w:t>
      </w:r>
    </w:p>
    <w:p>
      <w:pPr>
        <w:spacing w:after="80"/>
      </w:pPr>
      <w:r>
        <w:rPr>
          <w:b w:val="0"/>
          <w:i w:val="0"/>
        </w:rPr>
        <w:t>Việc giữ chức cán bộ hoặc giám đốc của một công ty đại chúng là một đặc ân đi kèm với những nghĩa vụ đáng kể. Nếu một cán bộ hoặc giám đốc biết hoặc lẽ ra phải biết rằng các tuyên bố của công ty mình liên quan đến những vấn đề cụ thể là không đầy đủ hoặc không hoàn chỉnh, thì người đó có nghĩa vụ sửa chữa sai sót đó. Một cán bộ hoặc giám đốc chỉ có thể dựa vào các quy trình của công ty để xác định những gì cần công bố nếu người đó có cơ sở hợp lý để tin rằng những quy trình đó đã dẫn đến việc xem xét đầy đủ những vấn đề đó.</w:t>
      </w:r>
    </w:p>
    <w:p>
      <w:pPr>
        <w:spacing w:after="80"/>
      </w:pPr>
      <w:r>
        <w:rPr>
          <w:b w:val="0"/>
          <w:i w:val="0"/>
        </w:rPr>
        <w:t>Các vi phạm của WRG một phần xuất phát từ văn hóa doanh nghiệp của công ty, vốn phản ánh ảnh hưởng đáng kể của Grace, Jr. đối với Công ty. Trước tình huống này, Bolduc, Pyne và Erhart lẽ ra phải chú ý hơn đến các vấn đề liên quan đến việc công bố thông tin về Grace, Jr. hoặc gia đình Grace. Bolduc, Pyne và Erhart đã không theo đuổi một cách thỏa đáng việc thúc đẩy công bố thông tin chính xác và đầy đủ, điều lẽ ra phải là kim chỉ nam của họ với tư cách là thành viên hội đồng quản trị hoặc cán bộ của WRG.</w:t>
      </w:r>
    </w:p>
    <w:p>
      <w:pPr>
        <w:spacing w:after="80"/>
      </w:pPr>
      <w:r>
        <w:rPr>
          <w:b w:val="0"/>
          <w:i w:val="0"/>
        </w:rPr>
        <w:t>Kể từ khi Grace, Jr. qua đời, WRG đã sửa đổi đáng kể thành phần hội đồng quản trị của mình. Do những hoàn cảnh đặc biệt được trình bày ở đây (bao gồm cái chết của Grace, Jr.), Ủy ban đã quyết định không ban hành lệnh đình chỉ và ngăn cấm hay thực hiện hành động khác đối với Bolduc, Pyne và Erhart trong vụ việc này. Tuy nhiên, Ủy ban vẫn kiên quyết thực hiện hành động thực thi, khi thích hợp, đối với các giám đốc và cán bộ cá nhân đã vi phạm hoặc gây ra vi phạm luật chứng khoán liên bang.</w:t>
      </w:r>
    </w:p>
    <w:p>
      <w:pPr>
        <w:spacing w:after="80"/>
      </w:pPr>
      <w:r>
        <w:rPr>
          <w:b w:val="0"/>
          <w:i w:val="0"/>
        </w:rPr>
        <w:t>Ý KIẾN BẤT ĐỒNG CỦA ỦY VIÊN STEVEN M.H. WALLMAN</w:t>
      </w:r>
    </w:p>
    <w:p>
      <w:pPr>
        <w:spacing w:after="80"/>
      </w:pPr>
      <w:r>
        <w:rPr>
          <w:b w:val="0"/>
          <w:i w:val="0"/>
        </w:rPr>
        <w:t>Báo cáo theo Mục 21(a) Trong Vấn đề của W.R. Grace &amp; Co. (“Báo cáo”) đưa ra một tiêu chuẩn pháp lý nhất định, rồi áp dụng tiêu chuẩn đó vào những sự kiện này. Tôi phản đối tiêu chuẩn đó, cụ thể ở chỗ nó ngụ ý rằng các cán bộ và giám đốc phải “đảm bảo” tính chính xác và đầy đủ của các công bố thông tin của công ty. Hơn nữa, tôi không đồng ý rằng, khi áp dụng tiêu chuẩn pháp lý thích hợp vào những sự kiện cụ thể của vụ việc này như được mô tả trong chính Báo cáo, lại có sự vi phạm pháp luật từ phía ba cá nhân được nêu tên.</w:t>
      </w:r>
    </w:p>
    <w:p>
      <w:pPr>
        <w:spacing w:after="80"/>
      </w:pPr>
      <w:r>
        <w:rPr>
          <w:b w:val="0"/>
          <w:i w:val="0"/>
        </w:rPr>
        <w:t>* * *</w:t>
      </w:r>
    </w:p>
    <w:p>
      <w:pPr>
        <w:spacing w:after="80"/>
      </w:pPr>
      <w:r>
        <w:rPr>
          <w:b w:val="0"/>
          <w:i w:val="0"/>
        </w:rPr>
        <w:t>Tôi xin phép có ý kiến bất đồng.</w:t>
      </w:r>
    </w:p>
    <w:p>
      <w:pPr>
        <w:pStyle w:val="Heading5"/>
      </w:pPr>
      <w:r>
        <w:rPr>
          <w:rFonts w:ascii="Calibri" w:hAnsi="Calibri"/>
          <w:b/>
          <w:i/>
          <w:sz w:val="22"/>
        </w:rPr>
        <w:t>Bình luận và Câu hỏi</w:t>
      </w:r>
    </w:p>
    <w:p>
      <w:pPr>
        <w:spacing w:after="80"/>
      </w:pPr>
      <w:r>
        <w:rPr>
          <w:b w:val="0"/>
          <w:i w:val="0"/>
        </w:rPr>
        <w:t xml:space="preserve">1. Báo cáo theo Mục 21(a) là gì? Nó mang lại cho Ủy ban (Commission) sự linh hoạt như thế nào trong việc trình bày các tiêu chuẩn rộng và nguyên tắc pháp lý? Chúng ta sẽ thấy những ví dụ khác về loại báo cáo này (chẳng hạn như các tuyên bố của SEC trong </w:t>
      </w:r>
      <w:r>
        <w:rPr>
          <w:b w:val="0"/>
          <w:i/>
        </w:rPr>
        <w:t>In re Netflix</w:t>
      </w:r>
      <w:r>
        <w:rPr>
          <w:b w:val="0"/>
          <w:i w:val="0"/>
        </w:rPr>
        <w:t xml:space="preserve"> ở Chương 9 về việc sử dụng mạng xã hội để đáp ứng các yêu cầu của Quy định FD).</w:t>
      </w:r>
    </w:p>
    <w:p>
      <w:pPr>
        <w:spacing w:after="80"/>
      </w:pPr>
      <w:r>
        <w:rPr>
          <w:b w:val="0"/>
          <w:i w:val="0"/>
        </w:rPr>
        <w:t>2. Cơ sở pháp lý cho quyết định của Ủy ban trong trường hợp này là gì? Liệu Ủy ban có thực sự có thẩm quyền xử phạt các giám đốc trong những hoàn cảnh này không? Với cơ sở thẩm quyền đáng ngờ của cơ quan này, Ủy ban đang cố gắng đạt được điều gì khi ban hành báo cáo này? Bất chấp những tuyên bố rộng rãi trong vụ án, Ủy ban chưa bao giờ thực sự theo đuổi lập luận đó. Vụ án phần lớn đã bị lu mờ bởi những thay đổi pháp lý được thực hiện trong SOX. Luật phần lớn đã xác định những người trong công ty chịu trách nhiệm về quá trình công bố thông tin của công ty.</w:t>
      </w:r>
    </w:p>
    <w:p>
      <w:pPr>
        <w:spacing w:after="80"/>
      </w:pPr>
      <w:r>
        <w:rPr>
          <w:b w:val="0"/>
          <w:i w:val="0"/>
        </w:rPr>
        <w:t xml:space="preserve">3. Vụ án này gợi ý điều gì về mối quan hệ giữa quản trị công ty và công bố thông tin của công ty? Thẩm quyền của SEC đi xa đến đâu? Trong </w:t>
      </w:r>
      <w:r>
        <w:rPr>
          <w:b w:val="0"/>
          <w:i/>
        </w:rPr>
        <w:t>SEC v. DHB Industries, Inc.</w:t>
      </w:r>
      <w:r>
        <w:rPr>
          <w:b w:val="0"/>
          <w:i w:val="0"/>
        </w:rPr>
        <w:t xml:space="preserve"> , Litigation Release No. 21867 (ngày 28 tháng 2 năm 2011), SEC cáo buộc rằng các giám đốc bên ngoài, những người cũng phục vụ trong ủy ban kiểm toán, đã bỏ qua những “dấu hiệu cảnh báo” (red flags) dẫn đến các vi phạm công bố thông tin của công ty. Những loại vụ án này có nên được đưa ra theo luật chứng khoán hay theo các khiếu nại theo luật tiểu bang về vi phạm nghĩa vụ ủy thác (fiduciary duties) không? Giả sử bạn đại diện cho hội đồng quản trị của một công ty đại chúng lớn. Bạn sẽ đưa ra lời khuyên gì cho hội đồng quản trị sau quyết định này?</w:t>
      </w:r>
    </w:p>
    <w:p>
      <w:pPr>
        <w:spacing w:after="80"/>
      </w:pPr>
      <w:r>
        <w:rPr>
          <w:b w:val="0"/>
          <w:i w:val="0"/>
        </w:rPr>
        <w:t>4. Giả sử bạn đại diện cho hội đồng quản trị của một công ty đại chúng lớn. Bạn sẽ đưa ra lời khuyên gì cho hội đồng quản trị sau quyết định này?</w:t>
      </w:r>
    </w:p>
    <w:p>
      <w:pPr>
        <w:spacing w:after="80"/>
      </w:pPr>
      <w:r>
        <w:rPr>
          <w:b w:val="0"/>
          <w:i w:val="0"/>
        </w:rPr>
        <w:t xml:space="preserve">5. SEC còn có thẩm quyền khắc phục khác để tác động trực tiếp đến quá trình quản trị. SEC có thể cấm luật sư và kế toán hành nghề trước SEC, điều này ít nhất trong một số trường hợp có thể ngăn cản các cá nhân phục vụ trong hội đồng quản trị. </w:t>
      </w:r>
      <w:r>
        <w:rPr>
          <w:b w:val="0"/>
          <w:i/>
        </w:rPr>
        <w:t>Xem In re Schneider</w:t>
      </w:r>
      <w:r>
        <w:rPr>
          <w:b w:val="0"/>
          <w:i w:val="0"/>
        </w:rPr>
        <w:t xml:space="preserve"> , Exchange Act Release No. 69922 (Admin. Proc. ngày 2 tháng 7 năm 2013) (SEC từ chối phán quyết rằng một cá nhân đã đồng ý bị đình chỉ xuất hiện hoặc hành nghề trước Ủy ban với tư cách kế toán viên có thể phục vụ ở “các vị trí không phải kế toán như vị trí trong ủy ban kiểm toán hoặc là CFO không phải kế toán.”). Trực tiếp hơn, SEC có thẩm quyền yêu cầu tòa án cấm các cá nhân phục vụ với tư cách là giám đốc điều hành và giám đốc của các công ty đại chúng. </w:t>
      </w:r>
      <w:r>
        <w:rPr>
          <w:b w:val="0"/>
          <w:i/>
        </w:rPr>
        <w:t>Xem</w:t>
      </w:r>
      <w:r>
        <w:rPr>
          <w:b w:val="0"/>
          <w:i w:val="0"/>
        </w:rPr>
        <w:t xml:space="preserve"> Mục 21(d)(2) của Exchange Act, 15 U.S.C. § 78u(d)(2). Tuy nhiên, hành vi được đề cập phải chứng minh sự “không đủ tư cách” (unfitness) của một người để phục vụ ở những vị trí đó. </w:t>
      </w:r>
      <w:r>
        <w:rPr>
          <w:b w:val="0"/>
          <w:i/>
        </w:rPr>
        <w:t>Xem SEC v. Bankosky</w:t>
      </w:r>
      <w:r>
        <w:rPr>
          <w:b w:val="0"/>
          <w:i w:val="0"/>
        </w:rPr>
        <w:t xml:space="preserve"> , 716 F.3d 45 (2d Cir. 2013). Điều này có nên là một phần thẩm quyền của SEC không? Những quyết định này có nên được để cho các cổ đông và/hoặc hội đồng quản trị không?</w:t>
      </w:r>
    </w:p>
    <w:p>
      <w:pPr>
        <w:spacing w:after="80"/>
      </w:pPr>
      <w:r>
        <w:rPr>
          <w:b w:val="0"/>
          <w:i w:val="0"/>
        </w:rPr>
        <w:t xml:space="preserve">6. Đôi khi những thay đổi về quản trị là một phần của biện pháp khắc phục mà SEC đạt được. Do đó, trong </w:t>
      </w:r>
      <w:r>
        <w:rPr>
          <w:b w:val="0"/>
          <w:i/>
        </w:rPr>
        <w:t>SEC v. Bank of Am. Corp.</w:t>
      </w:r>
      <w:r>
        <w:rPr>
          <w:b w:val="0"/>
          <w:i w:val="0"/>
        </w:rPr>
        <w:t xml:space="preserve"> , 2010 U.S. Dist. LEXIS 15460 (S.D. N.Y. ngày 22 tháng 2 năm 2010), Ủy ban đã đạt được một gói “các biện pháp phòng ngừa” (prophylactic measures) bao gồm việc thuê cố vấn công bố thông tin độc lập chỉ báo cáo cho ủy ban kiểm toán của hội đồng quản trị và một cố vấn thù lao độc lập. Bạn nghĩ gì về cách tiếp cận này? Liệu nó có khả năng tạo ra tác động lâu dài nào đối với thực tiễn quản trị không?</w:t>
      </w:r>
    </w:p>
    <w:p>
      <w:pPr>
        <w:pStyle w:val="Heading2"/>
      </w:pPr>
      <w:r>
        <w:rPr>
          <w:rFonts w:ascii="Calibri" w:hAnsi="Calibri"/>
          <w:b/>
          <w:i w:val="0"/>
          <w:sz w:val="32"/>
        </w:rPr>
        <w:t>III. Vai trò của các Sở giao dịch chứng khoán và Tự quản</w:t>
      </w:r>
    </w:p>
    <w:p>
      <w:pPr>
        <w:spacing w:after="80"/>
      </w:pPr>
      <w:r>
        <w:rPr>
          <w:b w:val="0"/>
          <w:i w:val="0"/>
        </w:rPr>
        <w:t>Phần lớn quá trình quản trị công ty đối với các công ty đại chúng được quy định bởi các sở giao dịch chứng khoán thông qua việc sử dụng các tiêu chuẩn niêm yết. Các sở giao dịch chứng khoán là các tổ chức tự quản. Theo truyền thống thuộc sở hữu của các thành viên (môi giới và đại lý), các sở giao dịch chứng khoán đã chuyển đổi thành các công ty vì lợi nhuận. Cơ cấu này đặt ra những vấn đề thú vị về mối quan hệ giữa trách nhiệm quản lý và nghĩa vụ ủy thác đối với cổ đông.</w:t>
      </w:r>
    </w:p>
    <w:p>
      <w:pPr>
        <w:pStyle w:val="Heading3"/>
      </w:pPr>
      <w:r>
        <w:rPr>
          <w:rFonts w:ascii="Calibri" w:hAnsi="Calibri"/>
          <w:b/>
          <w:i w:val="0"/>
          <w:sz w:val="26"/>
        </w:rPr>
        <w:t>A. Thêm một chút lịch sử</w:t>
      </w:r>
    </w:p>
    <w:p>
      <w:pPr>
        <w:pStyle w:val="Heading4"/>
      </w:pPr>
      <w:r>
        <w:rPr>
          <w:rFonts w:ascii="Calibri" w:hAnsi="Calibri"/>
          <w:b/>
          <w:i w:val="0"/>
          <w:sz w:val="23"/>
        </w:rPr>
        <w:t xml:space="preserve">Roberta S. Karmel, </w:t>
      </w:r>
      <w:r>
        <w:rPr>
          <w:rFonts w:ascii="Calibri" w:hAnsi="Calibri"/>
          <w:b/>
          <w:i/>
          <w:sz w:val="23"/>
        </w:rPr>
        <w:t>Tương lai của các Yêu cầu</w:t>
      </w:r>
      <w:r>
        <w:br/>
      </w:r>
      <w:r>
        <w:rPr>
          <w:rFonts w:ascii="Calibri" w:hAnsi="Calibri"/>
          <w:b/>
          <w:i/>
          <w:sz w:val="23"/>
        </w:rPr>
        <w:t xml:space="preserve"> Niêm yết về Quản trị Công ty</w:t>
      </w:r>
    </w:p>
    <w:p>
      <w:pPr>
        <w:spacing w:after="80"/>
      </w:pPr>
      <w:r>
        <w:rPr>
          <w:b w:val="0"/>
          <w:i w:val="0"/>
        </w:rPr>
        <w:t>54 SMU L. Rev. 325, 326–29 (2001)</w:t>
      </w:r>
    </w:p>
    <w:p>
      <w:pPr>
        <w:spacing w:after="80"/>
      </w:pPr>
      <w:r>
        <w:rPr>
          <w:b w:val="0"/>
          <w:i w:val="0"/>
        </w:rPr>
        <w:t>Các tiêu chuẩn niêm yết đầu tiên của NYSE không được sở giao dịch coi là một chính sách cố định mà thay vào đó là các điều khoản linh hoạt được chèn vào các thỏa thuận niêm yết được đàm phán giữa từng tổ chức phát hành và sở giao dịch. Tính linh hoạt theo hợp đồng của các thỏa thuận niêm yết có nghĩa là các tiêu chuẩn niêm yết không được thực thi một cách thống nhất và có thể thay đổi. Ngoài ra, vì các tiêu chuẩn đó không được áp dụng hồi tố, các tổ chức phát hành không tuân thủ đã có được niêm yết trước một quy tắc mới không bị hủy niêm yết. Do đó, NYSE không áp dụng chính sách cố định thống nhất nào áp dụng cho tất cả các công ty niêm yết. Tuy nhiên, sự linh hoạt này cho phép NYSE thay đổi các thỏa thuận niêm yết của mình theo nhu cầu kinh tế.</w:t>
      </w:r>
    </w:p>
    <w:p>
      <w:pPr>
        <w:spacing w:after="80"/>
      </w:pPr>
      <w:r>
        <w:rPr>
          <w:b w:val="0"/>
          <w:i w:val="0"/>
        </w:rPr>
        <w:t>Ngay từ năm 1869, một Ủy ban về Danh sách Cổ phiếu (Committee on Stock List), một tiểu ban của Ban Quản trị NYSE, đã được thành lập để đánh giá các đơn xin niêm yết với NYSE. Ủy ban chủ yếu quan tâm đến đặc tính định tính của tổ chức phát hành: “mức độ quan tâm của quốc gia đối với công ty, vị thế của nó trong lĩnh vực cụ thể, đặc tính của thị trường đối với sản phẩm của nó, sự ổn định tương đối và vị trí của nó trong ngành, và liệu nó có đang tham gia vào một hoạt động đang mở rộng và có triển vọng duy trì vị thế của mình hay không.”</w:t>
      </w:r>
    </w:p>
    <w:p>
      <w:pPr>
        <w:spacing w:after="80"/>
      </w:pPr>
      <w:r>
        <w:rPr>
          <w:b w:val="0"/>
          <w:i w:val="0"/>
        </w:rPr>
        <w:t>* * *</w:t>
      </w:r>
    </w:p>
    <w:p>
      <w:pPr>
        <w:spacing w:after="80"/>
      </w:pPr>
      <w:r>
        <w:rPr>
          <w:b w:val="0"/>
          <w:i w:val="0"/>
        </w:rPr>
        <w:t>Ban đầu, NYSE quan tâm đến việc công bố thông tin tài chính, nhưng sự nhấn mạnh này đã dẫn đến một số tiêu chuẩn niêm yết về quản trị doanh nghiệp. Cuộc họp cổ đông thường niên, tiêu chuẩn quản trị doanh nghiệp đầu tiên, được áp đặt như một điều khoản trong thỏa thuận niêm yết và cuối cùng được gắn với các yêu cầu báo cáo thường niên. Đến năm 1900, các thỏa thuận niêm yết yêu cầu các công ty phải phân phối báo cáo thường niên cho cổ đông của mình. Đến năm 1909, những báo cáo đó phải được phân phối trước cuộc họp cổ đông thường niên. Đến năm 1914, các thỏa thuận quy định rằng một công ty niêm yết phải thông báo cho sàn giao dịch về bất kỳ thay đổi nào trong quyền của cổ đông hoặc trong việc mua lại cổ phiếu ưu đãi. Đến năm 1917, các thỏa thuận quy định việc công bố báo cáo thu nhập và bảng cân đối kế toán bán niên. Năm 1926, NYSE thông qua tiêu chuẩn niêm yết một cổ phiếu, một phiếu bầu.</w:t>
      </w:r>
    </w:p>
    <w:p>
      <w:pPr>
        <w:spacing w:after="80"/>
      </w:pPr>
      <w:r>
        <w:rPr>
          <w:b w:val="0"/>
          <w:i w:val="0"/>
        </w:rPr>
        <w:t>Tuy nhiên, chỉ sau vụ sụp đổ thị trường chứng khoán năm 1929, các nhà quản lý mới bắt đầu coi trọng nhu cầu và tầm quan trọng của việc công bố thông tin tài chính đối với các công ty niêm yết. Thái độ thay đổi của công chúng đã dẫn đến việc thiết lập một chính sách mới về công khai thông tin doanh nghiệp. Chính sách này khuyến khích, nhưng không bắt buộc, các công ty chuẩn bị báo cáo tài chính bởi các kế toán viên độc lập và chuẩn bị báo cáo thu nhập chi tiết. Đến năm 1932, kiểm toán độc lập trở thành bắt buộc đối với tất cả các công ty niêm yết mới. Cũng đến năm 1932, các công ty đồng ý báo cáo thu nhập của họ theo quý. Cuối cùng, với việc ban hành Exchange Act, các chính sách của NYSE liên quan đến kiểm toán độc lập đã trở thành một vấn đề của luật liên bang. Giá trị của các yêu cầu niêm yết của NYSE đã được chứng minh bởi thực tế rằng “Quốc hội đã theo sát các yêu cầu công bố thông tin của NYSE khi soạn thảo Exchange Act.”</w:t>
      </w:r>
    </w:p>
    <w:p>
      <w:pPr>
        <w:spacing w:after="80"/>
      </w:pPr>
      <w:r>
        <w:rPr>
          <w:b w:val="0"/>
          <w:i w:val="0"/>
        </w:rPr>
        <w:t>Trước khi ban hành Exchange Act, các thỏa thuận niêm yết yêu cầu tổ chức phát hành công bố hàng năm tất cả các chi tiết quan trọng về tình hình tài chính của họ, chẳng hạn như những thay đổi trong đặc điểm kinh doanh, vốn hóa và chính sách kế toán, trước cuộc họp cổ đông. Hơn nữa, một công ty niêm yết cam kết để sổ sách của mình được kiểm toán bởi các kế toán viên công chứng và duy trì một đại lý chuyển nhượng và cơ quan đăng ký. Ngay cả sau khi ban hành Exchange Act, NYSE vẫn quan tâm đến các thực tiễn của các công ty niêm yết của mình. Tuy nhiên, động lực cho những thay đổi này có thể là “sự tập trung của NYSE trong thời gian đó vào việc thúc đẩy khối lượng giao dịch.” NYSE tin rằng bằng cách đáp ứng nhu cầu của nhà đầu tư cá nhân và cải thiện thực tiễn quản trị doanh nghiệp, nó có thể thu hút thêm nhà đầu tư cho các cổ phiếu đã niêm yết.</w:t>
      </w:r>
    </w:p>
    <w:p>
      <w:pPr>
        <w:spacing w:after="80"/>
      </w:pPr>
      <w:r>
        <w:rPr>
          <w:b w:val="0"/>
          <w:i w:val="0"/>
        </w:rPr>
        <w:t>Đến năm 1953, các quy tắc túc số tối thiểu được thiết lập cho các cuộc họp cổ đông. Bắt đầu từ năm 1940, quyền biểu quyết tối thiểu cũng được yêu cầu đối với cổ đông ưu đãi. Năm 1955, NYSE yêu cầu sự chấp thuận của cổ đông đối với bất kỳ thương vụ mua lại nào dẫn đến việc tăng hơn 20% số cổ phiếu của mình. Sau đó, vào năm 1956, một yêu cầu về tính độc lập đối với các giám đốc đã được khởi xướng, một tiêu chuẩn có tầm quan trọng và gây tranh cãi trong tương lai. Sự nhấn mạnh của NYSE vào quản trị doanh nghiệp bao gồm việc xem xét kỹ lưỡng các thực tiễn tài chính của các công ty niêm yết. Những tuyên bố ban đầu của NYSE về công bố thông tin tài chính đã đặt nền móng cho các quy tắc trong tương lai; NYSE “không muốn niêm yết các công ty trừ khi các chính sách kế toán của họ lành mạnh và hợp lý và được các kỹ sư và kế toán viên chấp nhận rộng rãi.” Tuy nhiên, phải đến những năm 1970, Sàn giao dịch mới yêu cầu các thành viên ủy ban kiểm toán độc lập. . . .</w:t>
      </w:r>
    </w:p>
    <w:p>
      <w:pPr>
        <w:pStyle w:val="Heading5"/>
      </w:pPr>
      <w:r>
        <w:rPr>
          <w:rFonts w:ascii="Calibri" w:hAnsi="Calibri"/>
          <w:b/>
          <w:i/>
          <w:sz w:val="22"/>
        </w:rPr>
        <w:t>Bình luận và Câu hỏi</w:t>
      </w:r>
    </w:p>
    <w:p>
      <w:pPr>
        <w:spacing w:after="80"/>
      </w:pPr>
      <w:r>
        <w:rPr>
          <w:b w:val="0"/>
          <w:i w:val="0"/>
        </w:rPr>
        <w:t xml:space="preserve">1. NYSE đã tồn tại vào thời điểm Exchange Act được thông qua. Do đó, Quốc hội đã tích hợp thực thể này vào khuôn khổ quản lý bằng cách ủy quyền cho Ủy ban giám sát sàn giao dịch. Các quy tắc của sàn giao dịch phải được Ủy ban phê duyệt. </w:t>
      </w:r>
      <w:r>
        <w:rPr>
          <w:b w:val="0"/>
          <w:i/>
        </w:rPr>
        <w:t>Xem</w:t>
      </w:r>
      <w:r>
        <w:rPr>
          <w:b w:val="0"/>
          <w:i w:val="0"/>
        </w:rPr>
        <w:t xml:space="preserve"> Mục 19(b), 15 U.S.C. § 78r(b). Các hành động kỷ luật đối với các thành viên có thể được kháng cáo lên Ủy ban và từ đó lên Tòa án Phúc thẩm Hoa Kỳ.</w:t>
      </w:r>
    </w:p>
    <w:p>
      <w:pPr>
        <w:spacing w:after="80"/>
      </w:pPr>
      <w:r>
        <w:rPr>
          <w:b w:val="0"/>
          <w:i w:val="0"/>
        </w:rPr>
        <w:t xml:space="preserve">2. Trong những ngày đầu của việc giám sát, SEC và NYSE có mối quan hệ có phần căng thẳng. William O. Douglas đã dành phần lớn nhiệm kỳ chủ tịch SEC của mình để thiết lập sự giám sát chặt chẽ hơn đối với NYSE. Ông gây áp lực buộc tổ chức tự quản lý này phải tăng cường giám sát và điều chỉnh các thành viên của chính mình. </w:t>
      </w:r>
      <w:r>
        <w:rPr>
          <w:b w:val="0"/>
          <w:i/>
        </w:rPr>
        <w:t>Xem</w:t>
      </w:r>
      <w:r>
        <w:rPr>
          <w:b w:val="0"/>
          <w:i w:val="0"/>
        </w:rPr>
        <w:t xml:space="preserve"> Joel Seligman, </w:t>
      </w:r>
      <w:r>
        <w:rPr>
          <w:b w:val="0"/>
          <w:i/>
        </w:rPr>
        <w:t>Cautious Evolution or Perennial Irresolution: Stock Market Self-Regulation During the First Seventy Years of the Securities and Exchange Commission</w:t>
      </w:r>
      <w:r>
        <w:rPr>
          <w:b w:val="0"/>
          <w:i w:val="0"/>
        </w:rPr>
        <w:t xml:space="preserve"> , 59 Bus. Law. 1347 (tháng 8 năm 2004).</w:t>
      </w:r>
    </w:p>
    <w:p>
      <w:pPr>
        <w:spacing w:after="80"/>
      </w:pPr>
      <w:r>
        <w:rPr>
          <w:b w:val="0"/>
          <w:i w:val="0"/>
        </w:rPr>
        <w:t xml:space="preserve">3. Thú vị là, lịch sử lập pháp của Exchange Act cho thấy rằng đã có sự cân nhắc về việc áp đặt các yêu cầu công bố thông tin thông qua các tiêu chuẩn niêm yết. </w:t>
      </w:r>
      <w:r>
        <w:rPr>
          <w:b w:val="0"/>
          <w:i/>
        </w:rPr>
        <w:t>Xem Stock Exchange Regulation: Letter from the President of the United States to the Chairman of the Comm. On Banking and Currency with an Accompanying Report Relative to Stock Exchange Regulation</w:t>
      </w:r>
      <w:r>
        <w:rPr>
          <w:b w:val="0"/>
          <w:i w:val="0"/>
        </w:rPr>
        <w:t xml:space="preserve"> 17 (Comm. Print 1934) (“Ủy ban của quý vị tin rằng mỗi sàn giao dịch chứng khoán được cấp phép nên được yêu cầu thông qua các yêu cầu niêm yết cho các loại chứng khoán phát hành khác nhau được niêm yết trên sàn giao dịch, nhằm cung cấp cho công chúng thông tin đầy đủ, hoàn chỉnh và thích hợp liên quan đến các chứng khoán đó, cả tại thời điểm chứng khoán được chấp nhận giao dịch và định kỳ sau đó.”). Tuy nhiên, Quốc hội đã bác bỏ cách tiếp cận này ít nhất một phần vì lo ngại về việc thực thi các tiêu chuẩn niêm yết. </w:t>
      </w:r>
      <w:r>
        <w:rPr>
          <w:b w:val="0"/>
          <w:i/>
        </w:rPr>
        <w:t>Xem</w:t>
      </w:r>
      <w:r>
        <w:rPr>
          <w:b w:val="0"/>
          <w:i w:val="0"/>
        </w:rPr>
        <w:t xml:space="preserve"> S. Rep. No. 73-1455, at 70 (1934) (“Mặc dù Sở Giao dịch Chứng khoán New York đã tuyên bố về tính chất kỹ lưỡng của các yêu cầu niêm yết của mình, bằng chứng được đưa ra trước tiểu ban đã xác lập rằng các cơ quan quản lý sàn giao dịch đã lơ là trong việc điều tra các đơn xin niêm yết.”).</w:t>
      </w:r>
    </w:p>
    <w:p>
      <w:pPr>
        <w:spacing w:after="80"/>
      </w:pPr>
      <w:r>
        <w:rPr>
          <w:b w:val="0"/>
          <w:i w:val="0"/>
        </w:rPr>
        <w:t>4. Trong thiên niên kỷ mới, các tiêu chuẩn niêm yết đã trở thành một thành phần trung tâm của quá trình quản trị. NYSE (và Nasdaq) yêu cầu các công ty niêm yết phải có đa số giám đốc độc lập. NYSE Rule 303A.01. Hơn nữa, hội đồng quản trị phải có ủy ban lương thưởng, đề cử và kiểm toán, mỗi ủy ban bao gồm hoàn toàn các giám đốc độc lập. Các giám đốc độc lập và không thuộc ban điều hành phải họp “thường xuyên” trong phiên họp điều hành, không có ban điều hành. Hơn nữa, Quốc hội, khi điều chỉnh các ủy ban lương thưởng và kiểm toán của hội đồng quản trị, đã làm như vậy thông qua cơ chế tiêu chuẩn niêm yết. Đâu là điểm mạnh và điểm yếu của việc sử dụng các tiêu chuẩn niêm yết để điều chỉnh thực tiễn của hội đồng quản trị?</w:t>
      </w:r>
    </w:p>
    <w:p>
      <w:pPr>
        <w:spacing w:after="80"/>
      </w:pPr>
      <w:r>
        <w:rPr>
          <w:b w:val="0"/>
          <w:i w:val="0"/>
        </w:rPr>
        <w:t xml:space="preserve">5. Cổ đông thực sự nhận được bao nhiêu sự bảo vệ từ các tiêu chuẩn niêm yết? Còn các tiêu chuẩn niêm yết có thể bị gạt bỏ thì sao? Ví dụ, NYSE Rule 312.03 quy định rằng cần có sự chấp thuận của cổ đông trước khi phát hành cổ phiếu có 20% hoặc hơn quyền biểu quyết của công ty. Tuy nhiên, quy tắc này cũng quy định rằng yêu cầu đó có thể được gạt bỏ khi “(1) sự chậm trễ trong việc đảm bảo sự chấp thuận của cổ đông sẽ gây tổn hại nghiêm trọng đến khả năng tồn tại tài chính của doanh nghiệp và (2) việc công ty dựa vào ngoại lệ này được Ủy ban Kiểm toán của Hội đồng quản trị phê duyệt rõ ràng.” Rule 312.05. Khi JP Morgan mua lại Bear Stearns vào năm 2008, Bear Stearns dường như đã dựa vào ngoại lệ này để tránh việc đảm bảo sự chấp thuận của cổ đông. </w:t>
      </w:r>
      <w:r>
        <w:rPr>
          <w:b w:val="0"/>
          <w:i/>
        </w:rPr>
        <w:t>Xem</w:t>
      </w:r>
      <w:r>
        <w:rPr>
          <w:b w:val="0"/>
          <w:i w:val="0"/>
        </w:rPr>
        <w:t xml:space="preserve"> Exhibit 2.2 đính kèm Báo cáo Hiện hành trên Form 8-K do Bear Stearns nộp ngày 24 tháng 3 năm 2008. Loại quyết định này có nên yêu cầu sàn giao dịch phê duyệt không? Điều đó có thể tạo ra sự khác biệt gì?</w:t>
      </w:r>
    </w:p>
    <w:p>
      <w:pPr>
        <w:pStyle w:val="Heading3"/>
      </w:pPr>
      <w:r>
        <w:rPr>
          <w:rFonts w:ascii="Calibri" w:hAnsi="Calibri"/>
          <w:b/>
          <w:i w:val="0"/>
          <w:sz w:val="26"/>
        </w:rPr>
        <w:t>B. Phi tương hỗ hóa</w:t>
      </w:r>
    </w:p>
    <w:p>
      <w:pPr>
        <w:spacing w:after="80"/>
      </w:pPr>
      <w:r>
        <w:rPr>
          <w:b w:val="0"/>
          <w:i w:val="0"/>
        </w:rPr>
        <w:t xml:space="preserve">Các sàn giao dịch chứng khoán ban đầu được thành lập bởi các nhà môi giới-đại lý để tạo điều kiện thuận lợi cho hoạt động giao dịch. Về mặt cấu trúc, NYSE là một tổ chức phi lợi nhuận thuộc sở hữu của các thành viên. Các thành viên bầu chọn các giám đốc, mặc dù một số cũng phải đại diện cho lợi ích của các công ty niêm yết và công chúng đầu tư. Tuy nhiên, trong thiên niên kỷ mới, các sàn giao dịch đã tìm cách thay đổi cấu trúc tổ chức của mình, chuyển đổi thành các tập đoàn vì lợi nhuận. Năm 2006, Ủy ban đã phê duyệt việc sáp nhập giữa NYSE và Archipelago Holdings. Giao dịch này đã chuyển đổi NYSE thành một tập đoàn vì lợi nhuận một cách hiệu quả. Sự thay đổi địa vị mang lại một số lợi thế, không kém phần quan trọng là khả năng phát hành cổ phiếu vừa như thù lao vừa như khoản thanh toán trong các thương vụ mua lại. Không lâu sau đó, NYSE mua lại EuroNext, một liên minh các sàn giao dịch chứng khoán châu Âu từ Bỉ, Pháp, Hà Lan và Bồ Đào Nha, </w:t>
      </w:r>
      <w:r>
        <w:rPr>
          <w:b w:val="0"/>
          <w:i/>
        </w:rPr>
        <w:t>xem</w:t>
      </w:r>
      <w:r>
        <w:rPr>
          <w:b w:val="0"/>
          <w:i w:val="0"/>
        </w:rPr>
        <w:t xml:space="preserve"> Exchange Act Release No. 55293 (ngày 14 tháng 2 năm 2007), và Amex. </w:t>
      </w:r>
      <w:r>
        <w:rPr>
          <w:b w:val="0"/>
          <w:i/>
        </w:rPr>
        <w:t>Xem</w:t>
      </w:r>
      <w:r>
        <w:rPr>
          <w:b w:val="0"/>
          <w:i w:val="0"/>
        </w:rPr>
        <w:t xml:space="preserve"> Exchange Act Release No. 58673 (ngày 29 tháng 9 năm 2008) (lệnh của SEC phê duyệt việc mua lại).</w:t>
      </w:r>
    </w:p>
    <w:p>
      <w:pPr>
        <w:spacing w:after="80"/>
      </w:pPr>
      <w:r>
        <w:rPr>
          <w:b w:val="0"/>
          <w:i w:val="0"/>
        </w:rPr>
        <w:t>Tuy nhiên, địa vị vì lợi nhuận có nghĩa là NYSE có các cổ đông và nghĩa vụ hành động vì lợi ích tốt nhất của họ, bao gồm nhu cầu tối đa hóa lợi nhuận. Nghĩa vụ này có khả năng không nhất quán với các chức năng quản lý của tổ chức, bao gồm việc thực thi các tiêu chuẩn niêm yết. Khi phê duyệt giao dịch cho phép NYSE chuyển đổi thành công ty vì lợi nhuận, Ủy ban đã tìm cách đảm bảo rằng chức năng quản lý của NYSE được cách ly đầy đủ khỏi động cơ vì lợi nhuận của công ty mẹ.</w:t>
      </w:r>
    </w:p>
    <w:p>
      <w:pPr>
        <w:spacing w:after="80"/>
      </w:pPr>
      <w:r>
        <w:rPr>
          <w:b w:val="0"/>
          <w:i w:val="0"/>
        </w:rPr>
        <w:t>Để giải quyết những lo ngại này, NYSE đã thực hiện một số bước, bao gồm việc thành lập một công ty con riêng biệt, NYSE Regulation, một tập đoàn phi lợi nhuận của New York, để thực hiện hầu hết các chức năng quản lý của NYSE.</w:t>
      </w:r>
    </w:p>
    <w:p>
      <w:pPr>
        <w:pStyle w:val="Heading4"/>
      </w:pPr>
      <w:r>
        <w:rPr>
          <w:rFonts w:ascii="Calibri" w:hAnsi="Calibri"/>
          <w:b/>
          <w:i w:val="0"/>
          <w:sz w:val="23"/>
        </w:rPr>
        <w:t>Exchange Act Release No. 53382</w:t>
      </w:r>
    </w:p>
    <w:p>
      <w:pPr>
        <w:spacing w:after="80"/>
      </w:pPr>
      <w:r>
        <w:rPr>
          <w:b w:val="0"/>
          <w:i w:val="0"/>
        </w:rPr>
        <w:t>(ngày 27 tháng 2 năm 2006)</w:t>
      </w:r>
    </w:p>
    <w:p>
      <w:pPr>
        <w:spacing w:after="80"/>
      </w:pPr>
      <w:r>
        <w:rPr>
          <w:b w:val="0"/>
          <w:i w:val="0"/>
        </w:rPr>
        <w:t>Liên quan đến Thương vụ Sáp nhập [giữa NYSE và Archipelago, một công ty sở hữu Sở Giao dịch Chứng khoán Thái Bình Dương], NYSE đề xuất tái cơ cấu để NYSE Group trở thành một công ty cổ phần vì lợi nhuận, niêm yết công khai và là công ty mẹ nắm giữ hoạt động kinh doanh của NYSE và Archipelago. NYSE Group sẽ nắm giữ toàn bộ quyền sở hữu vốn chủ sở hữu trong New York Stock Exchange LLC và Archipelago. Hoạt động kinh doanh và tài sản hiện tại của NYSE sẽ được nắm giữ trong New York Stock Exchange LLC, NYSE Market và NYSE Regulation.</w:t>
      </w:r>
    </w:p>
    <w:p>
      <w:pPr>
        <w:spacing w:after="80"/>
      </w:pPr>
      <w:r>
        <w:rPr>
          <w:b w:val="0"/>
          <w:i w:val="0"/>
        </w:rPr>
        <w:t>* * *</w:t>
      </w:r>
    </w:p>
    <w:p>
      <w:pPr>
        <w:spacing w:after="80"/>
      </w:pPr>
      <w:r>
        <w:rPr>
          <w:b w:val="0"/>
          <w:i w:val="0"/>
        </w:rPr>
        <w:t>NYSE Regulation, một công ty phi lợi nhuận loại A của New York, sẽ là công ty con thuộc sở hữu hoàn toàn của New York Stock Exchange LLC. Sau Thương vụ Sáp nhập, NYSE Regulation sẽ nắm giữ toàn bộ tài sản và nghĩa vụ liên quan đến các chức năng quản lý hiện do NYSE thực hiện. Theo Thỏa thuận Ủy quyền của NYSE, NYSE Regulation sẽ thực hiện các chức năng quản lý của New York Stock Exchange LLC. NYSE Regulation cũng sẽ thực hiện nhiều chức năng quản lý của Sở Giao dịch Thái Bình Dương theo một thỏa thuận dịch vụ quản lý.</w:t>
      </w:r>
    </w:p>
    <w:p>
      <w:pPr>
        <w:spacing w:after="80"/>
      </w:pPr>
      <w:r>
        <w:rPr>
          <w:b w:val="0"/>
          <w:i w:val="0"/>
        </w:rPr>
        <w:t>* * *</w:t>
      </w:r>
    </w:p>
    <w:p>
      <w:pPr>
        <w:spacing w:after="80"/>
      </w:pPr>
      <w:r>
        <w:rPr>
          <w:b w:val="0"/>
          <w:i w:val="0"/>
        </w:rPr>
        <w:t>NYSE đã đề xuất một số biện pháp để giúp đảm bảo tính độc lập của chức năng quản lý khỏi hoạt động thị trường và các lợi ích thương mại khác. Ví dụ, tất cả các giám đốc trong hội đồng quản trị của NYSE Regulation (ngoại trừ tổng giám đốc điều hành) sẽ được yêu cầu phải độc lập với ban điều hành của NYSE Group và các công ty con, cũng như với các thành viên và các công ty niêm yết. Ngoài ra, đa số thành viên của hội đồng quản trị NYSE Regulation phải là các giám đốc không đồng thời là giám đốc của NYSE Group. Mặc dù NYSE sẽ không có ủy ban giám sát quản lý, hội đồng quản trị của NYSE Regulation được kỳ vọng sẽ hoạt động với vai trò đó. Hơn nữa, NYSE Regulation sẽ có ủy ban đề cử và quản trị riêng, thay vì chia sẻ ủy ban đề cử và quản trị của NYSE Group, và ủy ban này cũng sẽ bao gồm đa số giám đốc không đồng thời là giám đốc của NYSE Group.</w:t>
      </w:r>
    </w:p>
    <w:p>
      <w:pPr>
        <w:spacing w:after="80"/>
      </w:pPr>
      <w:r>
        <w:rPr>
          <w:b w:val="0"/>
          <w:i w:val="0"/>
        </w:rPr>
        <w:t>Tổng giám đốc điều hành của NYSE Regulation sẽ hoạt động như giám đốc quản lý của sở giao dịch. Vị trí này sẽ chỉ báo cáo cho hội đồng quản trị NYSE Regulation và không báo cáo cho bất kỳ thực thể nào khác của NYSE Group, mặc dù người đó có thể tham dự các cuộc họp hội đồng quản trị của các thực thể khác khi được cho là phù hợp để thực hiện trách nhiệm của mình.</w:t>
      </w:r>
    </w:p>
    <w:p>
      <w:pPr>
        <w:spacing w:after="80"/>
      </w:pPr>
      <w:r>
        <w:rPr>
          <w:b w:val="0"/>
          <w:i w:val="0"/>
        </w:rPr>
        <w:t>NYSE cũng đề xuất thành lập một ủy ban lương thưởng riêng cho NYSE Regulation. Ủy ban này cũng sẽ có đa số giám đốc không thuộc NYSE Group. Ủy ban lương thưởng của NYSE Regulation sẽ chịu trách nhiệm thiết lập mức lương thưởng cho nhân viên NYSE Regulation; do đó, ủy ban lương thưởng của NYSE Group sẽ không có tiếng nói trong quá trình này.</w:t>
      </w:r>
    </w:p>
    <w:p>
      <w:pPr>
        <w:spacing w:after="80"/>
      </w:pPr>
      <w:r>
        <w:rPr>
          <w:b w:val="0"/>
          <w:i w:val="0"/>
        </w:rPr>
        <w:t>Ủy ban (Commission) cũng lưu ý rằng NYSE đã thực hiện các bước để bảo vệ việc sử dụng tiền quản lý. Cụ thể, New York Stock Exchange LLC sẽ không được phép sử dụng bất kỳ tài sản nào của NYSE Regulation, hoặc bất kỳ khoản phí quản lý, tiền phạt hoặc hình phạt nào do NYSE Regulation thu được, cho mục đích thương mại hoặc phân phối những tài sản, phí, tiền phạt hoặc hình phạt đó cho NYSE Group hoặc bất kỳ thực thể nào khác ngoài NYSE Regulation.</w:t>
      </w:r>
    </w:p>
    <w:p>
      <w:pPr>
        <w:spacing w:after="80"/>
      </w:pPr>
      <w:r>
        <w:rPr>
          <w:b w:val="0"/>
          <w:i w:val="0"/>
        </w:rPr>
        <w:t>* * *</w:t>
      </w:r>
    </w:p>
    <w:p>
      <w:pPr>
        <w:spacing w:after="80"/>
      </w:pPr>
      <w:r>
        <w:rPr>
          <w:b w:val="0"/>
          <w:i w:val="0"/>
        </w:rPr>
        <w:t>Một số người bình luận cho rằng cấu trúc vì lợi nhuận không nhất quán với các nghĩa vụ tự quản lý. Nasdaq tin rằng việc toàn bộ bộ máy quản lý tồn tại trong một thực thể vì lợi nhuận là hoàn toàn không nhất quán với sứ mệnh của thực thể vì lợi nhuận, do nghĩa vụ ủy thác phải tối đa hóa lợi nhuận. IBAC cũng nhấn mạnh quan điểm của mình rằng nghĩa vụ ủy thác của các giám đốc trong một thực thể vì lợi nhuận phải tối đa hóa lợi nhuận là không nhất quán với các nghĩa vụ của SRO (tổ chức tự quản lý). Chừng nào NYSE Group còn kiểm soát việc bổ nhiệm đa số giám đốc của NYSE Regulation, IBAC tin rằng động cơ lợi nhuận sẽ "thống trị tối cao", và lo ngại về việc thỏa hiệp hoạt động của sở giao dịch để đổi lấy lợi nhuận ngắn hạn. . . .</w:t>
      </w:r>
    </w:p>
    <w:p>
      <w:pPr>
        <w:spacing w:after="80"/>
      </w:pPr>
      <w:r>
        <w:rPr>
          <w:b w:val="0"/>
          <w:i w:val="0"/>
        </w:rPr>
        <w:t>Nasdaq tin rằng không phù hợp khi đặt tất cả trách nhiệm quản lý thành viên tuyến đầu trong thực thể tổng thể vận hành cơ sở giao dịch. Nasdaq lưu ý rằng, theo đơn đăng ký sở giao dịch của mình, họ đã giao phó hầu hết trách nhiệm quản lý tuyến đầu cho NASD thông qua hợp đồng, và NASD sẽ không còn liên kết với Nasdaq nữa. Nasdaq so sánh cấu trúc của mình với cấu trúc được NYSE đề xuất, lưu ý rằng tất cả trách nhiệm quản lý của New York Stock Exchange LLC và Sở Giao dịch Thái Bình Dương sẽ được giao cho các thực thể chịu sự kiểm soát của NYSE Group, một thực thể vì lợi nhuận. IBAC yêu cầu Ủy ban xem xét tách NYSE Regulation thành một thực thể phi lợi nhuận riêng biệt hoàn toàn độc lập với NYSE Group, trong khi CalPERS đề xuất một mô hình có sự tách biệt hoàn toàn giữa các chức năng quản lý và phi quản lý, chẳng hạn như mô hình doanh nghiệp của Ủy ban Giám sát Kế toán Công ty Đại chúng. NASD tin rằng việc triển khai mô hình tự quản lý hỗn hợp sẽ loại bỏ những xung đột cố hữu khi một cơ quan quản lý vận hành một thị trường.</w:t>
      </w:r>
    </w:p>
    <w:p>
      <w:pPr>
        <w:spacing w:after="80"/>
      </w:pPr>
      <w:r>
        <w:rPr>
          <w:b w:val="0"/>
          <w:i w:val="0"/>
        </w:rPr>
        <w:t>Trong phạm vi mà một thị trường được quản lý tốt được chủ sở hữu của SRO coi là có lợi cho lợi ích thương mại của họ, việc phi tương hỗ hóa (demutualization) có thể giúp gắn kết mục tiêu của chủ sở hữu SRO với các nghĩa vụ luật định của họ. NYSE tin rằng NYSE Group có "mọi động lực" để đảm bảo giám sát quản lý mạnh mẽ đối với thị trường, thành viên và các công ty niêm yết của mình vì một thị trường được quản lý tốt là điều thiết yếu để thu hút và giữ chân việc niêm yết và giao dịch trên thị trường của mình. Trong phạm vi có lo ngại rằng động cơ lợi nhuận có thể lấn át động lực có một thị trường được quản lý tốt, như đã trình bày chi tiết ở trên trong mục này, NYSE đã đề xuất một cấu trúc tổng thể, với một số biện pháp bảo vệ cụ thể, được thiết kế để cho phép chương trình quản lý của sở giao dịch hoạt động độc lập với hoạt động thị trường và các lợi ích thương mại khác. . . .</w:t>
      </w:r>
    </w:p>
    <w:p>
      <w:pPr>
        <w:pStyle w:val="Heading5"/>
      </w:pPr>
      <w:r>
        <w:rPr>
          <w:rFonts w:ascii="Calibri" w:hAnsi="Calibri"/>
          <w:b/>
          <w:i/>
          <w:sz w:val="22"/>
        </w:rPr>
        <w:t>Bình luận và Câu hỏi</w:t>
      </w:r>
    </w:p>
    <w:p>
      <w:pPr>
        <w:spacing w:after="80"/>
      </w:pPr>
      <w:r>
        <w:rPr>
          <w:b w:val="0"/>
          <w:i w:val="0"/>
        </w:rPr>
        <w:t>1. Bạn nghĩ gì về cuộc tranh luận này? Một công ty vì lợi nhuận có nên có trách nhiệm quản lý dưới bất kỳ hình thức nào không? Bạn nghĩ gì về giải pháp của NYSE? Bạn có nghĩ nó hiệu quả không?</w:t>
      </w:r>
    </w:p>
    <w:p>
      <w:pPr>
        <w:spacing w:after="80"/>
      </w:pPr>
      <w:r>
        <w:rPr>
          <w:b w:val="0"/>
          <w:i w:val="0"/>
        </w:rPr>
        <w:t>2. NYSE đã chọn cách tách biệt "mang tính cấu trúc" giữa các chức năng quản lý và "vì lợi nhuận". NYSE Regulation về cơ bản đã bị ngăn cách khỏi công ty mẹ vì lợi nhuận. Đây có phải là cấu trúc khả thi duy nhất không? Việc một số giám đốc của NYSE Regulation có thể đồng thời là giám đốc của công ty mẹ (dù ít hơn đa số và chỉ là các giám đốc độc lập) có ảnh hưởng đến phân tích của bạn không? Còn về nguồn tài trợ cho NYSE Regulation thì sao? Nó được xác định như thế nào?</w:t>
      </w:r>
    </w:p>
    <w:p>
      <w:pPr>
        <w:spacing w:after="80"/>
      </w:pPr>
      <w:r>
        <w:rPr>
          <w:b w:val="0"/>
          <w:i w:val="0"/>
        </w:rPr>
        <w:t>3. Việc phi tương hỗ hóa cho phép NYSE thực hiện các thương vụ mua lại. Tuy nhiên, nó cũng khiến Sở Giao dịch trở nên dễ bị thâu tóm. Thật vậy, NYSE đã bị InterContinental Exchange (ICE) mua lại và trở thành công ty con của ICE vào năm 2013. Một năm sau, ICE tách Euronext thông qua một đợt chào bán công khai. Bạn nghĩ gì về điều này? Vai trò của NYSE sẽ thay đổi như thế nào khi giờ đây nó là công ty con của một công ty lớn hơn nhiều?</w:t>
      </w:r>
    </w:p>
    <w:p>
      <w:pPr>
        <w:spacing w:after="80"/>
      </w:pPr>
      <w:r>
        <w:rPr>
          <w:b w:val="0"/>
          <w:i w:val="0"/>
        </w:rPr>
        <w:t xml:space="preserve">4. Nasdaq cũng đã trở thành một công ty vì lợi nhuận, dù theo một con đường có phần khác biệt. Nasdaq ban đầu là một hệ thống giao dịch điện tử do NASD phát triển. NASD cuối cùng đã thoái toàn bộ mọi lợi ích của mình tại Nasdaq. </w:t>
      </w:r>
      <w:r>
        <w:rPr>
          <w:b w:val="0"/>
          <w:i/>
        </w:rPr>
        <w:t>Xem</w:t>
      </w:r>
      <w:r>
        <w:rPr>
          <w:b w:val="0"/>
          <w:i w:val="0"/>
        </w:rPr>
        <w:t xml:space="preserve"> Exchange Act Release No. 54798 (ngày 21 tháng 11 năm 2006). Nasdaq nổi lên như một công ty vì lợi nhuận niêm yết đại chúng và đăng ký với SEC như một sở giao dịch chứng khoán quốc gia. Nasdaq đã tận dụng vị thế vì lợi nhuận của mình để tham gia vào các thương vụ mua lại ở nước ngoài. Sở giao dịch này đã tìm cách mua Sở giao dịch Chứng khoán London nhưng cuối cùng không thành công. Thay vào đó, Nasdaq mua lại OMX, một công ty holding kiểm soát bảy sở giao dịch khác (Thụy Điển, Phần Lan, Đan Mạch, Iceland và các quốc gia vùng Baltic).</w:t>
      </w:r>
    </w:p>
    <w:p>
      <w:pPr>
        <w:spacing w:after="80"/>
      </w:pPr>
      <w:r>
        <w:rPr>
          <w:b w:val="0"/>
          <w:i w:val="0"/>
        </w:rPr>
        <w:t>5. Việc phi tương hỗ hóa (demutualization) đã diễn ra trong bối cảnh có sự thay đổi rộng lớn hơn về cấu trúc của các thị trường giao dịch. Khi NYSE chuyển sang vị thế vì lợi nhuận, khoảng 80% các giao dịch cổ phiếu của các công ty niêm yết được thực hiện qua sở giao dịch. Đến thập kỷ thứ hai của thiên niên kỷ mới, tỷ lệ này đã giảm xuống còn khoảng 20%. Một số giao dịch đã chuyển sang các sở giao dịch chứng khoán mới được thành lập gần đây như BATS, trong khi những giao dịch khác diễn ra tại các trung tâm kém minh bạch hơn như dark pool (bể tối). Điều này có thể tác động như thế nào đến vai trò của NYSE trong quá trình quản trị công ty?</w:t>
      </w:r>
    </w:p>
    <w:p>
      <w:pPr>
        <w:spacing w:after="80"/>
      </w:pPr>
      <w:r>
        <w:rPr>
          <w:b w:val="0"/>
          <w:i w:val="0"/>
        </w:rPr>
        <w:t xml:space="preserve">6. Thực tiễn đối với các sở giao dịch chứng khoán bên ngoài Hoa Kỳ như thế nào? Một số sở giao dịch lớn nhất cũng đã phi tương hỗ hóa, bao gồm Tokyo, London và Deutsche Borse. Các sở giao dịch ở Trung Quốc là một ngoại lệ đáng kể, cũng như các sở giao dịch ở khu vực MENA (Trung Đông và Bắc Phi). </w:t>
      </w:r>
      <w:r>
        <w:rPr>
          <w:b w:val="0"/>
          <w:i/>
        </w:rPr>
        <w:t>Xem</w:t>
      </w:r>
      <w:r>
        <w:rPr>
          <w:b w:val="0"/>
          <w:i w:val="0"/>
        </w:rPr>
        <w:t xml:space="preserve"> nhìn chung Privatization and Demutualisation of MENA Stock Exchanges, OECD, tháng 12 năm 2013.</w:t>
      </w:r>
    </w:p>
    <w:p>
      <w:pPr>
        <w:spacing w:after="80"/>
      </w:pPr>
      <w:r>
        <w:rPr>
          <w:b w:val="0"/>
          <w:i w:val="0"/>
        </w:rPr>
        <w:t>—————</w:t>
      </w:r>
    </w:p>
    <w:p>
      <w:pPr>
        <w:spacing w:after="80"/>
      </w:pPr>
      <w:r>
        <w:rPr>
          <w:b w:val="0"/>
          <w:i w:val="0"/>
        </w:rPr>
        <w:t xml:space="preserve">Theo thời gian, vai trò quản lý của NYSE suy giảm. Phần lớn chức năng giám sát môi giới đã được chuyển giao trong thương vụ sáp nhập tạo ra Cơ quan Quản lý Ngành Tài chính (FINRA). Trong khi trách nhiệm pháp lý về giám sát thị trường vẫn thuộc về các sở giao dịch, chức năng này thường được giao theo hợp đồng cho FINRA. </w:t>
      </w:r>
      <w:r>
        <w:rPr>
          <w:b w:val="0"/>
          <w:i/>
        </w:rPr>
        <w:t>Xem</w:t>
      </w:r>
      <w:r>
        <w:rPr>
          <w:b w:val="0"/>
          <w:i w:val="0"/>
        </w:rPr>
        <w:t xml:space="preserve"> FINRA Press Release, ngày 4 tháng 5 năm 2010 (công bố việc FINRA đảm nhận "trách nhiệm thực hiện các chức năng giám sát thị trường và thực thi hiện do NYSE Regulation đảm nhiệm"). Với vai trò quản lý bị thu hẹp, NYSE đã tìm cách thay đổi hệ thống giám sát trách nhiệm quản lý.</w:t>
      </w:r>
    </w:p>
    <w:p>
      <w:pPr>
        <w:pStyle w:val="Heading4"/>
      </w:pPr>
      <w:r>
        <w:rPr>
          <w:rFonts w:ascii="Calibri" w:hAnsi="Calibri"/>
          <w:b/>
          <w:i w:val="0"/>
          <w:sz w:val="23"/>
        </w:rPr>
        <w:t>Exchange Act Release No. 75991</w:t>
      </w:r>
    </w:p>
    <w:p>
      <w:pPr>
        <w:spacing w:after="80"/>
      </w:pPr>
      <w:r>
        <w:rPr>
          <w:b w:val="0"/>
          <w:i w:val="0"/>
        </w:rPr>
        <w:t>(ngày 28 tháng 9 năm 2015)</w:t>
      </w:r>
    </w:p>
    <w:p>
      <w:pPr>
        <w:spacing w:after="80"/>
      </w:pPr>
      <w:r>
        <w:rPr>
          <w:b w:val="0"/>
          <w:i w:val="0"/>
        </w:rPr>
        <w:t>II. Mô tả Đề xuất</w:t>
      </w:r>
    </w:p>
    <w:p>
      <w:pPr>
        <w:spacing w:after="80"/>
      </w:pPr>
      <w:r>
        <w:rPr>
          <w:b w:val="0"/>
          <w:i w:val="0"/>
        </w:rPr>
        <w:t>NYSE đề xuất: (i) sửa đổi Thỏa thuận Hoạt động của Sở giao dịch để thành lập một Ủy ban Giám sát Quản lý ("ROC") như một ủy ban của Hội đồng Quản trị Sở giao dịch ("Board") . . . (ii) chấm dứt Thỏa thuận Ủy quyền ("Delegation Agreement") giữa Sở giao dịch, NYSE Market (DE), Inc. ("NYSE Market (DE)"), và NYSE Regulation, Inc. ("NYSE Regulation") . . .</w:t>
      </w:r>
    </w:p>
    <w:p>
      <w:pPr>
        <w:spacing w:after="80"/>
      </w:pPr>
      <w:r>
        <w:rPr>
          <w:b w:val="0"/>
          <w:i w:val="0"/>
        </w:rPr>
        <w:t>A. Thành lập ROC và Thực hiện các Sửa đổi Phù hợp đối với Quy chế Sở giao dịch</w:t>
      </w:r>
    </w:p>
    <w:p>
      <w:pPr>
        <w:spacing w:after="80"/>
      </w:pPr>
      <w:r>
        <w:rPr>
          <w:b w:val="0"/>
          <w:i w:val="0"/>
        </w:rPr>
        <w:t>Sở giao dịch đề xuất bổ sung tiểu mục (ii) vào Mục 2.03(h) của Thỏa thuận Hoạt động để thành lập một ROC và quy định rõ thành phần cũng như chức năng của ủy ban này. . . . ROC sẽ được bổ nhiệm hằng năm và có các trách nhiệm sau:</w:t>
      </w:r>
    </w:p>
    <w:p>
      <w:pPr>
        <w:spacing w:after="80"/>
        <w:ind w:left="360"/>
      </w:pPr>
      <w:r>
        <w:t xml:space="preserve">• </w:t>
      </w:r>
      <w:r>
        <w:rPr>
          <w:b w:val="0"/>
          <w:i w:val="0"/>
        </w:rPr>
        <w:t>giám sát các trách nhiệm quản lý và tổ chức tự quản của Sở giao dịch và đánh giá tính đầy đủ và hiệu quả của các trách nhiệm quản lý và tổ chức tự quản của Sở giao dịch;</w:t>
      </w:r>
    </w:p>
    <w:p>
      <w:pPr>
        <w:spacing w:after="80"/>
        <w:ind w:left="360"/>
      </w:pPr>
      <w:r>
        <w:t xml:space="preserve">• </w:t>
      </w:r>
      <w:r>
        <w:rPr>
          <w:b w:val="0"/>
          <w:i w:val="0"/>
        </w:rPr>
        <w:t>đánh giá hiệu quả hoạt động quản lý của Sở giao dịch; và</w:t>
      </w:r>
    </w:p>
    <w:p>
      <w:pPr>
        <w:spacing w:after="80"/>
        <w:ind w:left="360"/>
      </w:pPr>
      <w:r>
        <w:t xml:space="preserve">• </w:t>
      </w:r>
      <w:r>
        <w:rPr>
          <w:b w:val="0"/>
          <w:i w:val="0"/>
        </w:rPr>
        <w:t>tư vấn và đưa ra khuyến nghị cho Hội đồng Quản trị hoặc các ủy ban khác của Hội đồng Quản trị về việc tuân thủ quy định, hiệu quả và các kế hoạch quản lý của Sở giao dịch.</w:t>
      </w:r>
    </w:p>
    <w:p>
      <w:pPr>
        <w:spacing w:after="80"/>
      </w:pPr>
      <w:r>
        <w:rPr>
          <w:b w:val="0"/>
          <w:i w:val="0"/>
        </w:rPr>
        <w:t>Để thúc đẩy các chức năng này, Sở giao dịch đề xuất rằng ROC sẽ có thẩm quyền và nghĩa vụ: (i) xem xét ngân sách quản lý của Sở giao dịch và đặc biệt thẩm tra tính đầy đủ của các nguồn lực sẵn có trong ngân sách cho các hoạt động quản lý; (ii) họp thường xuyên với Giám đốc Quản lý ("CRO") trong phiên họp riêng; (iii) tham vấn với Tổng Giám đốc Điều hành của Sở giao dịch để thiết lập các mục tiêu, đánh giá hiệu quả hoạt động và đề xuất mức thù lao cho CRO; và (iv) thông báo cho Hội đồng Quản trị về các vấn đề nêu trên.</w:t>
      </w:r>
    </w:p>
    <w:p>
      <w:pPr>
        <w:spacing w:after="80"/>
      </w:pPr>
      <w:r>
        <w:rPr>
          <w:b w:val="0"/>
          <w:i w:val="0"/>
        </w:rPr>
        <w:t>Về thành phần của ROC, Mục 2.03(h)(ii) sẽ quy định rằng ROC phải bao gồm ít nhất ba thành viên, mỗi người là một Giám đốc của Sở giao dịch đáp ứng các yêu cầu về tính độc lập của Sở giao dịch. Sở giao dịch tuyên bố rằng một ROC bao gồm ít nhất ba thành viên độc lập đã được công nhận là một trong nhiều biện pháp có thể giúp đảm bảo tính độc lập của chức năng quản lý khỏi các hoạt động thị trường và lợi ích thương mại của một sở giao dịch chứng khoán quốc gia.</w:t>
      </w:r>
    </w:p>
    <w:p>
      <w:pPr>
        <w:spacing w:after="80"/>
      </w:pPr>
      <w:r>
        <w:rPr>
          <w:b w:val="0"/>
          <w:i w:val="0"/>
        </w:rPr>
        <w:t>Ngoài ra, Mục 2.03(h)(ii) của Thỏa thuận Điều hành sẽ quy định rằng Hội đồng quản trị, theo biểu quyết tán thành của đa số Giám đốc, vào bất kỳ thời điểm nào đều có thể miễn nhiệm một thành viên của ROC vì lý do chính đáng, và cũng sẽ quy định rằng việc một thành viên ROC không đủ điều kiện là độc lập theo Chính sách Độc lập của Giám đốc Công ty sẽ cấu thành căn cứ để miễn nhiệm một thành viên của ROC vì lý do chính đáng. Nếu nhiệm kỳ của một thành viên ROC chấm dứt, và nhiệm kỳ còn lại của thành viên đó tại thời điểm chấm dứt không quá ba tháng, Mục 2.03(h)(ii) sẽ quy định rằng trong thời gian trống ghế, ROC sẽ không bị coi là vi phạm các yêu cầu về thành phần của mình do việc trống ghế đó. Để làm rõ quy trình bổ sung các ghế trống trong bất kỳ ủy ban nào của Sở giao dịch, bao gồm cả ROC, Sở giao dịch cũng đề xuất sửa đổi Mục 2.03(h) của Thỏa thuận Điều hành để quy định rằng các ghế trống trong thành phần của bất kỳ ủy ban nào sẽ do Hội đồng quản trị bổ sung. Sở giao dịch tin rằng thay đổi quy tắc được đề xuất nhằm tạo ra một ủy ban Hội đồng quản trị độc lập để giám sát tính đầy đủ và hiệu quả của việc thực hiện các trách nhiệm tự quản của mình là phù hợp với các thay đổi quy tắc đã được phê duyệt trước đây cho các SRO khác và sẽ cho phép Sở giao dịch đảm nhận các trách nhiệm quản lý của mình theo một cơ cấu quản trị doanh nghiệp phù hợp với các đối tác trong ngành. Hơn nữa, Sở giao dịch tin rằng ROC được đề xuất sẽ đảm bảo tính độc lập liên tục của quá trình quản lý. Sở giao dịch tuyên bố rằng việc giám sát các trách nhiệm tự quản và hiệu quả quản lý của Sở giao dịch, bao gồm việc xem xét kế hoạch quản lý, các chương trình, ngân sách và nhân sự bởi một ROC bao gồm các cá nhân độc lập với ban lãnh đạo Sở giao dịch và một CRO có quyền giám sát chung đối với các hoạt động quản lý của Sở giao dịch, người họp thường xuyên với ROC, là một phần không thể tách rời của đề xuất.</w:t>
      </w:r>
    </w:p>
    <w:p>
      <w:pPr>
        <w:spacing w:after="80"/>
      </w:pPr>
      <w:r>
        <w:rPr>
          <w:b w:val="0"/>
          <w:i w:val="0"/>
        </w:rPr>
        <w:t>* * *</w:t>
      </w:r>
    </w:p>
    <w:p>
      <w:pPr>
        <w:spacing w:after="80"/>
      </w:pPr>
      <w:r>
        <w:rPr>
          <w:b w:val="0"/>
          <w:i w:val="0"/>
        </w:rPr>
        <w:t>IV. Kết luận</w:t>
      </w:r>
    </w:p>
    <w:p>
      <w:pPr>
        <w:spacing w:after="80"/>
      </w:pPr>
      <w:r>
        <w:rPr>
          <w:b w:val="0"/>
          <w:i w:val="0"/>
        </w:rPr>
        <w:t>DO ĐÓ, THEO LỆNH, căn cứ theo Mục 19(b)(2) của Đạo luật, thay đổi quy tắc được đề xuất (SR-NYSE-2015-27) được phê duyệt.</w:t>
      </w:r>
    </w:p>
    <w:p>
      <w:pPr>
        <w:spacing w:after="80"/>
      </w:pPr>
      <w:r>
        <w:rPr>
          <w:b w:val="0"/>
          <w:i w:val="0"/>
        </w:rPr>
        <w:t>Thay mặt Ủy ban, bởi Phòng Giao dịch và Thị trường, theo thẩm quyền được ủy nhiệm.</w:t>
      </w:r>
    </w:p>
    <w:p>
      <w:pPr>
        <w:pStyle w:val="Heading5"/>
      </w:pPr>
      <w:r>
        <w:rPr>
          <w:rFonts w:ascii="Calibri" w:hAnsi="Calibri"/>
          <w:b/>
          <w:i/>
          <w:sz w:val="22"/>
        </w:rPr>
        <w:t>Bình luận và Câu hỏi</w:t>
      </w:r>
    </w:p>
    <w:p>
      <w:pPr>
        <w:spacing w:after="80"/>
      </w:pPr>
      <w:r>
        <w:rPr>
          <w:b w:val="0"/>
          <w:i w:val="0"/>
        </w:rPr>
        <w:t>1. Sở giao dịch đã thay thế việc tách biệt về cơ cấu đối với giám sát quản lý bằng cái mà họ mô tả là tách biệt về chức năng. Những ưu điểm và nhược điểm của mỗi cách tiếp cận là gì?</w:t>
      </w:r>
    </w:p>
    <w:p>
      <w:pPr>
        <w:spacing w:after="80"/>
      </w:pPr>
      <w:r>
        <w:rPr>
          <w:b w:val="0"/>
          <w:i w:val="0"/>
        </w:rPr>
        <w:t>2. Việc tách biệt về chức năng dựa vào một ủy ban của hội đồng quản trị để giám sát trách nhiệm đối với chức năng quản lý. Đây có phải là một phương pháp đầy đủ để đảm bảo tính độc lập của chức năng quản lý không? Để xem trao đổi thư từ thảo luận về những cải cách này, xem Thư của J. Robert Brown, Jr., Giáo sư, Trường Luật Sturm thuộc Đại học Denver, gửi Brent J. Fields, SEC, ngày 8 tháng 9 năm 2015, có tại http://www.sec.gov/comments/sr-nyse-2015-27/nyse201527-1.pdf . Để xem phản hồi của NYSE, xem Thư của Martha Redding, NYSE, gửi Brent J. Fields, ngày 24 tháng 9 năm 2015, có tại http://www.sec.gov/comments/sr-nyse-2015-27/nyse201527-2.pdf .</w:t>
      </w:r>
    </w:p>
    <w:p>
      <w:pPr>
        <w:spacing w:after="80"/>
      </w:pPr>
      <w:r>
        <w:rPr>
          <w:b w:val="0"/>
          <w:i w:val="0"/>
        </w:rPr>
        <w:t>3. NYSE Regulation là một tổ chức phi lợi nhuận; Sở giao dịch thì không. SEC khi phê duyệt thay đổi chỉ đơn giản lưu ý rằng “không có ‘lý do quản lý mang tính quyết định nào để yêu cầu các sở giao dịch phải là các tổ chức thành viên phi lợi nhuận.’” Bạn có đồng ý với quan điểm của Ủy ban không?</w:t>
      </w:r>
    </w:p>
    <w:p>
      <w:pPr>
        <w:spacing w:after="80"/>
      </w:pPr>
      <w:r>
        <w:rPr>
          <w:b w:val="0"/>
          <w:i w:val="0"/>
        </w:rPr>
        <w:t xml:space="preserve">4. Về vấn đề tài trợ, NYSE đã cung cấp cho NYSE Regulation “nguồn tài trợ đầy đủ.” </w:t>
      </w:r>
      <w:r>
        <w:rPr>
          <w:b w:val="0"/>
          <w:i/>
        </w:rPr>
        <w:t>Xem</w:t>
      </w:r>
      <w:r>
        <w:rPr>
          <w:b w:val="0"/>
          <w:i w:val="0"/>
        </w:rPr>
        <w:t xml:space="preserve"> Exchange Act Release No. 53382 (ngày 24 tháng 2 năm 2006) (“NYSE đã tuyên bố rằng sẽ có một thỏa thuận rõ ràng giữa NYSE Group, New York Stock Exchange LLC, NYSE Market và NYSE Regulation để cung cấp nguồn tài trợ đầy đủ cho NYSE Regulation.”). Nguồn tài trợ cho chức năng quản lý được xác định như thế nào sau khi việc giám sát được chuyển giao cho Sở giao dịch? Chúng khác nhau như thế nào, nếu có, trên thực tế?</w:t>
      </w:r>
    </w:p>
    <w:p>
      <w:pPr>
        <w:spacing w:after="80"/>
      </w:pPr>
      <w:r>
        <w:rPr>
          <w:b w:val="0"/>
          <w:i w:val="0"/>
        </w:rPr>
        <w:t xml:space="preserve">5. Trong phạm vi mà các sở giao dịch cuối cùng thoái vốn khỏi các tiêu chuẩn niêm yết, thì thẩm quyền sẽ thuộc về đâu? Quốc hội đã dần dần trao cho SEC thẩm quyền mở rộng để viết các tiêu chuẩn niêm yết. SOX đã trao thẩm quyền này đối với các ủy ban kiểm toán. </w:t>
      </w:r>
      <w:r>
        <w:rPr>
          <w:b w:val="0"/>
          <w:i/>
        </w:rPr>
        <w:t>Xem</w:t>
      </w:r>
      <w:r>
        <w:rPr>
          <w:b w:val="0"/>
          <w:i w:val="0"/>
        </w:rPr>
        <w:t xml:space="preserve"> Rule 10A-3, 17 CFR 240.10A-3. Trong Đạo luật Dodd-Frank, SEC được trao thêm thẩm quyền để điều chỉnh các tiêu chuẩn niêm yết cho các ủy ban thù lao. </w:t>
      </w:r>
      <w:r>
        <w:rPr>
          <w:b w:val="0"/>
          <w:i/>
        </w:rPr>
        <w:t>Xem</w:t>
      </w:r>
      <w:r>
        <w:rPr>
          <w:b w:val="0"/>
          <w:i w:val="0"/>
        </w:rPr>
        <w:t xml:space="preserve"> Mục 952. Trong cùng Đạo luật đó, Ủy ban được ủy quyền định nghĩa các “yếu tố” mà sở giao dịch phải xem xét khi xác định định nghĩa về tính độc lập của giám đốc đối với ủy ban thù lao. Liệu SEC có thể được trao toàn bộ thẩm quyền để viết và thực thi các tiêu chuẩn niêm yết không? Những ưu và nhược điểm của cách tiếp cận này là gì? Tại sao các sở giao dịch chứng khoán lại muốn giữ thẩm quyền đối với các tiêu chuẩn này?</w:t>
      </w:r>
    </w:p>
    <w:p>
      <w:pPr>
        <w:pStyle w:val="Heading3"/>
      </w:pPr>
      <w:r>
        <w:rPr>
          <w:rFonts w:ascii="Calibri" w:hAnsi="Calibri"/>
          <w:b/>
          <w:i w:val="0"/>
          <w:sz w:val="26"/>
        </w:rPr>
        <w:t>C. Thực thi các Quy tắc và Tiêu chuẩn của Sở giao dịch</w:t>
      </w:r>
    </w:p>
    <w:p>
      <w:pPr>
        <w:spacing w:after="80"/>
      </w:pPr>
      <w:r>
        <w:rPr>
          <w:b w:val="0"/>
          <w:i w:val="0"/>
        </w:rPr>
        <w:t>Các sở giao dịch chứng khoán được yêu cầu thực thi các tiêu chuẩn niêm yết của mình, tùy thuộc vào việc Ủy ban Chứng khoán và Giao dịch xem xét bất kỳ hành động kỷ luật nào.</w:t>
      </w:r>
    </w:p>
    <w:p>
      <w:pPr>
        <w:pStyle w:val="Heading4"/>
      </w:pPr>
      <w:r>
        <w:rPr>
          <w:rFonts w:ascii="Calibri" w:hAnsi="Calibri"/>
          <w:b/>
          <w:i w:val="0"/>
          <w:sz w:val="23"/>
        </w:rPr>
        <w:t>Fog Cutter Capital Group Inc. kiện</w:t>
      </w:r>
      <w:r>
        <w:br/>
      </w:r>
      <w:r>
        <w:rPr>
          <w:rFonts w:ascii="Calibri" w:hAnsi="Calibri"/>
          <w:b/>
          <w:i w:val="0"/>
          <w:sz w:val="23"/>
        </w:rPr>
        <w:t xml:space="preserve"> Ủy ban Chứng khoán và Giao dịch</w:t>
      </w:r>
    </w:p>
    <w:p>
      <w:pPr>
        <w:spacing w:after="80"/>
      </w:pPr>
      <w:r>
        <w:rPr>
          <w:b w:val="0"/>
          <w:i w:val="0"/>
        </w:rPr>
        <w:t>Tòa án Phúc thẩm Hoa Kỳ, Vòng D.C.</w:t>
      </w:r>
      <w:r>
        <w:br/>
      </w:r>
      <w:r>
        <w:rPr>
          <w:b w:val="0"/>
          <w:i w:val="0"/>
        </w:rPr>
        <w:t xml:space="preserve"> 474 F.3d 822 (2007)</w:t>
      </w:r>
    </w:p>
    <w:p>
      <w:pPr>
        <w:spacing w:after="80"/>
      </w:pPr>
      <w:r>
        <w:rPr>
          <w:b w:val="0"/>
          <w:i w:val="0"/>
        </w:rPr>
        <w:t>RANDOLPH , THẨM PHÁN VÒNG :</w:t>
      </w:r>
    </w:p>
    <w:p>
      <w:pPr>
        <w:spacing w:after="80"/>
      </w:pPr>
      <w:r>
        <w:rPr>
          <w:b w:val="0"/>
          <w:i w:val="0"/>
        </w:rPr>
        <w:t xml:space="preserve">Hiệp hội Các nhà kinh doanh chứng khoán Quốc gia (NASD) đã hủy niêm yết cổ phiếu công khai của Fog Cutter Capital Group khỏi Nasdaq. Ủy ban Chứng khoán và Giao dịch đã bác đơn yêu cầu xem xét lại của Fog Cutter. </w:t>
      </w:r>
      <w:r>
        <w:rPr>
          <w:b w:val="0"/>
          <w:i/>
        </w:rPr>
        <w:t>In re Fog Cutter Capital Group, Inc.</w:t>
      </w:r>
      <w:r>
        <w:rPr>
          <w:b w:val="0"/>
          <w:i w:val="0"/>
        </w:rPr>
        <w:t xml:space="preserve"> , Exchange Act Release No. 34-52993, 2005 WL 3500274, at *4 (Dec. 21, 2005). Vấn đề trong đơn yêu cầu xem xét tư pháp này là liệu việc bác đơn của Ủy ban có phải là “tùy tiện, vô lý, lạm dụng quyền tùy nghi, hay không phù hợp với pháp luật” hay không, 5 U.S.C. § 706(2) (A).</w:t>
      </w:r>
    </w:p>
    <w:p>
      <w:pPr>
        <w:spacing w:after="80"/>
      </w:pPr>
      <w:r>
        <w:rPr>
          <w:b w:val="0"/>
          <w:i w:val="0"/>
        </w:rPr>
        <w:t xml:space="preserve">NASD là một “hiệp hội chứng khoán quốc gia” đã đăng ký theo Đạo luật Giao dịch Chứng khoán năm 1934, 15 U.S.C. § 78o-3(b). Trong mọi thời điểm liên quan đến vụ án này, NASD vận hành Nasdaq, một sàn giao dịch chứng khoán điện tử. Với tư cách là một tổ chức tự quản, NASD phải duy trì các quy tắc để bảo vệ nhà đầu tư và lợi ích công chúng. 15 U.S.C. § 78o-3(b)(6). Một trong những quy tắc này, được Ủy ban phê duyệt, quy định rằng NASD “sẽ thực thi quyền tùy nghi rộng rãi đối với việc đưa vào và duy trì liên tục các chứng khoán trên Nasdaq nhằm duy trì chất lượng và niềm tin của công chúng vào thị trường của mình.” </w:t>
      </w:r>
      <w:r>
        <w:rPr>
          <w:b w:val="0"/>
          <w:i/>
        </w:rPr>
        <w:t>Xem</w:t>
      </w:r>
      <w:r>
        <w:rPr>
          <w:b w:val="0"/>
          <w:i w:val="0"/>
        </w:rPr>
        <w:t xml:space="preserve"> NASD Marketplace Rule 4300. Vì mục đích đó, NASD sẽ hủy niêm yết chứng khoán nếu, theo “ý kiến” của mình, xảy ra các sự kiện khiến việc tiếp tục niêm yết chứng khoán trở nên “không khôn ngoan hoặc không chính đáng” “mặc dù chứng khoán đáp ứng tất cả các tiêu chí được liệt kê để” niêm yết. Id.</w:t>
      </w:r>
    </w:p>
    <w:p>
      <w:pPr>
        <w:spacing w:after="80"/>
      </w:pPr>
      <w:r>
        <w:rPr>
          <w:b w:val="0"/>
          <w:i w:val="0"/>
        </w:rPr>
        <w:t>Đối với Fog Cutter, các sự kiện dẫn đến việc loại bỏ tập trung vào cuộc điều tra hình sự, cáo trạng và kết án đối với Giám đốc Điều hành kiêm Chủ tịch Hội đồng Quản trị của công ty, Andrew Wiederhorn, và cách công ty xử lý diễn biến này. Wiederhorn thành lập Fog Cutter vào năm 1997 và cùng với các thành viên gia đình kiểm soát khoảng năm mươi ba phần trăm cổ phiếu của công ty. Công ty vận hành một chuỗi nhà hàng toàn quốc và tham gia vào các hoạt động ngân hàng, tài chính và đầu tư bất động sản.</w:t>
      </w:r>
    </w:p>
    <w:p>
      <w:pPr>
        <w:spacing w:after="80"/>
      </w:pPr>
      <w:r>
        <w:rPr>
          <w:b w:val="0"/>
          <w:i w:val="0"/>
        </w:rPr>
        <w:t>Vào tháng 3 năm 2001, các công tố viên liên bang thông báo cho Wiederhorn và Lawrence Mendelsohn, một cựu chủ tịch của Fog Cutter, rằng họ là đối tượng của cuộc điều tra của đại bồi thẩm đoàn về sự sụp đổ của Capital Consultants, LLC, một cố vấn đầu tư cho các quỹ hưu trí công đoàn. Ngoài việc Wiederhorn và Mendelsohn bị điều tra vì những hành vi không liên quan đến Fog Cutter, các chi tiết của vụ án hình sự không cần thiết phải kể lại. Mendelsohn đã nhận tội và đồng ý hợp tác với chính phủ. Wiederhorn sau đó đã ký một thỏa thuận nhận tội và nhận tội theo bản cáo trạng hai tội danh buộc tội ông đưa hối lộ bất hợp pháp và khai sai tờ khai thuế, cả hai đều là trọng tội. Tòa án quận đã tuyên án ông mười tám tháng tù và buộc ông phải nộp phạt $25,000 và $2 triệu cho người tiếp nhận tài sản của Capital Consultants.</w:t>
      </w:r>
    </w:p>
    <w:p>
      <w:pPr>
        <w:spacing w:after="80"/>
      </w:pPr>
      <w:r>
        <w:rPr>
          <w:b w:val="0"/>
          <w:i w:val="0"/>
        </w:rPr>
        <w:t>Vào ngày 2 tháng 6 năm 2004, một ngày trước khi Wiederhorn ký thỏa thuận nhận tội, ông đã hoàn tất một thỏa thuận nghỉ phép với Fog Cutter. Thỏa thuận này thừa nhận thỏa thuận nhận tội và việc sắp bị giam giữ của Wiederhorn, và quy định rằng trong thời gian vắng mặt ông vẫn giữ các chức danh và trách nhiệm của mình. Fog Cutter đồng ý trả cho Wiederhorn mức lương hàng năm $350,000, tiền thưởng và các phúc lợi khác trong khi ông bị giam. Công ty cũng đồng ý trả cho ông một khoản “thanh toán nghỉ phép” $2 triệu để giữ “thiện chí, sự hợp tác và hỗ trợ liên tục của ông, và để ghi nhận những đóng góp trong quá khứ của Wiederhorn cho Công ty, nhằm giúp tránh kiện tụng và vì . . . những lý do khác.” Fog Cutter biết Wiederhorn sẽ dùng khoản thanh toán $2 triệu để trả tiền bồi thường mà thỏa thuận nhận tội của ông yêu cầu. Trong các hồ sơ nộp cho Ủy ban, Fog Cutter đã công bố thông tin này và chi phí $4.75 triệu của thỏa thuận với Wiederhorn.</w:t>
      </w:r>
    </w:p>
    <w:p>
      <w:pPr>
        <w:spacing w:after="80"/>
      </w:pPr>
      <w:r>
        <w:rPr>
          <w:b w:val="0"/>
          <w:i w:val="0"/>
        </w:rPr>
        <w:t xml:space="preserve">Vào tháng 7 năm 2004, nhân viên NASD quyết định rằng việc Fog Cutter tiếp tục được niêm yết trên Nasdaq trong khi Wiederhorn thực thi ảnh hưởng đáng kể đối với công ty trong lúc bị giam là trái với lợi ích công chúng. </w:t>
      </w:r>
      <w:r>
        <w:rPr>
          <w:b w:val="0"/>
          <w:i/>
        </w:rPr>
        <w:t>Xem In re Fog Cutter</w:t>
      </w:r>
      <w:r>
        <w:rPr>
          <w:b w:val="0"/>
          <w:i w:val="0"/>
        </w:rPr>
        <w:t xml:space="preserve"> , 2005 WL 3500274, at * 3. Một Hội đồng NASD xác định rằng việc Hội đồng Quản trị sẵn sàng sửa đổi thỏa thuận lao động của Wiederhorn, chấp thuận các yêu cầu hỗ trợ tài chính của Wiederhorn trong thời gian ông bị giam, trả tiền bồi thường theo lệnh của tòa án cho ông, và giữ ông ở các vị trí điều hành và thành viên hội đồng quản trị trong thời gian ông bị giam là trái với lợi ích công chúng. Hội đồng Niêm yết và Xem xét Điều trần của NASD đã khẳng định quyết định của Hội đồng “nhằm bảo vệ chất lượng và niềm tin của công chúng vào Thị trường Chứng khoán Nasdaq, và để bảo vệ nhà đầu tư và lợi ích công chúng.” </w:t>
      </w:r>
      <w:r>
        <w:rPr>
          <w:b w:val="0"/>
          <w:i/>
        </w:rPr>
        <w:t>Xem id.</w:t>
      </w:r>
      <w:r>
        <w:rPr>
          <w:b w:val="0"/>
          <w:i w:val="0"/>
        </w:rPr>
        <w:t xml:space="preserve"> Fog Cutter đã nộp đơn lên Ủy ban Chứng khoán và Giao dịch để xem xét lại quyết định của Hội đồng. Ủy ban đã bác đơn yêu cầu xem xét lại, tập trung, như NASD đã làm, vào tình trạng phạm trọng tội đã bị kết án của Wiederhorn và các hành động của Hội đồng Quản trị nhằm hỗ trợ và giữ Wiederhorn trong Hội đồng Quản trị và ban điều hành.</w:t>
      </w:r>
    </w:p>
    <w:p>
      <w:pPr>
        <w:spacing w:after="80"/>
      </w:pPr>
      <w:r>
        <w:rPr>
          <w:b w:val="0"/>
          <w:i w:val="0"/>
        </w:rPr>
        <w:t>* * *</w:t>
      </w:r>
    </w:p>
    <w:p>
      <w:pPr>
        <w:spacing w:after="80"/>
      </w:pPr>
      <w:r>
        <w:rPr>
          <w:b w:val="0"/>
          <w:i w:val="0"/>
        </w:rPr>
        <w:t>Theo Mục 19(f) của Đạo luật Giao dịch, 15 U.S.C. § 78s(f), Ủy ban phải bác đơn yêu cầu xem xét lại lệnh hủy niêm yết của NASD nếu (1) “các căn cứ cụ thể” “tồn tại trên thực tế,” (2) quyết định phù hợp với các quy tắc của NASD, (3) các quy tắc đang và đã được áp dụng theo cách nhất quán với Đạo luật Giao dịch, và (4) quyết định không áp đặt gánh nặng không cần thiết hoặc không thích hợp lên cạnh tranh theo Đạo luật. Việc Ủy ban hành động tùy tiện, vô lý hay trái pháp luật phụ thuộc vào việc việc xem xét quyết định của NASD có tuân thủ Mục 19(f) hay không.</w:t>
      </w:r>
    </w:p>
    <w:p>
      <w:pPr>
        <w:spacing w:after="80"/>
      </w:pPr>
      <w:r>
        <w:rPr>
          <w:b w:val="0"/>
          <w:i w:val="0"/>
        </w:rPr>
        <w:t>Ở đây có rất nhiều bằng chứng ủng hộ các căn cứ của NASD để hành động chống lại Fog Cutter: việc Wiederhorn nhận tội, thỏa thuận nghỉ phép và chi phí của nó đối với công ty, quyết định của Hội đồng Quản trị rằng Wiederhorn nên giữ các vị trí của mình tại Fog Cutter, và lo ngại rằng Wiederhorn sẽ tiếp tục gây ảnh hưởng đến các vấn đề của công ty ngay cả khi ông ở trong tù. Quyết định này phù hợp với các quy tắc của NASD trao cho tổ chức quyền tùy nghi rộng rãi để xác định liệu lợi ích công chúng có đòi hỏi phải hủy niêm yết chứng khoán hay không dựa trên các sự kiện tại một công ty. Quy tắc đó rõ ràng nhất quán với Đạo luật Giao dịch, và quyết định của NASD không gây gánh nặng cho cạnh tranh.</w:t>
      </w:r>
    </w:p>
    <w:p>
      <w:pPr>
        <w:spacing w:after="80"/>
      </w:pPr>
      <w:r>
        <w:rPr>
          <w:b w:val="0"/>
          <w:i w:val="0"/>
        </w:rPr>
        <w:t xml:space="preserve">Fog Cutter cho rằng họ phải trả tiền cho Wiederhorn và giữ ông lại vì nếu sa thải ông dựa trên việc ông nhận tội, họ sẽ nợ ông $6 triệu. Điều này hầu như không nói lên điều tốt đẹp gì cho vụ kiện của công ty. Nghĩa vụ tiềm tàng này là kết quả của một sửa đổi mà Hội đồng Quản trị đã chấp thuận cho Wiederhorn vào năm 2003 trong khi ông đang bị điều tra. Thỏa thuận lao động của Wiederhorn quy định rằng nếu bị chấm dứt “có lý do,” ông chỉ được hưởng mức lương cơ bản đến ngày chấm dứt và thanh toán các chi phí kinh doanh chưa được hoàn trả. Nếu chấm dứt Wiederhorn không có lý do, Fog Cutter sẽ nợ ông ba lần mức lương hàng năm, ba lần tiền thưởng hàng năm lớn nhất của ông trong ba năm qua, các chi phí kinh doanh chưa được hoàn trả, và mức lương cơ bản cùng tiền thưởng đã tích lũy nhưng chưa trả—mà Fog Cutter ước tính sẽ lên tới $6 triệu—tất cả dưới dạng thanh toán một lần trong vòng mười ngày. Trước khi sửa đổi thỏa thuận lao động của Wiederhorn vào năm 2003, việc chấm dứt “có lý do” bao gồm việc bị kết án </w:t>
      </w:r>
      <w:r>
        <w:rPr>
          <w:b w:val="0"/>
          <w:i/>
        </w:rPr>
        <w:t>bất kỳ</w:t>
      </w:r>
      <w:r>
        <w:rPr>
          <w:b w:val="0"/>
          <w:i w:val="0"/>
        </w:rPr>
        <w:t xml:space="preserve"> trọng tội nào ngoài tội vi phạm giao thông. Trong sửa đổi năm 2003, điều khoản liên quan cho phép Hội đồng Quản trị chấm dứt Wiederhorn “có lý do” khi bị kết án trọng tội </w:t>
      </w:r>
      <w:r>
        <w:rPr>
          <w:b w:val="0"/>
          <w:i/>
        </w:rPr>
        <w:t>liên quan đến Fog Cutter.</w:t>
      </w:r>
      <w:r>
        <w:rPr>
          <w:b w:val="0"/>
          <w:i w:val="0"/>
        </w:rPr>
        <w:t xml:space="preserve"> Hội đồng Quản trị đã biết về cuộc điều tra Wiederhorn liên quan đến Capital Consultants hơn hai năm khi họ đồng ý sửa đổi này.</w:t>
      </w:r>
    </w:p>
    <w:p>
      <w:pPr>
        <w:spacing w:after="80"/>
      </w:pPr>
      <w:r>
        <w:rPr>
          <w:b w:val="0"/>
          <w:i w:val="0"/>
        </w:rPr>
        <w:t xml:space="preserve">Fog Cutter cho rằng hành động của NASD là “không công bằng.” Nhưng chính công ty là bên đã khuất phục trước yêu cầu của Wiederhorn về việc sửa đổi thỏa thuận lao động của ông, biết rõ rằng điều đó làm tăng đáng kể chi phí sa thải ông. Giờ đây họ lập luận rằng việc chấm dứt Wiederhorn sẽ quá tốn kém. Người ta nhớ đến câu chuyện cũ về đứa trẻ giết cha mẹ mình rồi xin thương xót vì mình là trẻ mồ côi. Thành phần Hội đồng Quản trị của Fog Cutter hầu như không thay đổi giữa thời điểm họ sửa đổi thỏa thuận lao động và ký thỏa thuận nghỉ phép. </w:t>
      </w:r>
      <w:r>
        <w:rPr>
          <w:b w:val="0"/>
          <w:i/>
        </w:rPr>
        <w:t>In re Fog Cutter</w:t>
      </w:r>
      <w:r>
        <w:rPr>
          <w:b w:val="0"/>
          <w:i w:val="0"/>
        </w:rPr>
        <w:t xml:space="preserve"> , 2005 WL 3500274, at *2 n.6. Phải nói rằng, việc Ủy ban kết luận rằng Wiederhorn thực thi quyền kiểm soát toàn diện đối với Hội đồng Quản trị, và thấy điều này đáng lo ngại, không phải là tùy tiện hay vô lý. Chúng tôi đồng ý rằng Hội đồng Quản trị ít hoặc không có sự kiểm soát nào đối với hành vi của Wiederhorn, và rằng các hành động của Hội đồng Quản trị chỉ làm trầm trọng thêm những lo ngại mà việc kết án và giam giữ Wiederhorn đặt ra.</w:t>
      </w:r>
    </w:p>
    <w:p>
      <w:pPr>
        <w:spacing w:after="80"/>
      </w:pPr>
      <w:r>
        <w:rPr>
          <w:b w:val="0"/>
          <w:i w:val="0"/>
        </w:rPr>
        <w:t xml:space="preserve">Việc Fog Cutter không tự mình vi phạm luật chứng khoán và việc họ công bố các sự kiện liên quan không chứng minh bất kỳ sai sót nào trong quyết định hủy niêm yết. Các quy tắc của NASD quy định rằng tổ chức này có thể áp dụng các tiêu chí nghiêm ngặt hơn các tiêu chuẩn tối thiểu để niêm yết. </w:t>
      </w:r>
      <w:r>
        <w:rPr>
          <w:b w:val="0"/>
          <w:i/>
        </w:rPr>
        <w:t>Xem</w:t>
      </w:r>
      <w:r>
        <w:rPr>
          <w:b w:val="0"/>
          <w:i w:val="0"/>
        </w:rPr>
        <w:t xml:space="preserve"> NASD Marketplace Rule 4300. Việc Fog Cutter công bố các thỏa thuận của mình với Wiederhorn không thay đổi bản chất của những thỏa thuận đó, và chính điều đó đã khiến NASD kết luận rằng các hành động của công ty là trái với lợi ích công chúng và là mối đe dọa đối với niềm tin của công chúng vào sàn Nasdaq.</w:t>
      </w:r>
    </w:p>
    <w:p>
      <w:pPr>
        <w:spacing w:after="80"/>
      </w:pPr>
      <w:r>
        <w:rPr>
          <w:b w:val="0"/>
          <w:i w:val="0"/>
        </w:rPr>
        <w:t>* * *</w:t>
      </w:r>
    </w:p>
    <w:p>
      <w:pPr>
        <w:spacing w:after="80"/>
      </w:pPr>
      <w:r>
        <w:rPr>
          <w:b w:val="0"/>
          <w:i w:val="0"/>
        </w:rPr>
        <w:t>Khi hủy niêm yết Fog Cutter, NASD quan tâm đến tính chính trực và nhận thức của công chúng về sàn Nasdaq dựa trên cả những rắc rối pháp lý của Wiederhorn và việc Hội đồng Quản trị liên tục chấp thuận các yêu cầu của ông. Ủy ban đã ủng hộ đầy đủ những lo ngại này và hoàn toàn nằm trong thẩm quyền của mình khi bác đơn yêu cầu xem xét lại quyết định hủy niêm yết của NASD. Do đó, chúng tôi bác đơn yêu cầu xem xét tư pháp của Fog Cutter.</w:t>
      </w:r>
    </w:p>
    <w:p>
      <w:pPr>
        <w:spacing w:after="80"/>
      </w:pPr>
      <w:r>
        <w:rPr>
          <w:b w:val="0"/>
          <w:i/>
        </w:rPr>
        <w:t>Vậy nên đã ra lệnh.</w:t>
      </w:r>
    </w:p>
    <w:p>
      <w:pPr>
        <w:pStyle w:val="Heading5"/>
      </w:pPr>
      <w:r>
        <w:rPr>
          <w:rFonts w:ascii="Calibri" w:hAnsi="Calibri"/>
          <w:b/>
          <w:i/>
          <w:sz w:val="22"/>
        </w:rPr>
        <w:t>Bình luận và Câu hỏi</w:t>
      </w:r>
    </w:p>
    <w:p>
      <w:pPr>
        <w:spacing w:after="80"/>
      </w:pPr>
      <w:r>
        <w:rPr>
          <w:b w:val="0"/>
          <w:i w:val="0"/>
        </w:rPr>
        <w:t xml:space="preserve">1. Có một thời Nasdaq là một hệ thống giao dịch do Hiệp hội Các nhà kinh doanh chứng khoán Quốc gia, hay NASD, điều hành. Sau khi NASD tách Nasdaq ra riêng, Nasdaq đã đăng ký với SEC với tư cách là một sở giao dịch chứng khoán. </w:t>
      </w:r>
      <w:r>
        <w:rPr>
          <w:b w:val="0"/>
          <w:i/>
        </w:rPr>
        <w:t>Xem</w:t>
      </w:r>
      <w:r>
        <w:rPr>
          <w:b w:val="0"/>
          <w:i w:val="0"/>
        </w:rPr>
        <w:t xml:space="preserve"> Exchange Act Release No. 53128 (13 tháng 1 năm 2006). Đến lượt mình, NASD sáp nhập với đơn vị quản lý các nhà môi giới-kinh doanh từ NYSE và được đổi tên thành Cơ quan Quản lý Ngành Tài chính (FINRA). </w:t>
      </w:r>
      <w:r>
        <w:rPr>
          <w:b w:val="0"/>
          <w:i/>
        </w:rPr>
        <w:t>Xem</w:t>
      </w:r>
      <w:r>
        <w:rPr>
          <w:b w:val="0"/>
          <w:i w:val="0"/>
        </w:rPr>
        <w:t xml:space="preserve"> Exchange Act Release No. 56145 (26 tháng 7 năm 2007). NASD Marketplace Rule 4300 đã được đánh số lại thành Nasdaq Rule 5101.</w:t>
      </w:r>
    </w:p>
    <w:p>
      <w:pPr>
        <w:spacing w:after="80"/>
      </w:pPr>
      <w:r>
        <w:rPr>
          <w:b w:val="0"/>
          <w:i w:val="0"/>
        </w:rPr>
        <w:t>2. Bạn có nghĩ vụ việc này là đúng không? Các sự kiện có cung cấp cơ sở đầy đủ để loại Fog Cutter khỏi danh sách niêm yết không? Những hậu quả đối với các cổ đông của công ty là gì?</w:t>
      </w:r>
    </w:p>
    <w:p>
      <w:pPr>
        <w:spacing w:after="80"/>
      </w:pPr>
      <w:r>
        <w:rPr>
          <w:b w:val="0"/>
          <w:i w:val="0"/>
        </w:rPr>
        <w:t>3. Bạn nghĩ gì về vai trò của Ủy ban (Commission)? Việc xem xét của SEC được quy định tại Mục 19(f) của Exchange Act. 15 USC § 78s(f). Điều khoản này giới hạn thẩm quyền của SEC trong việc bảo đảm rằng SRO đã áp dụng các quy tắc của mình theo cách phù hợp với các quy tắc của chính nó và với các mục đích của luật chứng khoán. Đây có phải là một tiêu chuẩn xem xét thỏa đáng không?</w:t>
      </w:r>
    </w:p>
    <w:p>
      <w:pPr>
        <w:spacing w:after="80"/>
      </w:pPr>
      <w:r>
        <w:rPr>
          <w:b w:val="0"/>
          <w:i w:val="0"/>
        </w:rPr>
        <w:t xml:space="preserve">4. NASD [FINRA] có những biện pháp khắc phục nào trong vụ việc này? Chúng có đủ không? Trong </w:t>
      </w:r>
      <w:r>
        <w:rPr>
          <w:b w:val="0"/>
          <w:i/>
        </w:rPr>
        <w:t>Fiero v. Financial Industry Regulatory Authority</w:t>
      </w:r>
      <w:r>
        <w:rPr>
          <w:b w:val="0"/>
          <w:i w:val="0"/>
        </w:rPr>
        <w:t xml:space="preserve"> , 600 F3d 569 (2d Cir., 2011), Tòa án Phúc thẩm Vòng hai (Second Circuit) đã phán quyết rằng FINRA, tuy có thẩm quyền áp đặt các khoản tiền phạt, xem 15 U.S.C. § 78o-1, nhưng không có thẩm quyền thu các khoản đó. Như tòa án đã kết luận: “vấn đề ở đây là ý định của nhà lập pháp, và chúng tôi kết luận rằng phần lớn bằng chứng cho thấy Quốc hội không có ý định trao cho FINRA quyền khởi kiện ra tòa để cưỡng chế thực thi các khoản tiền phạt của mình.” Mặc dù vụ việc liên quan đến FINRA, tòa án đã nói thế này: “Đáng lưu ý rằng quyền hạn được trao cho các SRO bởi Mục 15A của Exchange Act để kỷ luật các thành viên của mình áp dụng cho tất cả các SRO, chứ không chỉ riêng FINRA.” </w:t>
      </w:r>
      <w:r>
        <w:rPr>
          <w:b w:val="0"/>
          <w:i/>
        </w:rPr>
        <w:t>Id</w:t>
      </w:r>
      <w:r>
        <w:rPr>
          <w:b w:val="0"/>
          <w:i w:val="0"/>
        </w:rPr>
        <w:t xml:space="preserve"> . at 574 n.6. Điều này gợi ý gì về việc thực thi của các SRO, bao gồm cả các sở giao dịch chứng khoán?</w:t>
      </w:r>
    </w:p>
    <w:p>
      <w:pPr>
        <w:spacing w:after="80"/>
      </w:pPr>
      <w:r>
        <w:rPr>
          <w:b w:val="0"/>
          <w:i w:val="0"/>
        </w:rPr>
        <w:t>5. Fog Cutter lưu ý rằng hai công ty khác có tổng giám đốc điều hành “đã bị kết án và bỏ tù” đã không bị loại khỏi danh sách niêm yết. Tòa án đã không coi trọng lập luận này, mô tả nó là “một lập luận về truy tố có chọn lọc” và lưu ý rằng công ty sẽ phải chứng minh “một nhóm được bảo vệ theo Điều khoản Bảo vệ Bình đẳng (Equal Protection Clause).” Mặc dù đây có thể là một phát biểu chính xác về luật, liệu các sở giao dịch chứng khoán, đặc biệt trong thời đại phi tương hỗ hóa (demutualization), có nên được phép thực hiện loại quyền tùy nghi này không?</w:t>
      </w:r>
    </w:p>
    <w:p>
      <w:pPr>
        <w:spacing w:after="80"/>
      </w:pPr>
      <w:r>
        <w:rPr>
          <w:b w:val="0"/>
          <w:i w:val="0"/>
        </w:rPr>
        <w:t xml:space="preserve">6. Còn về các vấn đề tài chính phát sinh do việc áp dụng luật nước ngoài thì sao? Trong </w:t>
      </w:r>
      <w:r>
        <w:rPr>
          <w:b w:val="0"/>
          <w:i/>
        </w:rPr>
        <w:t>In re Smartheat</w:t>
      </w:r>
      <w:r>
        <w:rPr>
          <w:b w:val="0"/>
          <w:i w:val="0"/>
        </w:rPr>
        <w:t xml:space="preserve"> , Exchange Act Release No. 73555 (thủ tục hành chính ngày 2 tháng 1 năm 2014), SEC đã xem xét quyết định của Nasdaq về việc loại một công ty khỏi danh sách niêm yết vì những lo ngại về tính thanh khoản của công ty. Công ty dường như đã chuyển tài sản sang các công ty con ở Trung Quốc và không có cơ chế nào để thu hồi số tiền đó. Công ty khẳng định rằng những hạn chế trong việc huy động vốn từ các công ty con ở Trung Quốc là hệ quả của luật Trung Quốc, với việc “[c]ác quyền của một công ty mẹ đối với các công ty con của mình . . . bị giới hạn nghiêm ngặt ở quyền của một cổ đông chứ không phải quyền của một nhà quản lý.” SEC đã nói thế này: “Nhưng nếu những ràng buộc của luật Trung Quốc khiến một công ty niêm yết hoạt động theo cách mà NASDAQ cho là không phù hợp với lợi ích công cộng, thì việc loại công ty đó khỏi danh sách niêm yết nằm trong quyền tùy nghi của NASDAQ.” Bạn có đồng ý không?</w:t>
      </w:r>
    </w:p>
    <w:p>
      <w:pPr>
        <w:spacing w:after="80"/>
      </w:pPr>
      <w:r>
        <w:rPr>
          <w:b w:val="0"/>
          <w:i w:val="0"/>
        </w:rPr>
        <w:t>—————</w:t>
      </w:r>
    </w:p>
    <w:p>
      <w:pPr>
        <w:spacing w:after="80"/>
      </w:pPr>
      <w:r>
        <w:rPr>
          <w:b w:val="0"/>
          <w:i w:val="0"/>
        </w:rPr>
        <w:t xml:space="preserve">Bất chấp những hành động của NASD [FINRA] trong </w:t>
      </w:r>
      <w:r>
        <w:rPr>
          <w:b w:val="0"/>
          <w:i/>
        </w:rPr>
        <w:t>Fog Cutter</w:t>
      </w:r>
      <w:r>
        <w:rPr>
          <w:b w:val="0"/>
          <w:i w:val="0"/>
        </w:rPr>
        <w:t xml:space="preserve"> , đôi khi vẫn nảy sinh những lo ngại về tính thỏa đáng trong việc các sở giao dịch thực thi các quy tắc của chính mình.</w:t>
      </w:r>
    </w:p>
    <w:p>
      <w:pPr>
        <w:pStyle w:val="Heading4"/>
      </w:pPr>
      <w:r>
        <w:rPr>
          <w:rFonts w:ascii="Calibri" w:hAnsi="Calibri"/>
          <w:b/>
          <w:i w:val="0"/>
          <w:sz w:val="23"/>
        </w:rPr>
        <w:t>Exchange Act Release No. 50699</w:t>
      </w:r>
    </w:p>
    <w:p>
      <w:pPr>
        <w:spacing w:after="80"/>
      </w:pPr>
      <w:r>
        <w:rPr>
          <w:b w:val="0"/>
          <w:i w:val="0"/>
        </w:rPr>
        <w:t>(18 tháng 11 năm 2004)</w:t>
      </w:r>
    </w:p>
    <w:p>
      <w:pPr>
        <w:spacing w:after="80"/>
      </w:pPr>
      <w:r>
        <w:rPr>
          <w:b w:val="0"/>
          <w:i w:val="0"/>
        </w:rPr>
        <w:t>Ngoài việc tập trung tăng cường vào quản trị SRO, các hành động thực thi gần đây của Ủy ban liên quan đến các SRO đã làm nổi bật những điểm yếu trong tính hiệu quả của một số chương trình quản lý của SRO. Chẳng hạn, vào tháng 9 năm 2003, Ủy ban đã dàn xếp một hành động thực thi hành chính chống lại CHX [Sở giao dịch chứng khoán Chicago] vì đã không thực thi các quy tắc giao dịch của mình. Lệnh của Ủy ban, cùng với những điều khác, bao gồm các phát hiện rằng chương trình giám sát của CHX đã không phát hiện thỏa đáng các vi phạm của thành viên đối với quy tắc báo giá chắc chắn (firm quote rule), các lệnh cấm giao dịch trước (trading ahead prohibitions), và quy tắc hiển thị lệnh giới hạn (limit order display rule) từ năm 1998 đến năm 2001. Là một phần của các cam kết do thỏa thuận dàn xếp áp đặt, CHX được yêu cầu, cùng với những điều khác, phải thành lập một ủy ban giám sát quản lý bao gồm gần như hoàn toàn những cá nhân không có quan hệ kinh doanh trọng yếu với sở giao dịch. Ngoài ra, CHX được yêu cầu phải nộp cho Ủy ban nhiều loại chứng nhận khác nhau của các quan chức của mình để xác nhận việc tuân thủ liên tục các nghĩa vụ theo luật định của mình.</w:t>
      </w:r>
    </w:p>
    <w:p>
      <w:pPr>
        <w:spacing w:after="80"/>
      </w:pPr>
      <w:r>
        <w:rPr>
          <w:b w:val="0"/>
          <w:i w:val="0"/>
        </w:rPr>
        <w:t>Ngoài ra, các hành động thực thi gần đây của Ủy ban liên quan đến các thành viên SRO đã chỉ ra những điểm yếu trong tính hiệu quả của các chương trình quản lý của SRO. Chẳng hạn, vào năm 2004, Ủy ban đã dàn xếp các hành động thực thi chống lại bảy công ty chuyên gia (specialist firm) của NYSE. Ủy ban phát hiện rằng, từ năm 1999 đến năm 2003, các công ty chuyên gia này đã vi phạm luật chứng khoán liên bang và các quy tắc của NYSE bằng cách thực hiện các lệnh cho tài khoản kinh doanh của mình trước các lệnh của khách hàng công cộng có thể khớp lệnh. Là một phần của thỏa thuận dàn xếp, các công ty đồng ý trả tổng cộng hơn 247 triệu đô la tiền phạt và tiền hoàn trả lợi nhuận bất chính (disgorgement), và đồng ý thực hiện các bước để cải thiện thủ tục và hệ thống tuân thủ của mình.</w:t>
      </w:r>
    </w:p>
    <w:p>
      <w:pPr>
        <w:spacing w:after="80"/>
      </w:pPr>
      <w:r>
        <w:rPr>
          <w:b w:val="0"/>
          <w:i w:val="0"/>
        </w:rPr>
        <w:t>Hơn nữa, nhân viên của Ủy ban gần đây đã tiến hành các cuộc thanh tra đối với các SRO, làm dấy lên những câu hỏi về việc liệu trong một số trường hợp nhất định, các SRO có cơ cấu quản trị đủ độc lập hay không, hoặc liệu các SRO có duy trì các chương trình quản lý đủ nghiêm ngặt để phát hiện, ngăn chặn và kỷ luật các vi phạm của thành viên đối với luật và quy tắc chứng khoán liên bang cũng như các quy tắc của SRO hay không.</w:t>
      </w:r>
    </w:p>
    <w:p>
      <w:pPr>
        <w:spacing w:after="80"/>
      </w:pPr>
      <w:r>
        <w:rPr>
          <w:b w:val="0"/>
          <w:i w:val="0"/>
        </w:rPr>
        <w:t>Tổng hợp lại, những diễn biến liên quan đến quản trị SRO, cùng với những lo ngại nảy sinh từ các hành động thực thi và thanh tra gần đây liên quan đến các SRO, đã thúc đẩy Ủy ban xem xét các biện pháp quản lý mới đối với các SRO. Do đó, Ủy ban đã quyết định đề xuất các quy tắc nhằm tăng cường quản trị của các sở giao dịch chứng khoán quốc gia và các hiệp hội chứng khoán đã đăng ký cũng như tính độc lập của các chương trình quản lý của họ. Hơn nữa, Ủy ban đang đề xuất nâng cao mức độ thông tin được công bố công khai về các SRO, bao gồm cả về cơ cấu quản trị, tài chính, chương trình quản lý và các chủ sở hữu quan trọng của họ. Cuối cùng, Ủy ban tin rằng việc giám sát các SRO sẽ được tăng cường, và các cuộc thanh tra có thể được nhắm mục tiêu tốt hơn vào các lĩnh vực có vấn đề, nếu Ủy ban nhận được dữ liệu đầy đủ hơn và thường xuyên hơn về các chương trình quản lý của SRO một cách có hệ thống. Do đó, Ủy ban đang đề xuất một quy tắc báo cáo SRO mới nhằm tạo điều kiện cho Ủy ban giám sát hiệu quả hơn các chương trình quản lý của SRO. Trong khi Ủy ban đang đề xuất các biện pháp khác nhằm tăng tính minh bạch trong hoạt động của các SRO, thông tin được nộp theo quy tắc đề xuất này được dự định sử dụng như một phần của chương trình kiểm tra của Ủy ban và do đó có thể không được công bố công khai.</w:t>
      </w:r>
    </w:p>
    <w:p>
      <w:pPr>
        <w:pStyle w:val="Heading5"/>
      </w:pPr>
      <w:r>
        <w:rPr>
          <w:rFonts w:ascii="Calibri" w:hAnsi="Calibri"/>
          <w:b/>
          <w:i/>
          <w:sz w:val="22"/>
        </w:rPr>
        <w:t>Bình luận và Câu hỏi</w:t>
      </w:r>
    </w:p>
    <w:p>
      <w:pPr>
        <w:spacing w:after="80"/>
      </w:pPr>
      <w:r>
        <w:rPr>
          <w:b w:val="0"/>
          <w:i w:val="0"/>
        </w:rPr>
        <w:t xml:space="preserve">1. Những lo ngại về việc thực thi các quy tắc của sở giao dịch và các tiêu chuẩn niêm yết không phải là mới. </w:t>
      </w:r>
      <w:r>
        <w:rPr>
          <w:b w:val="0"/>
          <w:i/>
        </w:rPr>
        <w:t>Xem</w:t>
      </w:r>
      <w:r>
        <w:rPr>
          <w:b w:val="0"/>
          <w:i w:val="0"/>
        </w:rPr>
        <w:t xml:space="preserve"> S. REP. NO. 73-1455, at 70 (1934) (“Mặc dù Sở giao dịch chứng khoán New York đã tuyên bố về tính chất khắt khe trong các yêu cầu niêm yết của mình, bằng chứng được đưa ra trước tiểu ban đã xác lập rằng các nhà chức trách của sở giao dịch đã lơ là trong việc điều tra các đơn xin niêm yết.”).</w:t>
      </w:r>
    </w:p>
    <w:p>
      <w:pPr>
        <w:spacing w:after="80"/>
      </w:pPr>
      <w:r>
        <w:rPr>
          <w:b w:val="0"/>
          <w:i w:val="0"/>
        </w:rPr>
        <w:t>2. Liệu cấu trúc của các sở giao dịch chứng khoán có làm dấy lên lo ngại về việc thực thi không? Việc chuyển đổi các sở giao dịch chứng khoán thành các công ty vì lợi nhuận có tác động gì, nếu có, đến khả năng và thiện chí thực thi nghiêm ngặt các tiêu chuẩn niêm yết?</w:t>
      </w:r>
    </w:p>
    <w:p>
      <w:pPr>
        <w:spacing w:after="80"/>
      </w:pPr>
      <w:r>
        <w:rPr>
          <w:b w:val="0"/>
          <w:i w:val="0"/>
        </w:rPr>
        <w:t xml:space="preserve">3. SEC có khả năng sẽ hiệu quả đến mức nào trong việc đảm bảo thực thi đầy đủ các quy tắc và tiêu chuẩn niêm yết của các sở giao dịch khác nhau? SEC có thể trực tiếp thực thi các tiêu chuẩn niêm yết không? Còn đối với các ủy ban kiểm toán thì sao? </w:t>
      </w:r>
      <w:r>
        <w:rPr>
          <w:b w:val="0"/>
          <w:i/>
        </w:rPr>
        <w:t>Xem</w:t>
      </w:r>
      <w:r>
        <w:rPr>
          <w:b w:val="0"/>
          <w:i w:val="0"/>
        </w:rPr>
        <w:t xml:space="preserve"> Rule 10A-3, 17 CFR 240.10A-3.</w:t>
      </w:r>
    </w:p>
    <w:p>
      <w:pPr>
        <w:spacing w:after="80"/>
      </w:pPr>
      <w:r>
        <w:rPr>
          <w:b w:val="0"/>
          <w:i w:val="0"/>
        </w:rPr>
        <w:t>—————</w:t>
      </w:r>
    </w:p>
    <w:p>
      <w:pPr>
        <w:spacing w:after="80"/>
      </w:pPr>
      <w:r>
        <w:rPr>
          <w:b w:val="0"/>
          <w:i w:val="0"/>
        </w:rPr>
        <w:t>Còn về việc thực thi tư nhân thì sao? Các cổ đông và các bên bị thiệt hại khác có thể kiện các sở giao dịch chứng khoán khi các công ty vi phạm các tiêu chuẩn niêm yết không?</w:t>
      </w:r>
    </w:p>
    <w:p>
      <w:pPr>
        <w:pStyle w:val="Heading4"/>
      </w:pPr>
      <w:r>
        <w:rPr>
          <w:rFonts w:ascii="Calibri" w:hAnsi="Calibri"/>
          <w:b/>
          <w:i w:val="0"/>
          <w:sz w:val="23"/>
        </w:rPr>
        <w:t>California Public Employees' Retirement System v.</w:t>
      </w:r>
      <w:r>
        <w:br/>
      </w:r>
      <w:r>
        <w:rPr>
          <w:rFonts w:ascii="Calibri" w:hAnsi="Calibri"/>
          <w:b/>
          <w:i w:val="0"/>
          <w:sz w:val="23"/>
        </w:rPr>
        <w:t xml:space="preserve"> New York Stock Exchange, Inc.</w:t>
      </w:r>
    </w:p>
    <w:p>
      <w:pPr>
        <w:spacing w:after="80"/>
      </w:pPr>
      <w:r>
        <w:rPr>
          <w:b w:val="0"/>
          <w:i w:val="0"/>
        </w:rPr>
        <w:t>United States Court of Appeals, Second Circuit</w:t>
      </w:r>
      <w:r>
        <w:br/>
      </w:r>
      <w:r>
        <w:rPr>
          <w:b w:val="0"/>
          <w:i w:val="0"/>
        </w:rPr>
        <w:t xml:space="preserve"> 503 F.3d 89 (2007)</w:t>
      </w:r>
    </w:p>
    <w:p>
      <w:pPr>
        <w:spacing w:after="80"/>
      </w:pPr>
      <w:r>
        <w:rPr>
          <w:b w:val="0"/>
          <w:i w:val="0"/>
        </w:rPr>
        <w:t>SOTOMAYOR , CIRCUIT JUDGE :</w:t>
      </w:r>
    </w:p>
    <w:p>
      <w:pPr>
        <w:spacing w:after="80"/>
      </w:pPr>
      <w:r>
        <w:rPr>
          <w:b w:val="0"/>
          <w:i w:val="0"/>
        </w:rPr>
        <w:t>Mỗi chứng khoán được niêm yết để giao dịch trên NYSE được gán cho một Công ty (Firm) cụ thể. Để thực hiện việc mua và bán một chứng khoán cụ thể, người mua và người bán phải trình giá mua (bid) và giá bán (offer) của họ cho Công ty Chuyên trách (Specialist Firm) cụ thể được gán cho chứng khoán đó. Phương thức giao dịch chính trên Sở giao dịch diễn ra thông qua Hệ thống Chuyển đổi Lệnh Siêu Chỉ định (Super Designated Order Turnaround System) của NYSE, hệ thống này truyền các lệnh mua và bán đến Công ty Chuyên trách một cách điện tử. Các lệnh xuất hiện trên một trạm làm việc điện tử đặc biệt thường được gọi là "sổ hiển thị" (display book). Mỗi Công ty Chuyên trách có một "sổ hiển thị" được vi tính hóa tại quầy giao dịch của mình, cho phép Công ty thực hiện các lệnh cho thị trường.</w:t>
      </w:r>
    </w:p>
    <w:p>
      <w:pPr>
        <w:spacing w:after="80"/>
      </w:pPr>
      <w:r>
        <w:rPr>
          <w:b w:val="0"/>
          <w:i w:val="0"/>
        </w:rPr>
        <w:t>Bằng cách hoạt động như đại lý cho nhà đầu tư hoặc như bên gốc (principal) cho chính mình trong việc bán và mua các chứng khoán riêng lẻ mà mỗi công ty được gán, các Công ty được yêu cầu đưa ra và hiển thị các báo giá hai chiều liên tục phản ánh chính xác các điều kiện thị trường hiện hành để duy trì một cuộc đấu giá công khai hai chiều thanh khoản và liên tục. Khi hoạt động như đại lý, các Công ty Chuyên trách khớp các lệnh của người mua và người bán, mà giá mua và giá bán của họ xuất hiện trên sổ hiển thị, và do đó đảm bảo việc thực hiện giao dịch kịp thời ở mức giá tốt nhất hiện có. Khi hoạt động như bên gốc, các Công ty Chuyên trách</w:t>
      </w:r>
    </w:p>
    <w:p>
      <w:pPr>
        <w:spacing w:after="80"/>
      </w:pPr>
      <w:r>
        <w:rPr>
          <w:b w:val="0"/>
          <w:i w:val="0"/>
        </w:rPr>
        <w:t>[đ]ược phép thực hiện, trong một số trường hợp hạn chế nhất định, các giao dịch trên cơ sở "bên gốc" (principal) hoặc "nhà kinh doanh chứng khoán" (dealer), khi được yêu cầu làm như vậy để duy trì một thị trường công bằng và có trật tự. Trong những trường hợp như vậy, chẳng hạn nếu không có lệnh bán và lệnh mua khớp nhau, chuyên gia được phép thực hiện lệnh mua cổ phiếu của nhà đầu tư bằng cách bán cổ phiếu từ tài khoản riêng của chuyên gia, hay "kho dự trữ" (inventory) cổ phiếu, cho nhà đầu tư. Ngoài ra, chuyên gia được phép thực hiện lệnh bán cổ phiếu của nhà đầu tư bằng cách mua cổ phiếu đó và giữ cổ phiếu trong kho dự trữ của nhà đầu tư.</w:t>
      </w:r>
    </w:p>
    <w:p>
      <w:pPr>
        <w:spacing w:after="80"/>
      </w:pPr>
      <w:r>
        <w:rPr>
          <w:b w:val="0"/>
          <w:i w:val="0"/>
        </w:rPr>
        <w:t>In re NYSE Specialists, 405 F. Supp. 2d at 290.</w:t>
      </w:r>
    </w:p>
    <w:p>
      <w:pPr>
        <w:spacing w:after="80"/>
      </w:pPr>
      <w:r>
        <w:rPr>
          <w:b w:val="0"/>
          <w:i w:val="0"/>
        </w:rPr>
        <w:t xml:space="preserve">Quyền hạn đáng kể của, và sự kiểm soát gần như hoàn toàn được thực thi bởi, các Công ty Chuyên trách đối với bất kỳ cổ phiếu nào trên NYSE tạo ra cơ hội thao túng thị trường để trục lợi cá nhân. Đơn kiện cáo buộc rằng "[C]ông ty Chuyên trách liên tục ở trong tình thế có thể giao dịch cho các tài khoản riêng của mình trong khi nắm giữ thông tin quan trọng không công khai về nguồn cung và nhu cầu đối với một cổ phiếu nhất định, một phần thông qua kiến thức của mình về các lệnh hiện có nhưng chưa được thực hiện." Consolidated Compl. P 52. Nhận thức được rủi ro này, Sở giao dịch đã ban hành các quy tắc nội bộ điều chỉnh hành vi của các Công ty Chuyên trách, bao gồm các quy tắc yêu cầu các Công ty "tuân thủ các nguyên tắc thực hành kinh doanh tốt," NYSE Rule 401(a), và các quy tắc cấm bất kỳ Công ty nào giao dịch cho tài khoản riêng của mình trừ khi điều đó thực sự cần thiết để duy trì một thị trường công bằng và có trật tự, </w:t>
      </w:r>
      <w:r>
        <w:rPr>
          <w:b w:val="0"/>
          <w:i/>
        </w:rPr>
        <w:t>xem, ví dụ</w:t>
      </w:r>
      <w:r>
        <w:rPr>
          <w:b w:val="0"/>
          <w:i w:val="0"/>
        </w:rPr>
        <w:t xml:space="preserve"> , NYSE Rule 104(a) ("Không [Công ty Chuyên trách] nào được thực hiện trên Sở giao dịch việc mua hoặc bán bất kỳ chứng khoán nào mà [Công ty] đó đã đăng ký, cho bất kỳ tài khoản nào mà [nó] . . . có lợi ích trực tiếp hoặc gián tiếp, trừ khi các giao dịch đó thực sự cần thiết để cho phép [Công ty] đó duy trì một thị trường công bằng và có trật tự. . . ."). Do đó, các Nguyên đơn Chính cáo buộc rằng các quy tắc yêu cầu các Công ty chỉ hành động như bên gốc trong những tình huống hạn chế khi việc làm đó là cần thiết để duy trì một thị trường công bằng và có trật tự.</w:t>
      </w:r>
    </w:p>
    <w:p>
      <w:pPr>
        <w:spacing w:after="80"/>
      </w:pPr>
      <w:r>
        <w:rPr>
          <w:b w:val="0"/>
          <w:i w:val="0"/>
        </w:rPr>
        <w:t>Các Nguyên đơn Chính cáo buộc rằng trong Thời kỳ Tập thể (Class Period), các Công ty Chuyên trách đã chủ động lợi dụng vị thế độc nhất của mình để tự giao dịch trục lợi và rằng NYSE đã bỏ mặc hoặc từ bỏ các nghĩa vụ quản lý và giám sát của mình đối với các Công ty Chuyên trách bằng cách cho phép và trong một số trường hợp khuyến khích việc tự giao dịch trục lợi trắng trợn. . . .</w:t>
      </w:r>
    </w:p>
    <w:p>
      <w:pPr>
        <w:spacing w:after="80"/>
      </w:pPr>
      <w:r>
        <w:rPr>
          <w:b w:val="0"/>
          <w:i w:val="0"/>
        </w:rPr>
        <w:t>* * *</w:t>
      </w:r>
    </w:p>
    <w:p>
      <w:pPr>
        <w:spacing w:after="80"/>
      </w:pPr>
      <w:r>
        <w:rPr>
          <w:b w:val="0"/>
          <w:i w:val="0"/>
        </w:rPr>
        <w:t>Trước tiên chúng tôi xem xét liệu NYSE có được quyền miễn trừ tuyệt đối khỏi các khiếu nại xuất phát từ việc Sở giao dịch chủ động hoặc thụ động đồng lõa trong hành vi sai trái của các Công ty Chuyên trách hay không, và sau đó chuyển sang xem xét liệu các Nguyên đơn Chính có tư cách pháp lý để đưa ra khiếu nại theo Rule 10b-5 của họ về những tuyên bố sai lệch của Sở giao dịch liên quan đến các hoạt động quản lý của mình và tính toàn vẹn của thị trường hay không.</w:t>
      </w:r>
    </w:p>
    <w:p>
      <w:pPr>
        <w:spacing w:after="80"/>
      </w:pPr>
      <w:r>
        <w:rPr>
          <w:b w:val="0"/>
          <w:i w:val="0"/>
        </w:rPr>
        <w:t>I. Miễn trừ Tuyệt đối</w:t>
      </w:r>
    </w:p>
    <w:p>
      <w:pPr>
        <w:spacing w:after="80"/>
      </w:pPr>
      <w:r>
        <w:rPr>
          <w:b w:val="0"/>
          <w:i w:val="0"/>
        </w:rPr>
        <w:t>Quyền miễn trừ tuyệt đối mang lại “sự bảo vệ hoàn toàn khỏi việc bị kiện,” Harlow v. Fitzgerald, 457 U.S. 800, 807, 102 S. Ct. 2727, 73 L. Ed. 2d 396 (1982), bởi vì nó trao cho “các quan chức công quyền được giao phó những nhiệm vụ nhạy cảm một vùng tự do hành xử được bảo vệ, trong đó họ có thể thực hiện trách nhiệm của mình,” Barr v. Abrams, 810 F.2d 358, 361 (2d Cir. 1987), để họ không cảm thấy bị “gò bó khi đưa ra mọi quyết định vì những hệ quả liên quan đến trách nhiệm pháp lý tiềm tàng của chính [họ] trong một vụ kiện đòi bồi thường thiệt hại,” . . .</w:t>
      </w:r>
    </w:p>
    <w:p>
      <w:pPr>
        <w:spacing w:after="80"/>
      </w:pPr>
      <w:r>
        <w:rPr>
          <w:b w:val="0"/>
          <w:i w:val="0"/>
        </w:rPr>
        <w:t xml:space="preserve">Mặc dù NYSE không phải là một thực thể chính phủ, chúng tôi đã công nhận rằng trong một số hoàn cảnh nhất định, nó được hưởng quyền miễn trừ tuyệt đối đối với các hành động mà nó thực hiện theo vai trò bán chính phủ của mình trong việc điều tiết thị trường chứng khoán. </w:t>
      </w:r>
      <w:r>
        <w:rPr>
          <w:b w:val="0"/>
          <w:i/>
        </w:rPr>
        <w:t>Xem</w:t>
      </w:r>
      <w:r>
        <w:rPr>
          <w:b w:val="0"/>
          <w:i w:val="0"/>
        </w:rPr>
        <w:t xml:space="preserve"> Barbara, 99 F.3d at 58 (“Mặc dù Sở giao dịch là một thực thể tư nhân chứ không phải chính phủ, các học thuyết miễn trừ vẫn bảo vệ các chủ thể tư nhân khi họ thực hiện những chức năng chính phủ quan trọng.”). Thật vậy, cũng như trong các bối cảnh miễn trừ tuyệt đối khác, chúng tôi tập trung vào “bản chất của chức năng được thực hiện, chứ không phải danh tính của người thực hiện chức năng đó,” Forrester v. White, 484 U.S. 219, 229, 108 S. Ct. 538, 98 L. Ed. 2d 555 (1988), để xác định liệu một SRO, chẳng hạn như Sở giao dịch, có được hưởng quyền miễn trừ hay không, xem D'Alessio, 258 F.3d at 104–06 (áp dụng cách tiếp cận theo chức năng để xác định liệu NYSE có được hưởng quyền miễn trừ hay không). Áp dụng phân tích này, chúng tôi đã xác định rằng các SRO là sở giao dịch chứng khoán được miễn trừ tuyệt đối khỏi việc bị kiện khi hành vi sai trái bị cáo buộc liên quan đến (1) các thủ tục kỷ luật đối với các thành viên của sở giao dịch, Barbara, 99 F.3d at 59; (2) việc thực thi các quy tắc và quy định về chứng khoán cũng như việc giám sát điều tiết nói chung đối với các thành viên của sở giao dịch, D'Alessio, 258 F.3d at 106; (3) việc giải thích các luật và quy định về chứng khoán khi áp dụng cho sở giao dịch hoặc các thành viên của nó, id.; (4) việc chuyển giao các thành viên của sở giao dịch cho SEC và các cơ quan chính phủ khác để thực thi dân sự hoặc truy tố hình sự theo các luật về chứng khoán, id.; và (5) việc công bố công khai các quyết định điều tiết, DL Capital Group, 409 F.3d at 98. Sợi chỉ chung xuyên suốt các vụ án này là quyền miễn trừ tuyệt đối gắn liền khi hoạt động đó “liên quan đến việc vận hành đúng đắn của hệ thống điều tiết.” D'Alessio, 258 F.3d at 106 (lược bỏ dấu ngoặc kép nội bộ). Thật vậy, bởi vì [t]he NYSE, với tư cách là một SRO, đứng vào vị trí của SEC trong việc giải thích các luật chứng khoán cho các thành viên của mình và trong việc giám sát việc tuân thủ các luật đó . . . [i]t theo đó NYSE cũng nên được hưởng quyền miễn trừ giống như SEC khi nó thực hiện các chức năng được giao phó cho mình theo thẩm quyền giám sát rộng lớn của SEC. Id. at 105. Do đó, miễn là “hành vi sai trái bị cáo buộc nằm trong phạm vi các quyền lực bán chính phủ được giao phó cho NYSE,” thì quyền miễn trừ tuyệt đối sẽ gắn liền. Id. at 106.</w:t>
      </w:r>
    </w:p>
    <w:p>
      <w:pPr>
        <w:spacing w:after="80"/>
      </w:pPr>
      <w:r>
        <w:rPr>
          <w:b w:val="0"/>
          <w:i w:val="0"/>
        </w:rPr>
        <w:t>* * *</w:t>
      </w:r>
    </w:p>
    <w:p>
      <w:pPr>
        <w:spacing w:after="80"/>
      </w:pPr>
      <w:r>
        <w:rPr>
          <w:b w:val="0"/>
          <w:i w:val="0"/>
        </w:rPr>
        <w:t>. . . Câu hỏi trọng tâm mà các vụ án về miễn trừ SRO của chúng tôi đặt ra không phải là liệu SRO có đang hành động (hay không hành động) “phù hợp với” các luật mà nó được cho là phải áp dụng hay không, mà là liệu các cáo buộc của nguyên đơn có liên quan đến việc thực thi các quyền lực nằm trong giới hạn của các chức năng chính phủ được giao phó cho nó hay không. Theo án lệ của chúng tôi, quyền miễn trừ bảo vệ quyền lực điều tiết, chứ không phải nghĩa vụ thực hiện các chức năng điều tiết theo một cách thức nhất định. Do đó, quyền miễn trừ chỉ phụ thuộc vào việc liệu những hành động và sự không hành động cụ thể có gắn liền với việc thực thi quyền lực điều tiết hay không, chứ không phụ thuộc vào tính đúng đắn của những hành động hay sự không hành động đó. Thật vậy, nếu “phù hợp với” và “năng lực” có nghĩa là quyền miễn trừ chỉ gắn liền với những ai tuân theo luật, thì học thuyết miễn trừ sẽ bị lật đổ một cách hiệu quả. Suy cho cùng, các cá nhân thường không khởi kiện với cáo buộc rằng một SRO đang tuân thủ các nghĩa vụ luật định và pháp lý của mình; họ khởi kiện với cáo buộc rằng một SRO đang vi phạm luật hoặc hành động không nhất quán với các nghĩa vụ pháp lý của mình. Các Nguyên đơn Chính ở đây do đó đang yêu cầu chúng tôi tạo ra một ngoại lệ mà sẽ gần như nuốt chửng toàn bộ học thuyết, và chúng tôi từ chối làm điều đó.</w:t>
      </w:r>
    </w:p>
    <w:p>
      <w:pPr>
        <w:spacing w:after="80"/>
      </w:pPr>
      <w:r>
        <w:rPr>
          <w:b w:val="0"/>
          <w:i w:val="0"/>
        </w:rPr>
        <w:t>Tóm lại, cách đúng đắn để đọc việc D'Alessio sử dụng các thuật ngữ “phù hợp với” và “năng lực” là tập trung vào chức năng cụ thể đang bị đề cập trong các cáo buộc về hành vi sai trái để xác định liệu hành vi đó có “phù hợp với” việc thực thi quyền lực được giao phó cho SRO và mà Tòa án này đã dành quyền miễn trừ tuyệt đối hay không. Nếu hành vi đó nằm trong phạm vi quyền lực được giao phó của SRO, thì quyền miễn trừ mặc nhiên gắn liền, ngay cả khi SRO thực thi sai quyền lực đó.</w:t>
      </w:r>
    </w:p>
    <w:p>
      <w:pPr>
        <w:spacing w:after="80"/>
      </w:pPr>
      <w:r>
        <w:rPr>
          <w:b w:val="0"/>
          <w:i w:val="0"/>
        </w:rPr>
        <w:t>A. Áp dụng</w:t>
      </w:r>
    </w:p>
    <w:p>
      <w:pPr>
        <w:spacing w:after="80"/>
      </w:pPr>
      <w:r>
        <w:rPr>
          <w:b w:val="0"/>
          <w:i w:val="0"/>
        </w:rPr>
        <w:t xml:space="preserve">Với cách hiểu này về án lệ của chúng tôi, rõ ràng rằng hành vi sai trái mà các Nguyên đơn Chính cáo buộc nằm gọn trong phạm vi các chức năng bán chính phủ mà SEC đã giao phó cho NYSE. Thật vậy, trong năm loại hành vi sai trái mà các Nguyên đơn Chính cáo buộc trong đơn kiện của họ (chen ngang, giao dịch trước, đóng băng sổ lệnh, thao túng giá tick, và che giấu bằng chứng về hành vi sai trái), bốn loại đầu tiên liên quan đến điều mà chính các Nguyên đơn Chính mô tả là sự thất bại hoặc từ bỏ các nghĩa vụ điều tiết của Sở giao dịch. Ví dụ, các Nguyên đơn Chính phàn nàn rằng NYSE—hoặc với ý định, sự hiểu biết hoặc sự bất chấp liều lĩnh—đã cho phép các Công ty Chuyên trách (1) thực hiện hành vi chen ngang vi phạm chính các quy định của Sở giao dịch và (2) giao dịch trước và chạy trước các cổ phiếu để thu lợi tài chính khổng lồ, vi phạm các luật và quy định về chứng khoán. Các Nguyên đơn Chính cũng cho rằng NYSE đã nhắm mắt làm ngơ trước việc thao túng giá tick của cổ phiếu và rằng thực tiễn đóng băng sổ lệnh là một điểm tranh chấp giữa SEC và Sở giao dịch về khoảng thời gian mà một Công ty Chuyên trách có thể thực hiện hoạt động đó. Rõ ràng rằng những khiếu nại này đều liên quan đến hành động hoặc sự không hành động của NYSE đối với việc giao dịch trên Sở giao dịch, điều không thể tranh cãi là nằm trong quyền lực điều tiết của NYSE. Hơn nữa, chính cách mô tả của các Nguyên đơn Chính về những khiếu nại nêu trên đã ngầm thừa nhận rằng NYSE đang hành động trong lĩnh vực các quyền lực giám sát được SEC giao phó cho nó. </w:t>
      </w:r>
      <w:r>
        <w:rPr>
          <w:b w:val="0"/>
          <w:i/>
        </w:rPr>
        <w:t>Xem, ví dụ</w:t>
      </w:r>
      <w:r>
        <w:rPr>
          <w:b w:val="0"/>
          <w:i w:val="0"/>
        </w:rPr>
        <w:t xml:space="preserve"> , Consolidated Compl. P 5 (cáo buộc NYSE “cố ý thất bại trong việc giám sát, điều tiết hoặc quản lý đúng đắn sở giao dịch chứng khoán của mình” và rằng “NYSE cố ý thất bại trong việc ngăn chặn, phơi bày hoặc kỷ luật các thực tiễn giao dịch bất hợp pháp [của các công ty thành viên] ở mức độ cần thiết để răn đe, chấm dứt hoặc ngăn ngừa chúng”). Đây là một sự thừa nhận ngầm rằng các quyết định của NYSE hành động (hoặc không hành động) đối với hành vi của các Công ty Chuyên trách là “phù hợp với” các quyền lực được SEC giao phó cho nó. Bởi vì những khiếu nại này đều liên quan đến “việc vận hành đúng đắn của hệ thống điều tiết,” D'Alessio, 258 F.3d at 106 (lược bỏ dấu ngoặc kép nội bộ), tòa án quận đã không sai khi dành quyền miễn trừ cho NYSE đối với hành động hoặc sự không hành động của nó liên quan đến những khiếu nại này.</w:t>
      </w:r>
    </w:p>
    <w:p>
      <w:pPr>
        <w:spacing w:after="80"/>
      </w:pPr>
      <w:r>
        <w:rPr>
          <w:b w:val="0"/>
          <w:i w:val="0"/>
        </w:rPr>
        <w:t>Chúng tôi đối mặt với một câu hỏi có phần gai góc hơn khi đánh giá các cáo buộc rằng NYSE đã biết mà vẫn cho phép, hoặc thậm chí tích cực khuyến khích, các Công ty Chuyên trách nộp các báo cáo điều tiết đã bị sửa đổi hoặc thay đổi cho NYSE và rằng nó đã báo trước cho các Công ty Chuyên trách về các cuộc điều tra nội bộ sắp diễn ra của NYSE để các Công ty có thể che giấu bằng chứng về hành vi sai trái. Các cáo buộc của Nguyên đơn Chính ở đây tập trung vào cách tiếp cận của NYSE đối với các Báo cáo Mẫu 81 hàng tuần (“Mẫu 81”), mà mọi Công ty Chuyên trách đều phải nộp khi thực hiện các giao dịch gốc. Các quan chức sàn của NYSE, theo các Nguyên đơn Chính, đã cho phép tên và số hiệu của họ được sử dụng trong việc chuẩn bị các Mẫu 81 giả, về cơ bản là bảo chứng cho những giao dịch mà họ biết là không đúng đắn hoặc sai trái, và ngay cả khi NYSE phát hiện ra một khả năng giả mạo, nó sẽ gửi Mẫu 81 liên quan trở lại cho Công ty và cho phép Mẫu 81 được nộp lại với thông tin “chính xác”. Các quan chức tại Sở giao dịch cũng bị cáo buộc đã “mách nước” cho ít nhất một trong các Công ty Chuyên trách về một cuộc điều tra sắp xảy ra trước khi có thông báo chính thức, cho phép nó, giờ đã được báo trước, thay đổi hồ sơ của mình để che giấu hành vi sai trái. Thoạt nhìn, không hành động nào trong số này có vẻ nằm trong phạm vi các quyền lực được giao phó cho Sở giao dịch. Tuy nhiên, trọng tâm của các khiếu nại của Nguyên đơn Chính lại xoay quanh các chức năng mà NYSE thực hiện trong vai trò giám sát và điều tiết của mình: công bố các cuộc điều tra, phê duyệt các báo cáo điều tiết trên sàn giao dịch chứng khoán, và kiểm tra nội dung cũng như tính hợp pháp của các Mẫu 81. Mặc dù những hành động này có thể không có vẻ tạo thành phần cốt lõi của các chức năng điều tiết được giao phó cho NYSE với tư cách là một SRO, chúng vẫn đóng vai trò trung tâm trong việc thực hiện quá trình ra quyết định điều tiết của NYSE. . . .</w:t>
      </w:r>
    </w:p>
    <w:p>
      <w:pPr>
        <w:spacing w:after="80"/>
      </w:pPr>
      <w:r>
        <w:rPr>
          <w:b w:val="0"/>
          <w:i w:val="0"/>
        </w:rPr>
        <w:t>* * *</w:t>
      </w:r>
    </w:p>
    <w:p>
      <w:pPr>
        <w:spacing w:after="80"/>
      </w:pPr>
      <w:r>
        <w:rPr>
          <w:b w:val="0"/>
          <w:i w:val="0"/>
        </w:rPr>
        <w:t xml:space="preserve">Các Nguyên đơn Chính cho rằng vụ án này trình bày “trường hợp bất thường nhất,” do đó cho phép họ vượt qua bất kỳ sự dành quyền miễn trừ tuyệt đối nào mà Tòa án này có thể dành cho. Mặc dù chúng tôi đồng ý rằng hành vi gian lận lạm dụng lòng tin được cho là do các Công ty Chuyên trách và Sở giao dịch thực hiện trong suốt Giai đoạn Tập thể kéo dài nhiều năm có vẻ nghiêm trọng, chúng tôi vẫn kết luận rằng một ngoại lệ gian lận không nên được áp dụng ở đây—ngay cả một ngoại lệ “trường hợp bất thường nhất” chỉ xảy ra một lần. Thật vậy, các tòa án đã áp dụng học thuyết miễn trừ tuyệt đối mà không tạo ra ngoại lệ gian lận ngay cả trong các vụ án cáo buộc gian lận trong những tình huống liên quan trực tiếp đến các quyền tự do cá nhân được hiến pháp bảo vệ trong bối cảnh hình sự, bao gồm một vụ án mà một công tố viên bị cáo buộc đã thực hiện hành vi gian lận đối với tòa án trong một vụ truy tố hình sự về tội giết người có thể bị tử hình, Imbler, 424 U.S. at 416 (hành vi sai trái của công tố viên bị cáo buộc bao gồm việc cố ý cho phép lời khai sai tại phiên tòa và đệ trình bằng chứng đã bị sửa đổi cho bồi thẩm đoàn), hoặc nơi các hạn chế bị cáo buộc là vi hiến được đặt lên một bồi thẩm viên đại bồi thẩm đoàn đang cố gắng điều tra hành vi sai trái của quan chức, Fields v. Soloff, 920 F.2d 1114, 1119 (2d Cir. 1990). Nếu một ngoại lệ gian lận không được biện minh trong những tình huống mà chính tự do của một cá nhân có thể bị đe dọa, chúng tôi kết luận rằng một ngoại lệ như vậy cũng không phù hợp ở đây. Hơn nữa, trong khi các Nguyên đơn Chính mô tả vụ án này là đại diện cho “trường hợp bất thường nhất,” một ngoại lệ ở đây có thể mở ra một chiếc hộp Pandora làm suy yếu toàn bộ mục đích đằng sau học thuyết miễn trừ. </w:t>
      </w:r>
      <w:r>
        <w:rPr>
          <w:b w:val="0"/>
          <w:i/>
        </w:rPr>
        <w:t>Xem</w:t>
      </w:r>
      <w:r>
        <w:rPr>
          <w:b w:val="0"/>
          <w:i w:val="0"/>
        </w:rPr>
        <w:t xml:space="preserve"> DL Capital Group, 409 F.3d at 99 (“Do đó, việc bác bỏ một ngoại lệ gian lận không chỉ đơn thuần là vấn đề logic mà còn là vấn đề thực tiễn sâu sắc, bởi vì [nếu không thì] việc [SRO] thực thi các chức năng bán chính phủ của mình sẽ bị cản trở một cách quá mức bởi các vụ kiện gây rối và mang tính trả đũa.”) (lược bỏ dấu ngoặc kép nội bộ).</w:t>
      </w:r>
    </w:p>
    <w:p>
      <w:pPr>
        <w:spacing w:after="80"/>
      </w:pPr>
      <w:r>
        <w:rPr>
          <w:b w:val="0"/>
          <w:i w:val="0"/>
        </w:rPr>
        <w:t xml:space="preserve">Cuối cùng, chúng tôi đã từng cảnh báo rằng các tòa án khi đối mặt với các khiếu nại về quyền miễn trừ tuyệt đối nên xem xét “liệu có tồn tại các phương án thay thế cho việc kiện đòi bồi thường thiệt hại đối với quan chức như một phương tiện để khắc phục hành vi sai trái” nếu quyền miễn trừ tuyệt đối được áp dụng. Barrett, 798 F.2d at 571 (dẫn chiếu Mitchell v. Forsyth, 472 U.S. 511, 521–23, 105 S. Ct. 2806, 86 L. Ed. 2d 411 (1985)). Các phương án thay thế ở đây rất đa dạng. Suy cho cùng, SEC vẫn giữ quyền giám sát đáng gờm để giám sát, điều tra và kỷ luật NYSE đối với bất kỳ hành vi sai trái hoặc sai sót điều tiết nào có thể xảy ra. </w:t>
      </w:r>
      <w:r>
        <w:rPr>
          <w:b w:val="0"/>
          <w:i/>
        </w:rPr>
        <w:t>Xem</w:t>
      </w:r>
      <w:r>
        <w:rPr>
          <w:b w:val="0"/>
          <w:i w:val="0"/>
        </w:rPr>
        <w:t xml:space="preserve"> , ví dụ, DL Capital Group, 409 F.3d at 95 (“[N]ếu một SRO đã vi phạm, hoặc không thể tuân thủ, </w:t>
      </w:r>
      <w:r>
        <w:rPr>
          <w:b w:val="0"/>
          <w:i/>
        </w:rPr>
        <w:t>inter alia</w:t>
      </w:r>
      <w:r>
        <w:rPr>
          <w:b w:val="0"/>
          <w:i w:val="0"/>
        </w:rPr>
        <w:t xml:space="preserve"> , các quy định của Exchange Act, các quy tắc của chính nó, hoặc các quy tắc của SEC, SEC được phép đình chỉ hoặc thậm chí thu hồi đăng ký của một SRO, cũng như áp đặt các biện pháp trừng phạt nhẹ hơn.”) (dẫn chiếu 15 U.S.C. § 78s(g)). Như các sự kiện ở đây minh họa một cách rõ ràng, SEC đã can thiệp và điều tra Sở giao dịch và các Công ty Chuyên trách và đã đạt được từ họ những thỏa thuận dàn xếp đáng kể, không chỉ thu hút sự chú ý rộng rãi của công chúng mà còn bao gồm các hình phạt tiền tệ đáng kể và triển khai các phương pháp mới về điều tiết và giám sát thị trường.</w:t>
      </w:r>
    </w:p>
    <w:p>
      <w:pPr>
        <w:spacing w:after="80"/>
      </w:pPr>
      <w:r>
        <w:rPr>
          <w:b w:val="0"/>
          <w:i w:val="0"/>
        </w:rPr>
        <w:t>Vì tất cả các lý do đã nêu ở trên, chúng tôi kết luận rằng NYSE được hưởng quyền miễn trừ tuyệt đối và giữ nguyên phán quyết của tòa án quận về vấn đề này.</w:t>
      </w:r>
    </w:p>
    <w:p>
      <w:pPr>
        <w:spacing w:after="80"/>
      </w:pPr>
      <w:r>
        <w:rPr>
          <w:b w:val="0"/>
          <w:i w:val="0"/>
        </w:rPr>
        <w:t>Vì những lý do đã nêu, chúng tôi giữ nguyên phán quyết của tòa án quận một phần, hủy bỏ phán quyết một phần và chuyển lại để tiến hành các thủ tục phù hợp với ý kiến này.</w:t>
      </w:r>
    </w:p>
    <w:p>
      <w:pPr>
        <w:pStyle w:val="Heading5"/>
      </w:pPr>
      <w:r>
        <w:rPr>
          <w:rFonts w:ascii="Calibri" w:hAnsi="Calibri"/>
          <w:b/>
          <w:i/>
          <w:sz w:val="22"/>
        </w:rPr>
        <w:t>Bình luận và Câu hỏi</w:t>
      </w:r>
    </w:p>
    <w:p>
      <w:pPr>
        <w:spacing w:after="80"/>
      </w:pPr>
      <w:r>
        <w:rPr>
          <w:b w:val="0"/>
          <w:i w:val="0"/>
        </w:rPr>
        <w:t>1. Bạn nghĩ gì về lập luận của tòa án này? Liệu khái niệm tự điều tiết có miễn trừ các sở giao dịch chứng khoán khỏi các hành động thực thi tư nhân hay không?</w:t>
      </w:r>
    </w:p>
    <w:p>
      <w:pPr>
        <w:spacing w:after="80"/>
      </w:pPr>
      <w:r>
        <w:rPr>
          <w:b w:val="0"/>
          <w:i w:val="0"/>
        </w:rPr>
        <w:t xml:space="preserve">2. Liệu nó có áp dụng cho tất cả các hành động của một SRO không? Còn các khiếu nại về việc trình bày sai dựa trên tài liệu ủy quyền do NASD đệ trình cho các thành viên của mình thì sao? Để chức năng giám sát môi giới-đại lý của NASD và NYSE kết hợp lại, các thành viên của NASD phải phê duyệt một số thay đổi nhất định đối với điều lệ của SRO. Một thành viên NASD sau đó đã kiện và cáo buộc rằng NASD đã đưa ra những tuyên bố sai trong quá trình lấy ý kiến. Tuy nhiên, tòa án kết luận rằng việc chuyển giao thẩm quyền điều tiết đi kèm với sự kết hợp đó là một chức năng điều tiết được hưởng quyền miễn trừ. Bởi vì việc lấy ý kiến ủy quyền gắn liền với sự kết hợp, nó cũng được hưởng quyền miễn trừ. </w:t>
      </w:r>
      <w:r>
        <w:rPr>
          <w:b w:val="0"/>
          <w:i/>
        </w:rPr>
        <w:t>Xem Std. Inv. Chartered, Inc. v. NASD</w:t>
      </w:r>
      <w:r>
        <w:rPr>
          <w:b w:val="0"/>
          <w:i w:val="0"/>
        </w:rPr>
        <w:t xml:space="preserve"> , 637 F.3d 112 (2d Cir. 2011). Tuy nhiên, tòa án đã nhấn mạnh rằng phân tích này bị ảnh hưởng bởi thực tế rằng các điều lệ phải nhận được sự phê duyệt của SEC.</w:t>
      </w:r>
    </w:p>
    <w:p>
      <w:pPr>
        <w:spacing w:after="80"/>
      </w:pPr>
      <w:r>
        <w:rPr>
          <w:b w:val="0"/>
          <w:i w:val="0"/>
        </w:rPr>
        <w:t xml:space="preserve">3. Thẩm phán Sotomayor lưu ý rằng có những lựa chọn thay thế cho việc thực thi tư nhân, bao gồm quyền giám sát đáng gờm của SEC. SEC và NYSE đã dàn xếp các cáo buộc phát sinh từ những vấn đề liên quan đến các chuyên gia. </w:t>
      </w:r>
      <w:r>
        <w:rPr>
          <w:b w:val="0"/>
          <w:i/>
        </w:rPr>
        <w:t>Xem In re NYSE</w:t>
      </w:r>
      <w:r>
        <w:rPr>
          <w:b w:val="0"/>
          <w:i w:val="0"/>
        </w:rPr>
        <w:t xml:space="preserve"> , Exchange Act Release No. 51524 (Thủ tục hành chính ngày 12 tháng 4 năm 2005) (vụ án đã dàn xếp trong đó SEC cáo buộc rằng "[t]ừ năm 1999 đến gần hết năm 2002, NYSE đã không phát hiện, điều tra và kỷ luật đúng mức các hành vi xen kẽ bất hợp pháp và giao dịch trước của các chuyên gia" và, mặc dù không áp đặt bất kỳ khoản tiền phạt hay hình phạt nào, đã lưu ý rằng NYSE đã tạo một quỹ dự trữ 20 triệu đô la). Liệu sự giám sát của SEC có đủ để đảm bảo việc thực thi đầy đủ các quy tắc của NYSE không?</w:t>
      </w:r>
    </w:p>
    <w:p>
      <w:pPr>
        <w:spacing w:after="80"/>
      </w:pPr>
      <w:r>
        <w:rPr>
          <w:b w:val="0"/>
          <w:i w:val="0"/>
        </w:rPr>
        <w:t>4. Tòa án cũng lưu ý rằng SEC có thẩm quyền đình chỉ hoặc thu hồi đăng ký của một SRO. Điều này có khả năng xảy ra đến mức nào? Điều gì sẽ xảy ra nếu SEC thu hồi đăng ký của NYSE?</w:t>
      </w:r>
    </w:p>
    <w:p>
      <w:pPr>
        <w:spacing w:after="80"/>
      </w:pPr>
      <w:r>
        <w:rPr>
          <w:b w:val="0"/>
          <w:i w:val="0"/>
        </w:rPr>
        <w:t xml:space="preserve">5. Tòa án nhận thấy rằng không có quyền khởi kiện tư nhân đối với các vi phạm quy tắc của các sở giao dịch chứng khoán. Các tiêu chuẩn niêm yết có phải là quy tắc không? </w:t>
      </w:r>
      <w:r>
        <w:rPr>
          <w:b w:val="0"/>
          <w:i/>
        </w:rPr>
        <w:t>Xem The Business Roundtable v. Securities and Exchange Commission</w:t>
      </w:r>
      <w:r>
        <w:rPr>
          <w:b w:val="0"/>
          <w:i w:val="0"/>
        </w:rPr>
        <w:t xml:space="preserve"> , 905 F.2d 406 (D.C. Cir. 1990) ("Đầu tiên, có vẻ không thể tranh cãi rằng quy tắc đề xuất của NYSE sửa đổi tiêu chuẩn niêm yết một cổ phiếu/một phiếu bầu của mình là một 'quy tắc' được điều chỉnh bởi § 19(b) và tương ứng, rằng Rule 19c-4 không nằm ngoài phạm vi của § 19(c) vì bất kỳ lý do gì không phải là 'quy tắc của một tổ chức tự quản lý.'").</w:t>
      </w:r>
    </w:p>
    <w:p>
      <w:pPr>
        <w:spacing w:after="80"/>
      </w:pPr>
      <w:r>
        <w:rPr>
          <w:b w:val="0"/>
          <w:i w:val="0"/>
        </w:rPr>
        <w:t xml:space="preserve">6. Một số vụ án ban đầu chỉ ra rằng các bên tư nhân có thể khởi kiện các công ty vì vi phạm tiêu chuẩn niêm yết của họ. </w:t>
      </w:r>
      <w:r>
        <w:rPr>
          <w:b w:val="0"/>
          <w:i/>
        </w:rPr>
        <w:t>Xem Van Gemert v. Boeing Co.</w:t>
      </w:r>
      <w:r>
        <w:rPr>
          <w:b w:val="0"/>
          <w:i w:val="0"/>
        </w:rPr>
        <w:t xml:space="preserve"> , 520 F.2d 1373, 1381 (2d Cir. 1975) (để nhận thấy rằng không có quyền khởi kiện tư nhân "cũng sẽ đi ngược lại một quan điểm mà chúng tôi thấy hấp dẫn, rằng đối với công chúng đầu tư Mỹ, việc niêm yết trên Sở giao dịch chứng khoán New York mang theo những bảo đảm ngầm về độ tin cậy."). Tuy nhiên, các phán quyết sau đó nói chung đã không cho phép các vụ kiện tư nhân.</w:t>
      </w:r>
    </w:p>
    <w:p>
      <w:pPr>
        <w:spacing w:after="80"/>
      </w:pPr>
      <w:r>
        <w:rPr>
          <w:b w:val="0"/>
          <w:i w:val="0"/>
        </w:rPr>
        <w:t xml:space="preserve">7. Không phải tất cả các tiêu chuẩn niêm yết đều giống nhau. Mặc dù thường được xem như một vấn đề hợp đồng giữa các công ty và sở giao dịch, một số tiêu chuẩn niêm yết được yêu cầu bởi luật. </w:t>
      </w:r>
      <w:r>
        <w:rPr>
          <w:b w:val="0"/>
          <w:i/>
        </w:rPr>
        <w:t>Xem</w:t>
      </w:r>
      <w:r>
        <w:rPr>
          <w:b w:val="0"/>
          <w:i w:val="0"/>
        </w:rPr>
        <w:t xml:space="preserve"> Section 301 của SOX (yêu cầu Ủy ban ban hành các quy tắc buộc các công ty niêm yết phải có ủy ban kiểm toán với một số quyền và trách nhiệm nhất định). Trong các trường hợp khác, các quy tắc của sở giao dịch gắn bó chặt chẽ với các yêu cầu luật định. </w:t>
      </w:r>
      <w:r>
        <w:rPr>
          <w:b w:val="0"/>
          <w:i/>
        </w:rPr>
        <w:t>Xem</w:t>
      </w:r>
      <w:r>
        <w:rPr>
          <w:b w:val="0"/>
          <w:i w:val="0"/>
        </w:rPr>
        <w:t xml:space="preserve"> Rule 14b-1, 17 CFR § 240.14b-1 (yêu cầu các nhà môi giới chuyển tiếp tài liệu ủy quyền cho các chủ sở hữu hưởng lợi). Các quy tắc của sở giao dịch chứng khoán điều chỉnh quyền của các nhà môi giới trong việc bỏ phiếu các cổ phần do chủ sở hữu hưởng lợi nắm giữ. </w:t>
      </w:r>
      <w:r>
        <w:rPr>
          <w:b w:val="0"/>
          <w:i/>
        </w:rPr>
        <w:t>Xem</w:t>
      </w:r>
      <w:r>
        <w:rPr>
          <w:b w:val="0"/>
          <w:i w:val="0"/>
        </w:rPr>
        <w:t xml:space="preserve"> NYSE Rule 452 và Section 402.08 của Sổ tay. Liệu có khả năng tồn tại quyền khởi kiện tư nhân đối với các quy tắc hoặc tiêu chuẩn này không?</w:t>
      </w:r>
    </w:p>
    <w:p>
      <w:pPr>
        <w:spacing w:after="80"/>
      </w:pPr>
      <w:r>
        <w:rPr>
          <w:b w:val="0"/>
          <w:i w:val="0"/>
        </w:rPr>
        <w:t>—————</w:t>
      </w:r>
    </w:p>
    <w:p>
      <w:pPr>
        <w:spacing w:after="80"/>
      </w:pPr>
      <w:r>
        <w:rPr>
          <w:b w:val="0"/>
          <w:i/>
        </w:rPr>
        <w:t>California Public Employees' Retirement System v. New York Stock Exchange, Inc.</w:t>
      </w:r>
      <w:r>
        <w:rPr>
          <w:b w:val="0"/>
          <w:i w:val="0"/>
        </w:rPr>
        <w:t xml:space="preserve"> được quyết định vào thời điểm NYSE còn là một công ty phi lợi nhuận. Với tư cách là các công ty vì lợi nhuận, các sở giao dịch có khả năng sẽ chứng kiến sự tăng trưởng trong thành phần phi quản lý của hoạt động kinh doanh. Những chức năng như vậy sẽ không được miễn trừ. Tuy nhiên, việc phân biệt giữa hai nhóm hoạt động này sẽ không dễ dàng.</w:t>
      </w:r>
    </w:p>
    <w:p>
      <w:pPr>
        <w:pStyle w:val="Heading4"/>
      </w:pPr>
      <w:r>
        <w:rPr>
          <w:rFonts w:ascii="Calibri" w:hAnsi="Calibri"/>
          <w:b/>
          <w:i w:val="0"/>
          <w:sz w:val="23"/>
        </w:rPr>
        <w:t>Weissman v. National Association of Securities Dealers, Inc.</w:t>
      </w:r>
    </w:p>
    <w:p>
      <w:pPr>
        <w:spacing w:after="80"/>
      </w:pPr>
      <w:r>
        <w:rPr>
          <w:b w:val="0"/>
          <w:i w:val="0"/>
        </w:rPr>
        <w:t>Tòa phúc thẩm Hoa Kỳ, Vòng thứ mười một</w:t>
      </w:r>
      <w:r>
        <w:br/>
      </w:r>
      <w:r>
        <w:rPr>
          <w:b w:val="0"/>
          <w:i w:val="0"/>
        </w:rPr>
        <w:t xml:space="preserve"> 500 F.3d 1293 (2007) (toàn thể)</w:t>
      </w:r>
    </w:p>
    <w:p>
      <w:pPr>
        <w:spacing w:after="80"/>
      </w:pPr>
      <w:r>
        <w:rPr>
          <w:b w:val="0"/>
          <w:i w:val="0"/>
        </w:rPr>
        <w:t>BARKETT , THẨM PHÁN VÒNG :</w:t>
      </w:r>
    </w:p>
    <w:p>
      <w:pPr>
        <w:spacing w:after="80"/>
      </w:pPr>
      <w:r>
        <w:rPr>
          <w:b w:val="0"/>
          <w:i w:val="0"/>
        </w:rPr>
        <w:t>Từ tháng 12 năm 2000 đến tháng 6 năm 2002, Weissman đã mua 82.800 cổ phiếu WorldCom thay mặt cho các con chưa thành niên của mình. Sau sự sụp đổ của WorldCom, và sau khi mất gần như toàn bộ khoản đầu tư, Weissman đã đệ đơn kiện đa dạng lên tòa án quận liên bang chống lại NASDAQ. Trong đơn khiếu nại của mình, Weissman phủ nhận mọi sự phụ thuộc vào hoạt động quản lý của NASDAQ làm cơ sở cho vụ kiện của mình, nhấn mạnh rằng "[h]ành động này chỉ dựa trên hoạt động kinh doanh thương mại vì lợi nhuận của các Bị đơn[, . . .] bao gồm chiến dịch tiếp thị và quảng cáo khoảng 100 triệu đô la . . . của các Bị đơn trong các năm 2000, 2001 và 2002 để quảng bá và bán . . . cổ phiếu của WorldCom, Inc."</w:t>
      </w:r>
    </w:p>
    <w:p>
      <w:pPr>
        <w:spacing w:after="80"/>
      </w:pPr>
      <w:r>
        <w:rPr>
          <w:b w:val="0"/>
          <w:i w:val="0"/>
        </w:rPr>
        <w:t>Weissman cáo buộc rằng NASDAQ đã vi phạm Fla. Stat. § 517.301(1) (b) bằng cách quảng bá WorldCom thông qua tiếp thị và quảng cáo mà không tiết lộ rằng doanh thu của mình được tăng cường trực tiếp bởi việc gia tăng giao dịch cổ phiếu WorldCom; chào bán cổ phiếu WorldCom để bán mà không đăng ký làm nhà môi giới, vi phạm Fla. Stat. § 517.12; và phạm tội gian lận theo thông luật và/hoặc trình bày sai do cẩu thả trong nỗ lực dụ dỗ các nhà đầu tư mua cổ phiếu WorldCom.</w:t>
      </w:r>
    </w:p>
    <w:p>
      <w:pPr>
        <w:spacing w:after="80"/>
      </w:pPr>
      <w:r>
        <w:rPr>
          <w:b w:val="0"/>
          <w:i w:val="0"/>
        </w:rPr>
        <w:t>* * *</w:t>
      </w:r>
    </w:p>
    <w:p>
      <w:pPr>
        <w:spacing w:after="80"/>
      </w:pPr>
      <w:r>
        <w:rPr>
          <w:b w:val="0"/>
          <w:i w:val="0"/>
        </w:rPr>
        <w:t xml:space="preserve">Theo Đạo luật Giao dịch Chứng khoán năm 1934, Quốc hội đã thiết lập một hệ thống quản lý đối với ngành chứng khoán, dựa vào các tổ chức tự quản lý tư nhân để tiến hành việc quản lý và điều hành hàng ngày các thị trường chứng khoán của Hoa Kỳ, dưới sự giám sát chặt chẽ của Ủy ban Giao dịch và Chứng khoán Hoa Kỳ ("SEC"). SEC đã cho phép NASD giao phó các chức năng SRO của mình cho NASDAQ để vận hành và duy trì thị trường chứng khoán NASDAQ. </w:t>
      </w:r>
      <w:r>
        <w:rPr>
          <w:b w:val="0"/>
          <w:i/>
        </w:rPr>
        <w:t>Xem</w:t>
      </w:r>
      <w:r>
        <w:rPr>
          <w:b w:val="0"/>
          <w:i w:val="0"/>
        </w:rPr>
        <w:t xml:space="preserve"> SEC Release No. 34-39326, Order Approving the Plan of Allocation and Delegation of Functions by NASD to Subsidiaries, 62 Fed. Reg. 62,385 (ngày 21 tháng 11 năm 1997). Do đó, NASDAQ đóng vai trò là một SRO theo nghĩa của Đạo luật Giao dịch Chứng khoán, 15 U.S.C. § 78c(a) (26), trao cho nó nhiều chức năng xét xử, quản lý và truy tố khác nhau, bao gồm việc thực hiện và đảm bảo tuân thủ luật chứng khoán; ban hành và thực thi các quy tắc điều chỉnh hành vi của các thành viên; và niêm yết và hủy niêm yết các đợt chào bán cổ phiếu. </w:t>
      </w:r>
      <w:r>
        <w:rPr>
          <w:b w:val="0"/>
          <w:i/>
        </w:rPr>
        <w:t>Xem</w:t>
      </w:r>
      <w:r>
        <w:rPr>
          <w:b w:val="0"/>
          <w:i w:val="0"/>
        </w:rPr>
        <w:t xml:space="preserve"> 15 U.S.C. §§ 78c(a) (26), 78f(b), 78s(g); 15 U.S.C. § 78f(d); 59 Fed. Reg. 29834, 29843 (1994). Đồng thời, với tư cách là một công ty tư nhân, NASDAQ có thể tham gia vào nhiều hoạt động phi chính phủ phục vụ lợi ích kinh doanh tư nhân của mình, chẳng hạn như nỗ lực tăng khối lượng giao dịch và lợi nhuận công ty, cũng như việc quản lý và điều hành hàng ngày các công việc kinh doanh khác. Thật vậy, mặc dù SEC đã trao rõ ràng các chức năng quản lý cho các SRO, bản thân SEC cũng nhận thức rằng các SRO có tình trạng kép vừa là cơ quan bán quản lý vừa là doanh nghiệp tư nhân.</w:t>
      </w:r>
    </w:p>
    <w:p>
      <w:pPr>
        <w:spacing w:after="80"/>
      </w:pPr>
      <w:r>
        <w:rPr>
          <w:b w:val="0"/>
          <w:i w:val="0"/>
        </w:rPr>
        <w:t xml:space="preserve">Bởi vì họ thực hiện nhiều chức năng chính phủ quan trọng, nhưng thiếu quyền miễn trừ chủ quyền mà các cơ quan chính phủ được hưởng, các SRO được bảo vệ bằng quyền miễn trừ tuyệt đối khi họ thực hiện các chức năng xét xử, quản lý và truy tố được giao theo luật định. </w:t>
      </w:r>
      <w:r>
        <w:rPr>
          <w:b w:val="0"/>
          <w:i/>
        </w:rPr>
        <w:t>Xem</w:t>
      </w:r>
      <w:r>
        <w:rPr>
          <w:b w:val="0"/>
          <w:i w:val="0"/>
        </w:rPr>
        <w:t xml:space="preserve"> Barbara v. New York Stock Exch., 99 F.3d 49, 59 (2d Cir. 1996); Austin Mun. Sec., Inc. v. Nat'l Ass'n of Sec. Dealers, Inc., 757 F.2d 676, 692 (5th Cir. 1985); Sparta Surgical Corp. v. Nat'l Ass'n of Sec. Dealers, Inc., 159 F.3d 1209, 1215 (9th Cir. 1998); Zandford v. NASD, 80 F.3d 559, 1996 U.S. App. LEXIS 4574, at*2–3 (D.C. Cir. 1996). Tuy nhiên, các thực thể được hưởng quyền miễn trừ tuyệt đối khi thực hiện các chức năng chính phủ không thể yêu cầu quyền miễn trừ đó khi họ thực hiện các chức năng phi chính phủ. Ví dụ, các công ty thành phố có thể được hưởng cùng mức miễn trừ như chính phủ khi "hành động với tư cách chính phủ của họ. . . . Khi, tuy nhiên, họ không hành động trong việc thực hiện các chức năng thuần túy chính phủ của mình, mà đang thực hiện các nhiệm vụ liên quan đến việc thực hiện các đặc quyền, quyền hạn và đặc ân tư nhân thuộc về họ vì lợi ích công ty của chính họ, . . . thì một quy tắc trách nhiệm khác được áp dụng và họ thường được coi là chịu trách nhiệm về những thiệt hại phát sinh từ các hành vi cẩu thả hoặc thiếu sót của mình ở cùng mức độ như một công ty tư nhân trong hoàn cảnh tương tự." Owen v. City of Independence, 445 U.S. 622, 645 n.27 (trích dẫn W. Williams, Liability of Municipal Corporations for Tort § 4, at 9 (1901)). Tính chất kép của các SRO vừa là công ty tư nhân vừa thực hiện các chức năng chính phủ tương tự như tính chất của các công ty thành phố.</w:t>
      </w:r>
    </w:p>
    <w:p>
      <w:pPr>
        <w:spacing w:after="80"/>
      </w:pPr>
      <w:r>
        <w:rPr>
          <w:b w:val="0"/>
          <w:i w:val="0"/>
        </w:rPr>
        <w:t xml:space="preserve">Do đó, "[c]hắc chắn rằng, các tổ chức tự quản lý không được hưởng quyền miễn trừ hoàn toàn khỏi các vụ kiện." Sparta, 159 F.3d at 1214. Chỉ khi một SRO "hành động dưới sự bảo trợ của thẩm quyền được giao theo Đạo luật Giao dịch" thì nó mới được hưởng đặc quyền đó. Id. Quyền miễn trừ tuyệt đối không phù hợp trừ khi hành vi liên quan cấu thành chức năng truy tố, quản lý hoặc kỷ luật bán chính phủ được giao. </w:t>
      </w:r>
      <w:r>
        <w:rPr>
          <w:b w:val="0"/>
          <w:i/>
        </w:rPr>
        <w:t>Xem</w:t>
      </w:r>
      <w:r>
        <w:rPr>
          <w:b w:val="0"/>
          <w:i w:val="0"/>
        </w:rPr>
        <w:t xml:space="preserve"> D'Alessio v. New York Stock Exch., Inc., 258 F.3d 93, 105 (2d Cir. 2001) ("một SRO, chẳng hạn như [Sở giao dịch chứng khoán New York], có thể được hưởng quyền miễn trừ khỏi vụ kiện đối với hành vi nằm trong phạm vi các chức năng quản lý và giám sát chung của SRO") (nhấn mạnh được thêm vào); xem thêm Austin, 757 F.2d at 692 ("NASD được hưởng quyền miễn trừ tuyệt đối cho vai trò của mình trong việc kỷ luật các thành viên và cộng sự của mình."); Barbara, 99 F.3d at 59 (quyền miễn trừ tuyệt đối được cấp trong vụ kiện phát sinh từ hành động kỷ luật đối với nhân viên của thành viên sở giao dịch); Sparta, 159 F.3d at 1215 (phán quyết rằng quyết định đình chỉ giao dịch là "một chức năng quản lý được bao bọc trong quyền miễn trừ").</w:t>
      </w:r>
    </w:p>
    <w:p>
      <w:pPr>
        <w:spacing w:after="80"/>
      </w:pPr>
      <w:r>
        <w:rPr>
          <w:b w:val="0"/>
          <w:i w:val="0"/>
        </w:rPr>
        <w:t>Hơn nữa, vì pháp luật ưu tiên việc cung cấp biện pháp khắc phục hợp pháp cho các bên bị thiệt hại, nên việc cấp quyền miễn trừ phải được giải thích theo nghĩa hẹp; nghĩa là, tòa án phải “cẩn thận không mở rộng phạm vi bảo vệ vượt quá mức mà các mục đích của nó đòi hỏi.” Forrester v. White, 484 U.S. 219, 224, 108 S. Ct. 538, 98 L. Ed. 2d 555 (1988); xem thêm Owen, 445 U.S. at 645 n.28 (1980) (trích dẫn bị lược bỏ). Do đó, vì quyền miễn trừ chỉ thích hợp khi một SRO đang thực hiện các chức năng quản lý, xét xử hoặc truy tố mà nếu không thì sẽ do một cơ quan chính phủ thực hiện, nên suy ra rằng quyền miễn trừ tuyệt đối phải đồng phạm vi với việc SRO thực hiện một chức năng chính phủ. Khi một SRO không thực hiện chức năng thuần túy mang tính quản lý, xét xử hoặc truy tố, mà thay vào đó hành động vì lợi ích riêng của mình với tư cách là một thực thể tư nhân, thì quyền miễn trừ tuyệt đối khỏi bị kiện sẽ không còn được áp dụng. Để xác định liệu hành vi của một SRO có mang tính bán chính phủ hay không, chúng ta xem xét bản chất khách quan và chức năng của hoạt động mà SRO đang tìm cách yêu cầu quyền miễn trừ. Phép thử không phải là ý định hay động cơ chủ quan của SRO, Bogan v. Scott-Harris, 523 U.S. 44, 54, 118 S. Ct. 966, 140 L. Ed. 2d 79 (1998) (lưu ý rằng câu hỏi liệu quyền miễn trừ tuyệt đối cho một hành vi lập pháp có được áp dụng hay không “phụ thuộc vào bản chất của hành vi, chứ không phải vào động cơ hay ý định” của bên thực hiện hành vi đó), mặc dù có thể có một số tương quan giữa động cơ và ý định với chức năng đang được thực hiện.</w:t>
      </w:r>
    </w:p>
    <w:p>
      <w:pPr>
        <w:spacing w:after="80"/>
      </w:pPr>
      <w:r>
        <w:rPr>
          <w:b w:val="0"/>
          <w:i w:val="0"/>
        </w:rPr>
        <w:t xml:space="preserve">NASDAQ cho rằng, vì nó phục vụ các chức năng quản lý quan trọng, chúng ta nên áp dụng một quy tắc theo đó một SRO sẽ được miễn trừ tuyệt đối cho mọi hoạt động “phù hợp với” các quyền hạn và chức năng của nó theo Exchange Act và các quy định của SEC. Theo quan điểm của NASDAQ, ngay cả những quảng cáo nhằm thúc đẩy việc bán một cổ phiếu cụ thể và không phục vụ bất kỳ chức năng quản lý nào cũng sẽ được che chở bởi quyền miễn trừ tuyệt đối, bởi vì quảng cáo là “phù hợp với” vai trò SRO của NASDAQ. Khi thúc đẩy phép thử rộng rãi này, NASDAQ lập luận rằng đó là tiêu chuẩn được Second Circuit tuân theo trong </w:t>
      </w:r>
      <w:r>
        <w:rPr>
          <w:b w:val="0"/>
          <w:i/>
        </w:rPr>
        <w:t>D'Alessio</w:t>
      </w:r>
      <w:r>
        <w:rPr>
          <w:b w:val="0"/>
          <w:i w:val="0"/>
        </w:rPr>
        <w:t xml:space="preserve"> và chúng ta nên tuân theo phán quyết của nó. Chúng tôi thấy lập luận này không thuyết phục. Thứ nhất, </w:t>
      </w:r>
      <w:r>
        <w:rPr>
          <w:b w:val="0"/>
          <w:i/>
        </w:rPr>
        <w:t>D'Alessio</w:t>
      </w:r>
      <w:r>
        <w:rPr>
          <w:b w:val="0"/>
          <w:i w:val="0"/>
        </w:rPr>
        <w:t xml:space="preserve"> không đề cập đến loại hành vi đang được bàn đến trong vụ án này. Tòa án trong </w:t>
      </w:r>
      <w:r>
        <w:rPr>
          <w:b w:val="0"/>
          <w:i/>
        </w:rPr>
        <w:t>D'Alessio</w:t>
      </w:r>
      <w:r>
        <w:rPr>
          <w:b w:val="0"/>
          <w:i w:val="0"/>
        </w:rPr>
        <w:t xml:space="preserve"> đã cấp quyền miễn trừ tuyệt đối cho một SRO khi đơn kiện trong vụ đó liên quan đến các cáo buộc về “việc thực hiện không đúng các chức năng giải thích, thực thi và chuyển giao của nó” liên quan đến việc đình chỉ một nhà môi giới—một trách nhiệm quản lý cốt lõi được SEC giao phó cho các SRO. </w:t>
      </w:r>
      <w:r>
        <w:rPr>
          <w:b w:val="0"/>
          <w:i/>
        </w:rPr>
        <w:t>D'Alessio</w:t>
      </w:r>
      <w:r>
        <w:rPr>
          <w:b w:val="0"/>
          <w:i w:val="0"/>
        </w:rPr>
        <w:t xml:space="preserve"> , 258 F.3d at 105–106. Thứ hai, NASDAQ trình bày không chính xác ngôn từ của </w:t>
      </w:r>
      <w:r>
        <w:rPr>
          <w:b w:val="0"/>
          <w:i/>
        </w:rPr>
        <w:t>D'Alessio</w:t>
      </w:r>
      <w:r>
        <w:rPr>
          <w:b w:val="0"/>
          <w:i w:val="0"/>
        </w:rPr>
        <w:t xml:space="preserve"> để đi đến phép thử “phù hợp với </w:t>
      </w:r>
      <w:r>
        <w:rPr>
          <w:b w:val="0"/>
          <w:i/>
        </w:rPr>
        <w:t>D'Alessio</w:t>
      </w:r>
      <w:r>
        <w:rPr>
          <w:b w:val="0"/>
          <w:i w:val="0"/>
        </w:rPr>
        <w:t xml:space="preserve"> , 258 F.3d at 105–106” mà nó thúc đẩy. Mặc dù đúng là </w:t>
      </w:r>
      <w:r>
        <w:rPr>
          <w:b w:val="0"/>
          <w:i/>
        </w:rPr>
        <w:t>D'Alessio</w:t>
      </w:r>
      <w:r>
        <w:rPr>
          <w:b w:val="0"/>
          <w:i w:val="0"/>
        </w:rPr>
        <w:t xml:space="preserve"> đã phán quyết rằng một SRO “được hưởng quyền miễn trừ khỏi bị kiện khi nó tham gia vào hành vi phù hợp với các quyền hạn bán chính phủ được giao phó cho nó. . .,” nhưng nó đã làm rõ rằng điều này chỉ đúng khi một SRO đang “hành động với tư cách là một SRO.” </w:t>
      </w:r>
      <w:r>
        <w:rPr>
          <w:b w:val="0"/>
          <w:i/>
        </w:rPr>
        <w:t>D'Alessio</w:t>
      </w:r>
      <w:r>
        <w:rPr>
          <w:b w:val="0"/>
          <w:i w:val="0"/>
        </w:rPr>
        <w:t xml:space="preserve"> , 258 F.3d at 106 (nhấn mạnh được thêm vào). Do đó, trái với các khẳng định của NASDAQ, </w:t>
      </w:r>
      <w:r>
        <w:rPr>
          <w:b w:val="0"/>
          <w:i/>
        </w:rPr>
        <w:t>D'Alessio</w:t>
      </w:r>
      <w:r>
        <w:rPr>
          <w:b w:val="0"/>
          <w:i w:val="0"/>
        </w:rPr>
        <w:t xml:space="preserve"> không áp dụng phép thử này “bất cứ khi nào” các SRO tham gia vào hành vi đơn thuần “phù hợp với” quyền hạn của chúng. (NASDAQ's Reply Brief p. 16) (nhấn mạnh được thêm vào).</w:t>
      </w:r>
    </w:p>
    <w:p>
      <w:pPr>
        <w:spacing w:after="80"/>
      </w:pPr>
      <w:r>
        <w:rPr>
          <w:b w:val="0"/>
          <w:i w:val="0"/>
        </w:rPr>
        <w:t xml:space="preserve">Thật vậy, mọi vụ án đã xác định một SRO được miễn trừ tuyệt đối khỏi bị kiện đều làm như vậy đối với các hoạt động liên quan đến việc SRO thực hiện các nhiệm vụ quản lý, xét xử hoặc truy tố thay cho SEC. </w:t>
      </w:r>
      <w:r>
        <w:rPr>
          <w:b w:val="0"/>
          <w:i/>
        </w:rPr>
        <w:t>Xem</w:t>
      </w:r>
      <w:r>
        <w:rPr>
          <w:b w:val="0"/>
          <w:i w:val="0"/>
        </w:rPr>
        <w:t xml:space="preserve"> Sparta Surgical Corp. v. Nat'l Ass'n of Sec. Dealers, Inc., 159 F.3d 1209, 1213–15 (9th Cir. 1998) (quyết định đình chỉ giao dịch và hủy niêm yết cổ phiếu của một công ty); D'Alessio v. New York Stock Exch., Inc., 258 F.3d 93, 104–06 (2d Cir. 2001) (quyết định kỷ luật cấm một nhà giao dịch khỏi sàn NYSE); Barbara v. New York Stock Exch., Inc., 99 F.3d 49, 58–59 (2d Cir. 1996) (hành vi trong việc thực hiện quyết định kỷ luật); DL Capital Group, LLC v. Nasdaq Stock Mkt., Inc., 409 F.3d 93, 97–100 (2d Cir. 2005) (quyết định đình chỉ giao dịch một chứng khoán, hủy một số giao dịch nhất định và công bố những hành động này); Dexter v. Depository Trust &amp; Clearing Corp., 406 F. Supp. 2d 260, 263–64 (S.D.N.Y. 2005), aff'd, 219 Fed. Appx. 91, 2007 WL 689542 (2d Cir. 2007) (quyết định ấn định ngày không hưởng cổ tức). Do đó, chúng tôi thấy </w:t>
      </w:r>
      <w:r>
        <w:rPr>
          <w:b w:val="0"/>
          <w:i/>
        </w:rPr>
        <w:t>D'Alessio</w:t>
      </w:r>
      <w:r>
        <w:rPr>
          <w:b w:val="0"/>
          <w:i w:val="0"/>
        </w:rPr>
        <w:t xml:space="preserve"> không thể áp dụng và theo đây bác bỏ một tiêu chuẩn sẽ cấp cho các SRO quyền miễn trừ tuyệt đối cho mọi hoạt động chỉ đơn thuần “phù hợp với” các quyền hạn được giao phó của chúng.</w:t>
      </w:r>
    </w:p>
    <w:p>
      <w:pPr>
        <w:spacing w:after="80"/>
      </w:pPr>
      <w:r>
        <w:rPr>
          <w:b w:val="0"/>
          <w:i w:val="0"/>
        </w:rPr>
        <w:t>Do đó, giờ đây chúng ta chuyển sang đơn kiện của Weissman để xem xét bản chất và chức năng các hành vi của NASDAQ như được cáo buộc trong đó. Đơn kiện cáo buộc hành vi sau đây:</w:t>
      </w:r>
    </w:p>
    <w:p>
      <w:pPr>
        <w:spacing w:after="80"/>
      </w:pPr>
      <w:r>
        <w:rPr>
          <w:b w:val="0"/>
          <w:i w:val="0"/>
        </w:rPr>
        <w:t xml:space="preserve">NASDAQ đã tán dương, tiếp thị, quảng cáo và quảng bá WorldCom, xuyên tạc nó như một công ty tốt và một khoản đầu tư đáng giá, đồng thời phát tán các báo cáo tài chính gian lận của nó, mà không tiết lộ rằng, </w:t>
      </w:r>
      <w:r>
        <w:rPr>
          <w:b w:val="0"/>
          <w:i/>
        </w:rPr>
        <w:t>inter alia:</w:t>
      </w:r>
    </w:p>
    <w:p>
      <w:pPr>
        <w:spacing w:after="80"/>
      </w:pPr>
      <w:r>
        <w:rPr>
          <w:b w:val="0"/>
          <w:i w:val="0"/>
        </w:rPr>
        <w:t>(i) Các Bị đơn đã tham gia vào một quan hệ đối tác với WorldCom để thúc đẩy việc bán chứng khoán của nó nhằm tạo ra khối lượng giao dịch và thu nhập cho các Bị đơn;</w:t>
      </w:r>
    </w:p>
    <w:p>
      <w:pPr>
        <w:spacing w:after="80"/>
      </w:pPr>
      <w:r>
        <w:rPr>
          <w:b w:val="0"/>
          <w:i w:val="0"/>
        </w:rPr>
        <w:t>(ii) Các Bị đơn đã không xem xét các báo cáo tài chính gian lận của WorldCom mà họ đã phát tán, do đó hỗ trợ cho việc thực hiện vụ gian lận doanh nghiệp lớn nhất trong lịch sử Hoa Kỳ;</w:t>
      </w:r>
    </w:p>
    <w:p>
      <w:pPr>
        <w:spacing w:after="80"/>
      </w:pPr>
      <w:r>
        <w:rPr>
          <w:b w:val="0"/>
          <w:i w:val="0"/>
        </w:rPr>
        <w:t>(iii) Các Bị đơn trực tiếp và gián tiếp thu lợi từ việc bán Cổ phiếu WorldCom cho Nguyên đơn; [và]</w:t>
      </w:r>
    </w:p>
    <w:p>
      <w:pPr>
        <w:spacing w:after="80"/>
      </w:pPr>
      <w:r>
        <w:rPr>
          <w:b w:val="0"/>
          <w:i w:val="0"/>
        </w:rPr>
        <w:t>(iv) WorldCom đã không tuân thủ các yêu cầu niêm yết của N[ASDAQ]. . . .</w:t>
      </w:r>
    </w:p>
    <w:p>
      <w:pPr>
        <w:spacing w:after="80"/>
      </w:pPr>
      <w:r>
        <w:rPr>
          <w:b w:val="0"/>
          <w:i w:val="0"/>
        </w:rPr>
        <w:t>Khi mua cổ phiếu của WorldCom, Nguyên đơn đã dựa vào quảng cáo của NASDAQ, vốn đã quảng cáo lặp đi lặp lại WorldCom như một “công ty tăng trưởng thành công”. Ví dụ, xuất hiện trong các chương trình giờ vàng lớn như West Wing và MSNBC News với Brian Williams, NASDAQ đã chạy các đoạn quảng cáo truyền hình cho 100 Index Trust của mình, thường được biết đến với tên QQQ. . . . Các quảng cáo giới thiệu một nhóm các công ty được bao gồm trong quỹ tín thác, cụ thể là bao gồm và hiển thị WorldCom. Thông điệp chính là những công ty thành công nhất, được săn đón nhiều nhất thế giới có thể được tìm thấy trên thị trường chứng khoán N[ASDAQ]. (Đơn kiện P 61)</w:t>
      </w:r>
    </w:p>
    <w:p>
      <w:pPr>
        <w:spacing w:after="80"/>
      </w:pPr>
      <w:r>
        <w:rPr>
          <w:b w:val="0"/>
          <w:i w:val="0"/>
        </w:rPr>
        <w:t xml:space="preserve">Nhằm trấn an thị trường sau vụ gian lận Enron, vào ngày 11 tháng 4 năm 2002, NASDAQ đã đăng một quảng cáo trải rộng hai trang đầy đủ trên Wall Street Journal thảo luận về niềm tin của mình vào nhu cầu các công ty niêm yết trên N[ASDAQ] phải cung cấp báo cáo tài chính chính xác theo Các Nguyên tắc Kế toán Được Chấp nhận Chung (“GAAP”), “được hỗ trợ bởi một Ủy ban Kiểm toán Am hiểu”. Trên một trang là hình ảnh bảng mã chứng khoán N[ASDAQ] với khẩu hiệu “Những Trách nhiệm Chúng ta Đều Chia sẻ”. Trên trang đối diện, dưới tiêu đề “Giữ Thị trường của Chúng ta Chân thực—Tất cả là về Phẩm chất”, là danh sách các giám đốc điều hành của các công ty “tốt” niêm yết trên N[ASDAQ] dưới tiêu đề phụ “Niềm tin của Chúng ta Sánh vai cùng Những Công ty Tốt”. Được liệt kê dưới đó như một người ủng hộ các mục tiêu của N[ASDAQ] này là “Bernard J. Ebbers, Chủ tịch và Giám đốc Điều hành WorldCom, Inc.” Thông điệp được ngầm truyền tải bởi quảng cáo là WorldCom và CEO của nó được NASDAQ chứng thực là, </w:t>
      </w:r>
      <w:r>
        <w:rPr>
          <w:b w:val="0"/>
          <w:i/>
        </w:rPr>
        <w:t>inter alia</w:t>
      </w:r>
      <w:r>
        <w:rPr>
          <w:b w:val="0"/>
          <w:i w:val="0"/>
        </w:rPr>
        <w:t xml:space="preserve"> , có phẩm chất tốt, kế toán được thực hiện theo GAAP, và một ủy ban kiểm toán khả thi theo các yêu cầu niêm yết của N[ASDAQ]. Nguyên đơn đã dựa vào sự chứng thực này vào ngày hôm sau khi mua thêm cổ phiếu của WorldCom trong khi giá của nó tiếp tục lao dốc. (Đơn kiện P 62; xem thêm Đơn kiện P 96).</w:t>
      </w:r>
    </w:p>
    <w:p>
      <w:pPr>
        <w:spacing w:after="80"/>
      </w:pPr>
      <w:r>
        <w:rPr>
          <w:b w:val="0"/>
          <w:i w:val="0"/>
        </w:rPr>
        <w:t>Như đã lưu ý trước đó, khi quyết định liệu NASDAQ có được hưởng quyền miễn trừ tuyệt đối hay không, chúng ta xem xét bản chất và chức năng các hành vi của NASDAQ như được cáo buộc trong đơn kiện. Chúng tôi không thể tìm thấy bất kỳ chức năng bán chính phủ nào được phục vụ bởi các quảng cáo ở đây. Các cáo buộc không liên quan đến trách nhiệm được giao phó theo luật định của NASDAQ là “ngăn chặn các hành vi gian lận và thao túng . . .”, “thúc đẩy các nguyên tắc thương mại công bằng và chính đáng”, “loại bỏ các trở ngại đối với và hoàn thiện” thị trường tự do, hoặc “bảo vệ nhà đầu tư và lợi ích công chúng.” 15 U.S.C. § 78o-3(b)(6). Các quảng cáo cụ thể được đơn kiện cáo buộc không hề đồng phạm vi với hoạt động quản lý mà Exchange Act dự liệu. Hành vi này là hoạt động kinh doanh tư nhân, và “[k]hi tiến hành kinh doanh tư nhân, [các SRO] vẫn phải chịu trách nhiệm.” Sparta, 159 F.3d at 1214. NASDAQ không đại diện cho ai ngoài chính mình khi nó dụ dỗ các nhà đầu tư giao dịch trên sàn của mình và, cụ thể là, khi nó gợi ý rằng những công ty cụ thể là những khoản đầu tư vững chắc.</w:t>
      </w:r>
    </w:p>
    <w:p>
      <w:pPr>
        <w:spacing w:after="80"/>
      </w:pPr>
      <w:r>
        <w:rPr>
          <w:b w:val="0"/>
          <w:i w:val="0"/>
        </w:rPr>
        <w:t>Là một công ty tư nhân, NASDAQ đăng một số quảng cáo mà tự bản chất phục vụ chức năng quảng bá một số cổ phiếu nhất định xuất hiện trên sàn của mình nhằm tăng khối lượng giao dịch và, kết quả là, lợi nhuận công ty. Ngay cả khi địa vị của NASDAQ như một thực thể kiếm tiền không loại trừ quyền miễn trừ tuyệt đối cho bất kỳ số lượng hoạt động nào của nó, thì các quảng cáo trên truyền hình và báo chí của nó không thể luôn được cho là trực tiếp thúc đẩy các nhiệm vụ quản lý của nó theo Securities Exchange Act. Những quảng cáo này—qua giọng điệu và nội dung của chúng—phục vụ cho hoạt động kinh doanh của chính NASDAQ, chứ không phải của chính phủ, và hành vi rõ ràng phi chính phủ như vậy không được bảo vệ bởi quyền miễn trừ tuyệt đối.</w:t>
      </w:r>
    </w:p>
    <w:p>
      <w:pPr>
        <w:spacing w:after="80"/>
      </w:pPr>
      <w:r>
        <w:rPr>
          <w:b w:val="0"/>
          <w:i w:val="0"/>
        </w:rPr>
        <w:t>Vì chúng tôi kết luận rằng hoạt động quảng cáo của NASDAQ được cáo buộc trong vụ án này không phục vụ chức năng xét xử, quản lý hoặc truy tố, nên việc tòa án quận từ chối quyền miễn trừ tuyệt đối cho NASDAQ đối với các quảng cáo được mô tả trong vụ án này được GIỮ NGUYÊN.</w:t>
      </w:r>
    </w:p>
    <w:p>
      <w:pPr>
        <w:pStyle w:val="Heading5"/>
      </w:pPr>
      <w:r>
        <w:rPr>
          <w:rFonts w:ascii="Calibri" w:hAnsi="Calibri"/>
          <w:b/>
          <w:i/>
          <w:sz w:val="22"/>
        </w:rPr>
        <w:t>Bình luận và Câu hỏi</w:t>
      </w:r>
    </w:p>
    <w:p>
      <w:pPr>
        <w:spacing w:after="80"/>
      </w:pPr>
      <w:r>
        <w:rPr>
          <w:b w:val="0"/>
          <w:i w:val="0"/>
        </w:rPr>
        <w:t>1. Tòa án lưu ý sự phân biệt, cho mục đích miễn trừ, giữa chức năng quản lý và chức năng phi quản lý. Liệu vụ án này có làm rõ sự phân biệt đó không? Bạn có thể đưa ra một lập luận trong vụ án này rằng hành vi sai trái được cáo buộc thực tế liên quan đến một chức năng quản lý không?</w:t>
      </w:r>
    </w:p>
    <w:p>
      <w:pPr>
        <w:spacing w:after="80"/>
      </w:pPr>
      <w:r>
        <w:rPr>
          <w:b w:val="0"/>
          <w:i w:val="0"/>
        </w:rPr>
        <w:t>2. Thực tế, ý kiến bất đồng trong vụ án đồng tình với tuyên bố của luật nhưng không đồng tình với việc áp dụng luật vào các tình tiết. Ý kiến lập luận rằng vụ kiện sẽ “tất yếu làm tê liệt khả năng của một SRO trong việc giao tiếp với thị trường” và khiến họ sợ “không bao giờ dám nhắc đến tên của một công ty, vì sợ rằng hành động đó sau này sẽ bị coi là quảng cáo.” Bạn nghĩ gì về mối lo ngại này?</w:t>
      </w:r>
    </w:p>
    <w:p>
      <w:pPr>
        <w:spacing w:after="80"/>
      </w:pPr>
      <w:r>
        <w:rPr>
          <w:b w:val="0"/>
          <w:i w:val="0"/>
        </w:rPr>
        <w:t>3. Việc Nasdaq và NYSE hoạt động vì lợi nhuận có làm tăng nguy cơ xảy ra những loại vụ kiện này không? Tại sao?</w:t>
      </w:r>
    </w:p>
    <w:p>
      <w:pPr>
        <w:spacing w:after="80"/>
      </w:pPr>
      <w:r>
        <w:rPr>
          <w:b w:val="0"/>
          <w:i w:val="0"/>
        </w:rPr>
        <w:t>—————</w:t>
      </w:r>
    </w:p>
    <w:p>
      <w:pPr>
        <w:pStyle w:val="Heading4"/>
      </w:pPr>
      <w:r>
        <w:rPr>
          <w:rFonts w:ascii="Calibri" w:hAnsi="Calibri"/>
          <w:b/>
          <w:i w:val="0"/>
          <w:sz w:val="23"/>
        </w:rPr>
        <w:t>In re Facebook, Inc. IPO Securities and Derivative Litigation</w:t>
      </w:r>
    </w:p>
    <w:p>
      <w:pPr>
        <w:spacing w:after="80"/>
      </w:pPr>
      <w:r>
        <w:rPr>
          <w:b w:val="0"/>
          <w:i w:val="0"/>
        </w:rPr>
        <w:t>Tòa án Quận Hoa Kỳ, Quận Nam New York</w:t>
      </w:r>
      <w:r>
        <w:br/>
      </w:r>
      <w:r>
        <w:rPr>
          <w:b w:val="0"/>
          <w:i w:val="0"/>
        </w:rPr>
        <w:t xml:space="preserve"> 986 F.Supp.2d 428 (2013)</w:t>
      </w:r>
    </w:p>
    <w:p>
      <w:pPr>
        <w:spacing w:after="80"/>
      </w:pPr>
      <w:r>
        <w:rPr>
          <w:b w:val="0"/>
          <w:i w:val="0"/>
        </w:rPr>
        <w:t>SWEET, THẨM PHÁN QUẬN:</w:t>
      </w:r>
    </w:p>
    <w:p>
      <w:pPr>
        <w:spacing w:after="80"/>
      </w:pPr>
      <w:r>
        <w:rPr>
          <w:b w:val="0"/>
          <w:i w:val="0"/>
        </w:rPr>
        <w:t>Facebook là một công ty mạng xã hội toàn cầu, chuyên: (i) xây dựng các công cụ cho phép người dùng kết nối, chia sẻ, khám phá và giao tiếp với nhau; (ii) cho phép các nhà phát triển xây dựng các ứng dụng xã hội của Facebook hoặc tích hợp trang web của họ với Facebook; và (iii) cung cấp các sản phẩm cho phép các nhà quảng cáo và nhà tiếp thị tương tác với người dùng của mình. Tính đến ngày 2 tháng 2 năm 2012, Facebook có 845 triệu người dùng hàng tháng và 443 triệu người dùng hàng ngày.</w:t>
      </w:r>
    </w:p>
    <w:p>
      <w:pPr>
        <w:spacing w:after="80"/>
      </w:pPr>
      <w:r>
        <w:rPr>
          <w:b w:val="0"/>
          <w:i w:val="0"/>
        </w:rPr>
        <w:t>Vào ngày 1 tháng 2 năm 2012, để chuẩn bị cho đợt IPO của mình, Facebook đã nộp một bản đăng ký Form S-1 lên SEC. Facebook sau đó đã sửa đổi bản đăng ký này nhiều lần, trước khi nộp Form S-1/A cuối cùng vào ngày 16 tháng 5 năm 2012 (“Bản đăng ký”). Vào ngày 18 tháng 5 năm 2012, Facebook cũng đã nộp một Bản cáo bạch Form 424(b)(4) (“Bản cáo bạch”) liên quan đến đợt IPO.</w:t>
      </w:r>
    </w:p>
    <w:p>
      <w:pPr>
        <w:spacing w:after="80"/>
      </w:pPr>
      <w:r>
        <w:rPr>
          <w:b w:val="0"/>
          <w:i w:val="0"/>
        </w:rPr>
        <w:t>NASDAQ OMX là một công ty đại chúng toàn cầu có các công ty con sở hữu toàn phần vận hành các sàn giao dịch chứng khoán trên khắp thế giới. (CAC ¶¶63–65.) Một trong những công ty con đó là Sàn giao dịch, hay NASDAQ LLC, đơn vị vận hành Thị trường Chứng khoán NASDAQ tại Hoa Kỳ. (CAC ¶65.) NASDAQ OMX không phải là một tổ chức tự quản (“SRO”). Trong mọi thời điểm liên quan, các Bị đơn Greifeld và Ewing là các quan chức của NASDAQ OMX, không phải của Sàn giao dịch. NASDAQ OMX thường xuyên cạnh tranh để giành các niêm yết mới và thị phần giao dịch tổng thể nhằm tăng doanh thu và lợi nhuận. (CAC ¶¶63–93.) Cụ thể, NASDAQ OMX cạnh tranh với New York Stock Exchange Euronext (“NYSE”), các sàn giao dịch khác và các nhà môi giới-đại lý để đảm bảo các niêm yết chứng khoán mới và tăng thị phần tổng thể trong hoạt động giao dịch. (</w:t>
      </w:r>
      <w:r>
        <w:rPr>
          <w:b w:val="0"/>
          <w:i/>
        </w:rPr>
        <w:t>Id.</w:t>
      </w:r>
      <w:r>
        <w:rPr>
          <w:b w:val="0"/>
          <w:i w:val="0"/>
        </w:rPr>
        <w:t xml:space="preserve"> ¶¶66–69.)</w:t>
      </w:r>
    </w:p>
    <w:p>
      <w:pPr>
        <w:spacing w:after="80"/>
      </w:pPr>
      <w:r>
        <w:rPr>
          <w:b w:val="0"/>
          <w:i w:val="0"/>
        </w:rPr>
        <w:t xml:space="preserve">Sàn giao dịch là một SRO và được đăng ký như một sàn giao dịch chứng khoán quốc gia theo Mục 6 của Đạo luật Giao dịch Chứng khoán. </w:t>
      </w:r>
      <w:r>
        <w:rPr>
          <w:b w:val="0"/>
          <w:i/>
        </w:rPr>
        <w:t>Xem</w:t>
      </w:r>
      <w:r>
        <w:rPr>
          <w:b w:val="0"/>
          <w:i w:val="0"/>
        </w:rPr>
        <w:t xml:space="preserve"> 15 U.S.C. §§ 78f &amp; 78c(a)(26); </w:t>
      </w:r>
      <w:r>
        <w:rPr>
          <w:b w:val="0"/>
          <w:i/>
        </w:rPr>
        <w:t>Findings, Opinion, and Order of the Common,</w:t>
      </w:r>
      <w:r>
        <w:rPr>
          <w:b w:val="0"/>
          <w:i w:val="0"/>
        </w:rPr>
        <w:t xml:space="preserve"> Exch. Act. Rel. No. 53, 128 (Jan. 13, 2006), 71 Fed.Reg. 3,550 (Jan. 23, 2006) (“Lệnh Phê duyệt Đăng ký Sàn giao dịch”). Trước khi cho phép đăng ký một sàn giao dịch làm SRO, SEC phải xác định, trong số những điều khác, rằng sàn giao dịch đó có một bộ quy tắc “phù hợp với các yêu cầu” của Đạo luật Giao dịch Chứng khoán, 15 U.S.C. § 78s(b)(2), và do đó được thiết kế,</w:t>
      </w:r>
    </w:p>
    <w:p>
      <w:pPr>
        <w:spacing w:after="80"/>
      </w:pPr>
      <w:r>
        <w:rPr>
          <w:b w:val="0"/>
          <w:i w:val="0"/>
        </w:rPr>
        <w:t>để ngăn chặn các hành vi và thực tiễn gian lận và thao túng, để thúc đẩy các nguyên tắc thương mại công bằng và hợp lý, để nuôi dưỡng sự hợp tác và phối hợp với những người tham gia vào việc điều tiết, thanh toán bù trừ, giải quyết, xử lý thông tin liên quan đến và tạo điều kiện thuận lợi cho các giao dịch chứng khoán, để loại bỏ các trở ngại đối với và hoàn thiện cơ chế của một thị trường tự do và rộng mở cùng một hệ thống thị trường quốc gia, và nói chung, để bảo vệ nhà đầu tư và lợi ích công chúng. . . .</w:t>
      </w:r>
    </w:p>
    <w:p>
      <w:pPr>
        <w:spacing w:after="80"/>
      </w:pPr>
      <w:r>
        <w:rPr>
          <w:b w:val="0"/>
          <w:i w:val="0"/>
        </w:rPr>
        <w:t xml:space="preserve">15 U.S.C. § 78f(b)(5). Ngoài ra, SEC thực thi việc tuân thủ của các sàn giao dịch đối với Đạo luật Giao dịch Chứng khoán, các quy tắc của SEC và các quy tắc của chính các sàn giao dịch. Do đó, SEC có thể khởi kiện để ngăn chặn bất kỳ hoạt động nào của một sàn giao dịch vi phạm Đạo luật Giao dịch Chứng khoán hoặc bất kỳ quy tắc nào được ban hành theo đó. 15 U.S.C. § 78u(d). SEC cũng có thể đình chỉ hoặc thu hồi đăng ký của một sàn giao dịch, khiển trách nó, hoặc hạn chế các hoạt động, chức năng và vận hành của nó, </w:t>
      </w:r>
      <w:r>
        <w:rPr>
          <w:b w:val="0"/>
          <w:i/>
        </w:rPr>
        <w:t>xem</w:t>
      </w:r>
      <w:r>
        <w:rPr>
          <w:b w:val="0"/>
          <w:i w:val="0"/>
        </w:rPr>
        <w:t xml:space="preserve"> 15 U.S.C. § 78s(h)(1), và có thể cách chức hoặc khiển trách một quan chức hoặc giám đốc của một sàn giao dịch chịu trách nhiệm cho sự thất bại đó. 15 U.S.C. § 78s(h)(4).</w:t>
      </w:r>
    </w:p>
    <w:p>
      <w:pPr>
        <w:spacing w:after="80"/>
      </w:pPr>
      <w:r>
        <w:rPr>
          <w:b w:val="0"/>
          <w:i w:val="0"/>
        </w:rPr>
        <w:t>Vào ngày 18 tháng 5 năm 2012, Facebook đã chào bán 421 triệu cổ phiếu phổ thông của mình ra công chúng với giá $38.00 mỗi cổ phiếu trên sàn giao dịch chứng khoán NASDAQ, qua đó định giá tổng quy mô của đợt IPO ở mức hơn $16 tỷ. Đợt IPO ban đầu được dự kiến mở cửa lúc 11:00 sáng Giờ Chuẩn Miền Đông dưới mã niêm yết NASDAQ “FB,” nhưng đã bị trì hoãn. Vào cuối ngày giao dịch của đợt IPO đầu tiên, cổ phiếu Facebook đóng cửa ở mức $31.00 mỗi cổ phiếu, thấp hơn 18.42% so với giá IPO.</w:t>
      </w:r>
    </w:p>
    <w:p>
      <w:pPr>
        <w:spacing w:after="80"/>
      </w:pPr>
      <w:r>
        <w:rPr>
          <w:b w:val="0"/>
          <w:i w:val="0"/>
        </w:rPr>
        <w:t>Không lâu sau đó, nhiều nguyên đơn đã nộp đơn kiện trên khắp cả nước, đưa ra các khiếu nại về tính đầy đủ của các tiết lộ trước IPO và trong Giai đoạn Tập thể theo luật chứng khoán liên bang, cùng các khiếu nại liên bang và tiểu bang chống lại NASDAQ về những thất bại liên quan đến Đợt chào bán. Tất cả các nguyên đơn đều cáo buộc rằng họ đã chịu một số tổn thất do những sự kiện này, mặc dù các nguyên nhân khởi kiện mà họ đưa ra thì khác nhau.</w:t>
      </w:r>
    </w:p>
    <w:p>
      <w:pPr>
        <w:spacing w:after="80"/>
      </w:pPr>
      <w:r>
        <w:rPr>
          <w:b w:val="0"/>
          <w:i w:val="0"/>
        </w:rPr>
        <w:t>* * *</w:t>
      </w:r>
    </w:p>
    <w:p>
      <w:pPr>
        <w:spacing w:after="80"/>
      </w:pPr>
      <w:r>
        <w:rPr>
          <w:b/>
          <w:i w:val="0"/>
        </w:rPr>
        <w:t>I.</w:t>
      </w:r>
      <w:r>
        <w:rPr>
          <w:b w:val="0"/>
          <w:i w:val="0"/>
        </w:rPr>
        <w:t xml:space="preserve"> </w:t>
      </w:r>
      <w:r>
        <w:rPr>
          <w:b w:val="0"/>
          <w:i/>
        </w:rPr>
        <w:t>Quyền miễn trừ SRO được áp dụng một phần và không áp dụng một phần đối với các cáo buộc của Nguyên đơn</w:t>
      </w:r>
    </w:p>
    <w:p>
      <w:pPr>
        <w:spacing w:after="80"/>
      </w:pPr>
      <w:r>
        <w:rPr>
          <w:b w:val="0"/>
          <w:i w:val="0"/>
        </w:rPr>
        <w:t xml:space="preserve">Như một vấn đề tiên quyết, Các Bị đơn cho rằng tất cả các khiếu nại của Nguyên đơn đều phát sinh từ các hành động đã thực hiện (hoặc không thực hiện) của NASDAQ trong phạm vi trách nhiệm quản lý của mình và do đó bị loại trừ theo quyền miễn trừ SRO (tổ chức tự quản lý), đòi hỏi phải bác bỏ các khiếu nại và khiến mọi sửa đổi đối với CAC (Khiếu nại đã sửa đổi) hoặc mọi yêu cầu dỡ bỏ lệnh tạm dừng thu thập chứng cứ trở nên vô nghĩa. Quyền miễn trừ SRO không chỉ bảo vệ khỏi trách nhiệm pháp lý mà còn khỏi gánh nặng tố tụng, bao gồm cả việc thu thập chứng cứ, và nên được "giải quyết ở giai đoạn sớm nhất có thể trong tố tụng." </w:t>
      </w:r>
      <w:r>
        <w:rPr>
          <w:b w:val="0"/>
          <w:i/>
        </w:rPr>
        <w:t>Hunter v. Bryant,</w:t>
      </w:r>
      <w:r>
        <w:rPr>
          <w:b w:val="0"/>
          <w:i w:val="0"/>
        </w:rPr>
        <w:t xml:space="preserve"> 502 U.S. 224, 227, 112 S.Ct. 534, 116 L.Ed.2d 589 (1991); . . .</w:t>
      </w:r>
    </w:p>
    <w:p>
      <w:pPr>
        <w:spacing w:after="80"/>
      </w:pPr>
      <w:r>
        <w:rPr>
          <w:b w:val="0"/>
          <w:i w:val="0"/>
        </w:rPr>
        <w:t>Vì Các Bị đơn đúng khi cho rằng quyền được miễn trừ sẽ đòi hỏi phải bác bỏ và ngăn cản việc cho phép thu thập chứng cứ thêm hoặc sửa đổi CAC, nên việc xem xét ban đầu liệu các khiếu nại của Nguyên đơn có thuộc quyền miễn trừ SRO hay không là phù hợp.</w:t>
      </w:r>
    </w:p>
    <w:p>
      <w:pPr>
        <w:spacing w:after="80"/>
      </w:pPr>
      <w:r>
        <w:rPr>
          <w:b/>
          <w:i w:val="0"/>
        </w:rPr>
        <w:t>A.</w:t>
      </w:r>
      <w:r>
        <w:rPr>
          <w:b w:val="0"/>
          <w:i w:val="0"/>
        </w:rPr>
        <w:t xml:space="preserve"> </w:t>
      </w:r>
      <w:r>
        <w:rPr>
          <w:b w:val="0"/>
          <w:i/>
        </w:rPr>
        <w:t>Tiêu chuẩn áp dụng</w:t>
      </w:r>
    </w:p>
    <w:p>
      <w:pPr>
        <w:spacing w:after="80"/>
      </w:pPr>
      <w:r>
        <w:rPr>
          <w:b w:val="0"/>
          <w:i w:val="0"/>
        </w:rPr>
        <w:t xml:space="preserve">"Không có gì phải bàn cãi rằng một SRO và các viên chức của nó được hưởng quyền miễn trừ tuyệt đối khỏi các vụ kiện đòi bồi thường thiệt hại tư nhân liên quan đến việc thực hiện trách nhiệm quản lý của mình." </w:t>
      </w:r>
      <w:r>
        <w:rPr>
          <w:b w:val="0"/>
          <w:i/>
        </w:rPr>
        <w:t>Standard Inv. Chartered, Inc. v. Nat'l Ass'n of Sec. Dealers, Inc.,</w:t>
      </w:r>
      <w:r>
        <w:rPr>
          <w:b w:val="0"/>
          <w:i w:val="0"/>
        </w:rPr>
        <w:t xml:space="preserve"> 637 F.3d 112, 115 (2d Cir.2011) (trích dẫn </w:t>
      </w:r>
      <w:r>
        <w:rPr>
          <w:b w:val="0"/>
          <w:i/>
        </w:rPr>
        <w:t>DL Capital Group, LLC v. Nasdaq Stock Mkt., Inc.,</w:t>
      </w:r>
      <w:r>
        <w:rPr>
          <w:b w:val="0"/>
          <w:i w:val="0"/>
        </w:rPr>
        <w:t xml:space="preserve"> 409 F.3d 93, 96 (2d Cir.2005)); . . . Quyền miễn trừ này mở rộng cho cả các hành động khẳng định cũng như các thiếu sót hoặc việc không hành động của SRO. . . .</w:t>
      </w:r>
    </w:p>
    <w:p>
      <w:pPr>
        <w:spacing w:after="80"/>
      </w:pPr>
      <w:r>
        <w:rPr>
          <w:b w:val="0"/>
          <w:i w:val="0"/>
        </w:rPr>
        <w:t xml:space="preserve">Bên khẳng định quyền miễn trừ phải gánh trách nhiệm chứng minh quyền được hưởng của mình. </w:t>
      </w:r>
      <w:r>
        <w:rPr>
          <w:b w:val="0"/>
          <w:i/>
        </w:rPr>
        <w:t>D'Alessio,</w:t>
      </w:r>
      <w:r>
        <w:rPr>
          <w:b w:val="0"/>
          <w:i w:val="0"/>
        </w:rPr>
        <w:t xml:space="preserve"> 258 F.3d at 104. Khi đánh giá khả năng áp dụng quyền miễn trừ tuyệt đối cho một khiếu nại cụ thể, động cơ và tính hợp lý của SRO không được xem xét. . . . Tương tự, việc hành vi bị phàn nàn có tuân thủ luật chứng khoán hay không cũng không liên quan. </w:t>
      </w:r>
      <w:r>
        <w:rPr>
          <w:b w:val="0"/>
          <w:i/>
        </w:rPr>
        <w:t>Xem NYSE Specialists,</w:t>
      </w:r>
      <w:r>
        <w:rPr>
          <w:b w:val="0"/>
          <w:i w:val="0"/>
        </w:rPr>
        <w:t xml:space="preserve"> 503 F.3d at 98 n. 3 ("[C]âu hỏi trọng tâm . . . không phải là liệu SRO có đang hành động (hay không hành động) phù hợp với các luật mà nó được cho là phải áp dụng hay không, mà là liệu các cáo buộc của nguyên đơn có liên quan đến việc thực thi quyền lực trong phạm vi các chức năng chính phủ được giao cho nó hay không.") (bỏ qua các trích dẫn nội bộ).</w:t>
      </w:r>
    </w:p>
    <w:p>
      <w:pPr>
        <w:spacing w:after="80"/>
      </w:pPr>
      <w:r>
        <w:rPr>
          <w:b w:val="0"/>
          <w:i w:val="0"/>
        </w:rPr>
        <w:t xml:space="preserve">Học thuyết này "mang tính chất hiếm hoi và đặc biệt." </w:t>
      </w:r>
      <w:r>
        <w:rPr>
          <w:b w:val="0"/>
          <w:i/>
        </w:rPr>
        <w:t>Barrett v. United States,</w:t>
      </w:r>
      <w:r>
        <w:rPr>
          <w:b w:val="0"/>
          <w:i w:val="0"/>
        </w:rPr>
        <w:t xml:space="preserve"> 798 F.2d 565, 571 (2d Cir.1986) (bỏ qua dấu ngoặc kép nội bộ). Các tòa án xem xét việc viện dẫn quyền miễn trừ tuyệt đối theo từng trường hợp cụ thể, </w:t>
      </w:r>
      <w:r>
        <w:rPr>
          <w:b w:val="0"/>
          <w:i/>
        </w:rPr>
        <w:t>DL Capital Group,</w:t>
      </w:r>
      <w:r>
        <w:rPr>
          <w:b w:val="0"/>
          <w:i w:val="0"/>
        </w:rPr>
        <w:t xml:space="preserve"> 409 F.3d at 97, sử dụng một phép thử chức năng dựa trên việc xem xét "bản chất của chức năng được thực hiện." </w:t>
      </w:r>
      <w:r>
        <w:rPr>
          <w:b w:val="0"/>
          <w:i/>
        </w:rPr>
        <w:t>Forrester v. White,</w:t>
      </w:r>
      <w:r>
        <w:rPr>
          <w:b w:val="0"/>
          <w:i w:val="0"/>
        </w:rPr>
        <w:t xml:space="preserve"> 484 U.S. 219, 229, 108 S.Ct. 538, 98 L.Ed.2d 555 (1988); </w:t>
      </w:r>
      <w:r>
        <w:rPr>
          <w:b w:val="0"/>
          <w:i/>
        </w:rPr>
        <w:t>xem thêm NYSE Specialists,</w:t>
      </w:r>
      <w:r>
        <w:rPr>
          <w:b w:val="0"/>
          <w:i w:val="0"/>
        </w:rPr>
        <w:t xml:space="preserve"> 503 F.3d at 96. Quyền miễn trừ tuyệt đối thuộc về các SRO bất cứ khi nào họ thực thi "các quyền lực bán chính phủ [ ] phù hợp với cấu trúc của thị trường chứng khoán do Quốc hội xây dựng, . . . [nhưng] khi tiến hành hoạt động kinh doanh tư nhân, [một SRO] vẫn phải chịu trách nhiệm pháp lý." </w:t>
      </w:r>
      <w:r>
        <w:rPr>
          <w:b w:val="0"/>
          <w:i/>
        </w:rPr>
        <w:t>Sparta Surgical Corp. v. Nat'l Ass'n of Sec. Dealers, Inc.,</w:t>
      </w:r>
      <w:r>
        <w:rPr>
          <w:b w:val="0"/>
          <w:i w:val="0"/>
        </w:rPr>
        <w:t xml:space="preserve"> 159 F.3d 1209, 1213–15 (9th Cir.1998). Cơ sở biện minh cho quyền miễn trừ này là Quốc hội đã cho phép các SRO thực hiện "một loạt các chức năng quản lý mà trong các hoàn cảnh khác sẽ do chính phủ thực hiện," và rằng chính phủ sẽ được miễn trừ khi thực hiện các chức năng này. </w:t>
      </w:r>
      <w:r>
        <w:rPr>
          <w:b w:val="0"/>
          <w:i/>
        </w:rPr>
        <w:t>Id.</w:t>
      </w:r>
      <w:r>
        <w:rPr>
          <w:b w:val="0"/>
          <w:i w:val="0"/>
        </w:rPr>
        <w:t xml:space="preserve"> Các ví dụ về các chức năng quản lý như vậy khiến một SRO được hưởng quyền miễn trừ bao gồm (1) các thủ tục kỷ luật đối với thành viên sàn giao dịch, </w:t>
      </w:r>
      <w:r>
        <w:rPr>
          <w:b w:val="0"/>
          <w:i/>
        </w:rPr>
        <w:t>Barbara,</w:t>
      </w:r>
      <w:r>
        <w:rPr>
          <w:b w:val="0"/>
          <w:i w:val="0"/>
        </w:rPr>
        <w:t xml:space="preserve"> 99 F.3d at 59; (2) việc thực thi các quy tắc và quy định chứng khoán và giám sát quản lý chung đối với thành viên sàn giao dịch, </w:t>
      </w:r>
      <w:r>
        <w:rPr>
          <w:b w:val="0"/>
          <w:i/>
        </w:rPr>
        <w:t>D'Alessio,</w:t>
      </w:r>
      <w:r>
        <w:rPr>
          <w:b w:val="0"/>
          <w:i w:val="0"/>
        </w:rPr>
        <w:t xml:space="preserve"> 258 F.3d at 106; (3) việc giải thích các luật và quy định chứng khoán khi áp dụng cho sàn giao dịch hoặc các thành viên của nó, </w:t>
      </w:r>
      <w:r>
        <w:rPr>
          <w:b w:val="0"/>
          <w:i/>
        </w:rPr>
        <w:t>id.;</w:t>
      </w:r>
      <w:r>
        <w:rPr>
          <w:b w:val="0"/>
          <w:i w:val="0"/>
        </w:rPr>
        <w:t xml:space="preserve"> (4) việc chuyển các thành viên sàn giao dịch đến SEC và các cơ quan chính phủ khác để thực thi dân sự hoặc truy tố hình sự theo luật chứng khoán, </w:t>
      </w:r>
      <w:r>
        <w:rPr>
          <w:b w:val="0"/>
          <w:i/>
        </w:rPr>
        <w:t>id.;</w:t>
      </w:r>
      <w:r>
        <w:rPr>
          <w:b w:val="0"/>
          <w:i w:val="0"/>
        </w:rPr>
        <w:t xml:space="preserve"> (5) việc công bố công khai các quyết định quản lý, </w:t>
      </w:r>
      <w:r>
        <w:rPr>
          <w:b w:val="0"/>
          <w:i/>
        </w:rPr>
        <w:t>DL Capital Group,</w:t>
      </w:r>
      <w:r>
        <w:rPr>
          <w:b w:val="0"/>
          <w:i w:val="0"/>
        </w:rPr>
        <w:t xml:space="preserve"> 409 F.3d at 98; và (6) việc sửa đổi điều lệ của một SRO khi các sửa đổi đó không thể tách rời khỏi vai trò quản lý của SRO, </w:t>
      </w:r>
      <w:r>
        <w:rPr>
          <w:b w:val="0"/>
          <w:i/>
        </w:rPr>
        <w:t>Standard Inv. Chartered, Inc.,</w:t>
      </w:r>
      <w:r>
        <w:rPr>
          <w:b w:val="0"/>
          <w:i w:val="0"/>
        </w:rPr>
        <w:t xml:space="preserve"> 637 F.3d at 116. "Sợi chỉ chung trong các vụ án này là quyền miễn trừ tuyệt đối gắn liền khi hoạt động liên quan đến sự vận hành đúng đắn của hệ thống quản lý." </w:t>
      </w:r>
      <w:r>
        <w:rPr>
          <w:b w:val="0"/>
          <w:i/>
        </w:rPr>
        <w:t>NYSE Specialists,</w:t>
      </w:r>
      <w:r>
        <w:rPr>
          <w:b w:val="0"/>
          <w:i w:val="0"/>
        </w:rPr>
        <w:t xml:space="preserve"> 503 F.3d at 96 (bỏ qua dấu ngoặc kép và trích dẫn nội bộ). "Thật vậy, mọi vụ án đã phát hiện một SRO được miễn trừ tuyệt đối khỏi kiện tụng đều làm như vậy đối với các hoạt động liên quan đến việc SRO thực hiện các nhiệm vụ quản lý, xét xử hoặc truy tố thay cho SEC." </w:t>
      </w:r>
      <w:r>
        <w:rPr>
          <w:b w:val="0"/>
          <w:i/>
        </w:rPr>
        <w:t>Weissman v. Nat'l Ass'n of Sec. Dealers,</w:t>
      </w:r>
      <w:r>
        <w:rPr>
          <w:b w:val="0"/>
          <w:i w:val="0"/>
        </w:rPr>
        <w:t xml:space="preserve"> 500 F.3d 1293, 1296 (11th Cir.2007) (en banc) (tập hợp các vụ án).</w:t>
      </w:r>
    </w:p>
    <w:p>
      <w:pPr>
        <w:spacing w:after="80"/>
      </w:pPr>
      <w:r>
        <w:rPr>
          <w:b w:val="0"/>
          <w:i w:val="0"/>
        </w:rPr>
        <w:t xml:space="preserve">Các viên chức và chi nhánh của các SRO cũng được che chở tương tự bởi quyền miễn trừ SRO tùy thuộc vào "bản chất của chức năng được thực hiện, không phải danh tính của người thực hiện nó." </w:t>
      </w:r>
      <w:r>
        <w:rPr>
          <w:b w:val="0"/>
          <w:i/>
        </w:rPr>
        <w:t>Forrester,</w:t>
      </w:r>
      <w:r>
        <w:rPr>
          <w:b w:val="0"/>
          <w:i w:val="0"/>
        </w:rPr>
        <w:t xml:space="preserve"> 484 U.S. at 229, 108 S.Ct. 538. Do đó, các viên chức của một SRO được hưởng quyền miễn trừ tuyệt đối khi họ thực sự "'hành động dưới sự bảo trợ' của các nhiệm vụ quản lý của mình." </w:t>
      </w:r>
      <w:r>
        <w:rPr>
          <w:b w:val="0"/>
          <w:i/>
        </w:rPr>
        <w:t>DL Capital,</w:t>
      </w:r>
      <w:r>
        <w:rPr>
          <w:b w:val="0"/>
          <w:i w:val="0"/>
        </w:rPr>
        <w:t xml:space="preserve"> 409 F.3d at 97 (phát hiện CEO Greenfield của NASDAQ được miễn trừ khỏi các khiếu nại của nguyên đơn phát sinh từ việc Sàn giao dịch báo cáo quyết định tạm dừng giao dịch và hủy một số giao dịch nhất định) (trích dẫn </w:t>
      </w:r>
      <w:r>
        <w:rPr>
          <w:b w:val="0"/>
          <w:i/>
        </w:rPr>
        <w:t>Sparta Surgical,</w:t>
      </w:r>
      <w:r>
        <w:rPr>
          <w:b w:val="0"/>
          <w:i w:val="0"/>
        </w:rPr>
        <w:t xml:space="preserve"> 159 F.3d at 1214). Như vậy, NASDAQ, NASDAQ OMX và các viên chức của nó sẽ được đối xử giống hệt nhau về mục đích miễn trừ.</w:t>
      </w:r>
    </w:p>
    <w:p>
      <w:pPr>
        <w:spacing w:after="80"/>
      </w:pPr>
      <w:r>
        <w:rPr>
          <w:b/>
          <w:i w:val="0"/>
        </w:rPr>
        <w:t>B.</w:t>
      </w:r>
      <w:r>
        <w:rPr>
          <w:b w:val="0"/>
          <w:i w:val="0"/>
        </w:rPr>
        <w:t xml:space="preserve"> </w:t>
      </w:r>
      <w:r>
        <w:rPr>
          <w:b w:val="0"/>
          <w:i/>
        </w:rPr>
        <w:t>SRO bảo vệ một phần và không áp dụng một phần đối với các khiếu nại sơ suất của Nguyên đơn</w:t>
      </w:r>
    </w:p>
    <w:p>
      <w:pPr>
        <w:spacing w:after="80"/>
      </w:pPr>
      <w:r>
        <w:rPr>
          <w:b w:val="0"/>
          <w:i w:val="0"/>
        </w:rPr>
        <w:t>Các cáo buộc sơ suất được tách thành thứ nhất, việc thiết kế, thử nghiệm và quảng bá phần mềm của NASDAQ (các "khiếu nại sơ suất về công nghệ"), tất cả đều được thực hiện trước khi giao dịch, và thứ hai, quyết định không tạm dừng giao dịch hoặc hủy các giao dịch bị ảnh hưởng (các "khiếu nại sơ suất về tạm dừng giao dịch"), được đưa ra trong IPO.</w:t>
      </w:r>
    </w:p>
    <w:p>
      <w:pPr>
        <w:spacing w:after="80"/>
      </w:pPr>
      <w:r>
        <w:rPr>
          <w:b w:val="0"/>
          <w:i w:val="0"/>
        </w:rPr>
        <w:t xml:space="preserve">1. </w:t>
      </w:r>
      <w:r>
        <w:rPr>
          <w:b w:val="0"/>
          <w:i/>
        </w:rPr>
        <w:t>Việc thiết kế, thử nghiệm và quảng bá không đầy đủ phần mềm của NASDAQ không phải là các hành động quản lý được bảo vệ bởi quyền miễn trừ SRO</w:t>
      </w:r>
    </w:p>
    <w:p>
      <w:pPr>
        <w:spacing w:after="80"/>
      </w:pPr>
      <w:r>
        <w:rPr>
          <w:b w:val="0"/>
          <w:i w:val="0"/>
        </w:rPr>
        <w:t>Các khiếu nại sơ suất về công nghệ trong CAC phát sinh từ sự thất bại của các nền tảng giao dịch của NASDAQ trong IPO, mà Nguyên đơn cho rằng là kết quả có thể dự đoán trước được của việc thử nghiệm và thiết kế không đầy đủ cho khối lượng hủy giao dịch cao "trước nhu cầu được dự báo." (CAC ¶251.)</w:t>
      </w:r>
    </w:p>
    <w:p>
      <w:pPr>
        <w:spacing w:after="80"/>
      </w:pPr>
      <w:r>
        <w:rPr>
          <w:b w:val="0"/>
          <w:i w:val="0"/>
        </w:rPr>
        <w:t xml:space="preserve">Các Bị đơn mô tả sai các khiếu nại sơ suất về công nghệ, nói rằng các "khiếu nại sơ suất phát sinh từ việc bắt đầu giao dịch Facebook" hoặc từ "các quyết định của NASDAQ tiến hành và không tạm dừng giao dịch Facebook," (MTD Br. at 22–23.) Theo đó, Các Bị đơn trích dẫn án lệ ủng hộ quyền miễn trừ liên quan đến các vụ án nơi sàn giao dịch quyết định không hủy một giao dịch, </w:t>
      </w:r>
      <w:r>
        <w:rPr>
          <w:b w:val="0"/>
          <w:i/>
        </w:rPr>
        <w:t>xem DL Capital Group, LLC v. Nasdaq Stock Market, Inc.,</w:t>
      </w:r>
      <w:r>
        <w:rPr>
          <w:b w:val="0"/>
          <w:i w:val="0"/>
        </w:rPr>
        <w:t xml:space="preserve"> 409 F.3d 93, 96 (2d Cir.2005), bị cáo buộc tự giao dịch vì lợi ích bản thân liên quan đến hành động hoặc không hành động đối với giao dịch trên sàn, </w:t>
      </w:r>
      <w:r>
        <w:rPr>
          <w:b w:val="0"/>
          <w:i/>
        </w:rPr>
        <w:t>xem NYSE Specialists,</w:t>
      </w:r>
      <w:r>
        <w:rPr>
          <w:b w:val="0"/>
          <w:i w:val="0"/>
        </w:rPr>
        <w:t xml:space="preserve"> 503 F.3d at 97, và hủy niêm yết cổ phiếu và tạm dừng giao dịch, </w:t>
      </w:r>
      <w:r>
        <w:rPr>
          <w:b w:val="0"/>
          <w:i/>
        </w:rPr>
        <w:t>xem Sparta Surgical,</w:t>
      </w:r>
      <w:r>
        <w:rPr>
          <w:b w:val="0"/>
          <w:i w:val="0"/>
        </w:rPr>
        <w:t xml:space="preserve"> 159 F.3d at 1211, tất cả đều mà Các Bị đơn khẳng định đúng là các chức năng quản lý được bảo vệ bởi quyền miễn trừ. (Def. Mem. at 28.)</w:t>
      </w:r>
    </w:p>
    <w:p>
      <w:pPr>
        <w:spacing w:after="80"/>
      </w:pPr>
      <w:r>
        <w:rPr>
          <w:b w:val="0"/>
          <w:i w:val="0"/>
        </w:rPr>
        <w:t>Không có cáo buộc nào của CAC liên quan đến các khiếu nại sơ suất về công nghệ phát sinh từ việc NASDAQ bắt đầu giao dịch Facebook, hoặc các tuyên bố và hành động của NASDAQ liên quan đến quyết định tiến hành và không tạm dừng giao dịch trong IPO. (</w:t>
      </w:r>
      <w:r>
        <w:rPr>
          <w:b w:val="0"/>
          <w:i/>
        </w:rPr>
        <w:t>Xem</w:t>
      </w:r>
      <w:r>
        <w:rPr>
          <w:b w:val="0"/>
          <w:i w:val="0"/>
        </w:rPr>
        <w:t xml:space="preserve"> CAC ¶¶249–269.) Thay vào đó, các khiếu nại sơ suất về công nghệ chỉ tập trung vào việc thiết kế, quảng bá và thử nghiệm không đầy đủ phần mềm công nghệ của NASDAQ trước khi Chào bán. NASDAQ mong muốn tạo ra một thị trường IPO cho các công ty mới được niêm yết và giao dịch trên sàn của mình. Để thúc đẩy dự án này, NASDAQ đã đề xuất, và SEC đã cho phép, một bộ quy tắc để tiến hành một Cross mở cửa [một hệ thống được thiết kế để xác định một mức giá duy nhất cho việc mở cửa giao dịch một chứng khoán là đối tượng của một IPO] và NASDAQ sau đó đã thiết kế, triển khai và thử nghiệm các hệ thống điện tử để thực hiện chức năng Cross mở cửa này. Trong những tháng trước IPO của Facebook, NASDAQ đã khuyến khích các công ty mang các IPO mới đến sàn của mình bằng cách công bố công khai các khả năng và độ tin cậy của công nghệ mình trong việc thực hiện các đợt chào bán, bao gồm trên trang web của NASDAQ OMX (CAC ¶¶181–83) và trong Hội nghị Ngày Nhà đầu tư ngày 10 tháng 5 năm 2012 của NASDAQ OMX (CAC ¶¶184–89). Những tuyên bố này nhằm "phục vụ lợi ích kinh doanh tư nhân của [NASDAQ OMX], chẳng hạn như các nỗ lực tăng khối lượng giao dịch và lợi nhuận công ty." </w:t>
      </w:r>
      <w:r>
        <w:rPr>
          <w:b w:val="0"/>
          <w:i/>
        </w:rPr>
        <w:t>Weissman,</w:t>
      </w:r>
      <w:r>
        <w:rPr>
          <w:b w:val="0"/>
          <w:i w:val="0"/>
        </w:rPr>
        <w:t xml:space="preserve"> 500 F.3d at 1296–99 ("NASDAQ không đại diện cho ai ngoài chính mình khi nó dụ dỗ các nhà đầu tư giao dịch trên sàn của mình."). Phần mềm của NASDAQ là một phần không thể tách rời trong gói kinh doanh tổng thể của NASDAQ, nhằm tạo ra một thị trường cho hoạt động kinh doanh IPO mới, tạo doanh thu, chứ không nhằm thúc đẩy bất kỳ chức năng quản lý được cho là nào. </w:t>
      </w:r>
      <w:r>
        <w:rPr>
          <w:b w:val="0"/>
          <w:i/>
        </w:rPr>
        <w:t>Xem Opulent Fund,</w:t>
      </w:r>
      <w:r>
        <w:rPr>
          <w:b w:val="0"/>
          <w:i w:val="0"/>
        </w:rPr>
        <w:t xml:space="preserve"> 2007 WL 3010573, at *5 (việc NASDAQ tạo ra và quảng bá Chỉ số NASDAQ-100 không được miễn trừ "vì nó thu lợi từ việc bán dữ liệu giá thị trường" và vì "các hành động tạo điều kiện thị trường của NASDAQ đang bị tranh chấp . . . là phi quản lý"). Không có quyền lực chính phủ nào được miễn trừ hoặc được luật định giao phó để thiết kế phần mềm máy tính cho sàn giao dịch, để thử nghiệm phần mềm máy tính một cách thích hợp, hoặc để sửa chữa phần mềm máy tính khi nó trục trặc trước khi thực hiện một Đợt chào bán sau khi đã quảng bá năng lực của mình. SEC chưa bao giờ tham gia vào các khía cạnh kinh doanh của việc tạo điều kiện và quảng bá IPO hoặc tạo ra công nghệ để tăng giao dịch, và Quốc hội cũng chưa bao giờ cho phép nó làm như vậy.</w:t>
      </w:r>
    </w:p>
    <w:p>
      <w:pPr>
        <w:spacing w:after="80"/>
      </w:pPr>
      <w:r>
        <w:rPr>
          <w:b w:val="0"/>
          <w:i w:val="0"/>
        </w:rPr>
        <w:t xml:space="preserve">Án lệ đã xác lập rằng những hành động như thế này, được thực hiện để "tăng khối lượng giao dịch[,] là phi quản lý." </w:t>
      </w:r>
      <w:r>
        <w:rPr>
          <w:b w:val="0"/>
          <w:i/>
        </w:rPr>
        <w:t>Id.</w:t>
      </w:r>
      <w:r>
        <w:rPr>
          <w:b w:val="0"/>
          <w:i w:val="0"/>
        </w:rPr>
        <w:t xml:space="preserve"> (trích dẫn </w:t>
      </w:r>
      <w:r>
        <w:rPr>
          <w:b w:val="0"/>
          <w:i/>
        </w:rPr>
        <w:t>Weissman,</w:t>
      </w:r>
      <w:r>
        <w:rPr>
          <w:b w:val="0"/>
          <w:i w:val="0"/>
        </w:rPr>
        <w:t xml:space="preserve"> 500 F.3d at 1296); </w:t>
      </w:r>
      <w:r>
        <w:rPr>
          <w:b w:val="0"/>
          <w:i/>
        </w:rPr>
        <w:t>xem thêm Sparta Surgical,</w:t>
      </w:r>
      <w:r>
        <w:rPr>
          <w:b w:val="0"/>
          <w:i w:val="0"/>
        </w:rPr>
        <w:t xml:space="preserve"> 159 F.3d at 1214 ("Khi tiến hành hoạt động kinh doanh tư nhân, [các SRO] vẫn phải chịu trách nhiệm pháp lý."). Các hành động quản lý, bao gồm "tạm dừng giao dịch, cấm các nhà giao dịch, hoặc thực hiện các hành động kỷ luật" theo quy tắc được ủy quyền, "đều liên quan đến việc giám sát thị trường để bảo vệ nhà đầu tư." </w:t>
      </w:r>
      <w:r>
        <w:rPr>
          <w:b w:val="0"/>
          <w:i/>
        </w:rPr>
        <w:t>Opulent Fund,</w:t>
      </w:r>
      <w:r>
        <w:rPr>
          <w:b w:val="0"/>
          <w:i w:val="0"/>
        </w:rPr>
        <w:t xml:space="preserve"> 2007 WL 3010573, at *6. Khi có một thị trường giao dịch đang hoạt động, bất kỳ quyết định tạm dừng giao dịch hoặc hủy giao dịch nào cũng có thể gây tổn thất cho nhóm người tham gia thị trường này hay nhóm khác. Ngược lại, các hành động liên quan đến thiết kế phần mềm trước một IPO hoặc quảng bá phần mềm đó trước khi giao dịch bắt đầu không liên quan đến những rủi ro như vậy. Nghĩa vụ của NASDAQ phải thiết kế và thử nghiệm phần mềm một cách đầy đủ để khởi động một IPO lớn chưa từng có không có chức năng bảo vệ nhà đầu tư; NASDAQ không đại diện cho ai ngoài chính mình khi nó dụ dỗ các nhà đầu tư giao dịch trên sàn của mình.</w:t>
      </w:r>
    </w:p>
    <w:p>
      <w:pPr>
        <w:spacing w:after="80"/>
      </w:pPr>
      <w:r>
        <w:rPr>
          <w:b w:val="0"/>
          <w:i w:val="0"/>
        </w:rPr>
        <w:t xml:space="preserve">Các hành động của NASDAQ có chức năng tạo ra một thị trường và tăng năng lực giao dịch tư nhân của mình, hành vi không được bảo vệ bởi quyền miễn trừ SRO. </w:t>
      </w:r>
      <w:r>
        <w:rPr>
          <w:b w:val="0"/>
          <w:i/>
        </w:rPr>
        <w:t>Xem, ví dụ, Opulent Fund,</w:t>
      </w:r>
      <w:r>
        <w:rPr>
          <w:b w:val="0"/>
          <w:i w:val="0"/>
        </w:rPr>
        <w:t xml:space="preserve"> 2007 WL 3010573, at *6; </w:t>
      </w:r>
      <w:r>
        <w:rPr>
          <w:b w:val="0"/>
          <w:i/>
        </w:rPr>
        <w:t>Weissman,</w:t>
      </w:r>
      <w:r>
        <w:rPr>
          <w:b w:val="0"/>
          <w:i w:val="0"/>
        </w:rPr>
        <w:t xml:space="preserve"> 500 F.3d at 1296 ("[L]à một công ty tư nhân, NASDAQ có thể tham gia vào nhiều hoạt động phi chính phủ phục vụ lợi ích kinh doanh tư nhân của mình, chẳng hạn như các nỗ lực tăng khối lượng giao dịch," những hoạt động không được bảo vệ bởi quyền miễn trừ); </w:t>
      </w:r>
      <w:r>
        <w:rPr>
          <w:b w:val="0"/>
          <w:i/>
        </w:rPr>
        <w:t>Sparta Surgical,</w:t>
      </w:r>
      <w:r>
        <w:rPr>
          <w:b w:val="0"/>
          <w:i w:val="0"/>
        </w:rPr>
        <w:t xml:space="preserve"> 159 F.3d at 1214–15 (việc tạo điều kiện thị trường đơn thuần được thiết kế để tăng khối lượng giao dịch không phải là hành vi quản lý).</w:t>
      </w:r>
    </w:p>
    <w:p>
      <w:pPr>
        <w:spacing w:after="80"/>
      </w:pPr>
      <w:r>
        <w:rPr>
          <w:b w:val="0"/>
          <w:i w:val="0"/>
        </w:rPr>
        <w:t>Các thị trường chứng khoán đã thay đổi đáng kể kể từ những năm 1930. Các sàn giao dịch, như NASDAQ, đã chuyển đổi từ các hiệp hội tương hỗ phi lợi nhuận do các thành viên sở hữu thành các công ty đại chúng vì lợi nhuận do cổ đông sở hữu. (</w:t>
      </w:r>
      <w:r>
        <w:rPr>
          <w:b w:val="0"/>
          <w:i/>
        </w:rPr>
        <w:t>Xem</w:t>
      </w:r>
      <w:r>
        <w:rPr>
          <w:b w:val="0"/>
          <w:i w:val="0"/>
        </w:rPr>
        <w:t xml:space="preserve"> thư SIFMA gửi Mary Jo White, Chủ tịch, SEC, Về: Cấu trúc Tự quản của Thị trường Chứng khoán (ngày 31 tháng 7 năm 2013), Cappucci Aff. Ex. F ("[C]ác lợi ích, động cơ khuyến khích và chức năng của sàn giao dịch hợp tác do thành viên sở hữu năm 1934 ít có điểm tương đồng với sàn giao dịch đại chúng vì lợi nhuận ngày nay. Kể từ làn sóng phi tương hỗ hóa, các sàn giao dịch đã đúng đắn tập trung nỗ lực vào phần hoạt động kinh doanh sinh lợi của mình để tối đa hóa lợi nhuận cho cổ đông, và trong một số trường hợp, giảm thiểu việc thực hiện thực tế các chức năng quản lý của mình,").) Như Ủy viên SEC Gallagher đã tuyên bố vào năm 2012, "các tiền đề cơ bản mà khung tự quản . . . [đã được] đưa vào vị trí gần tám mươi năm trước—các sàn giao dịch tư nhân, tương hỗ hóa, tự quản và một hiệp hội đơn giản của các nhà giao dịch—[không còn] đúng nữa." Daniel M. Gallagher, Comm.'s, SEC, Market 2012: "Time for a Fresh Look at Equity Market Structure and Self-Regulation," Bài phát biểu tại Hội nghị Cấu trúc Thị trường Thường niên lần thứ 15 của SIFMA (ngày 4 tháng 10 năm 2012); (Cappucci Aff., Ex. E.) Khi các sàn giao dịch đã phát triển thành các doanh nghiệp vì lợi nhuận, một xung đột không thể hòa giải đã nảy sinh, khiến tính độc lập trở nên không thể đạt được trong bối cảnh một sàn giao dịch tự quản lý hành vi kinh doanh vì lợi nhuận của chính mình.</w:t>
      </w:r>
    </w:p>
    <w:p>
      <w:pPr>
        <w:spacing w:after="80"/>
      </w:pPr>
      <w:r>
        <w:rPr>
          <w:b w:val="0"/>
          <w:i w:val="0"/>
        </w:rPr>
        <w:t xml:space="preserve">Tính chất lưỡng diện này của các SRO, “với tư cách là các công ty tư nhân thực hiện các chức năng chính phủ,” càng khiến cho sự phân biệt giữa các hành động được thực hiện với tư cách chính phủ, vốn được miễn trừ, và các hành động được thực hiện “vì lợi ích doanh nghiệp,” vốn không thể được miễn trừ, trở nên cực kỳ quan trọng. </w:t>
      </w:r>
      <w:r>
        <w:rPr>
          <w:b w:val="0"/>
          <w:i/>
        </w:rPr>
        <w:t>Opulent Fund,</w:t>
      </w:r>
      <w:r>
        <w:rPr>
          <w:b w:val="0"/>
          <w:i w:val="0"/>
        </w:rPr>
        <w:t xml:space="preserve"> 2007 WL 3010573, tại *6. Việc cho phép các Sở giao dịch được miễn trừ khỏi các quyết định về việc thúc đẩy và thiết kế các hệ thống kinh doanh được triển khai để tăng khối lượng giao dịch, đặc biệt là trong các thị trường quốc tế đang mở rộng như vậy, sẽ cho phép các động cơ lợi nhuận không bị kiểm soát. </w:t>
      </w:r>
      <w:r>
        <w:rPr>
          <w:b w:val="0"/>
          <w:i/>
        </w:rPr>
        <w:t>Xem</w:t>
      </w:r>
      <w:r>
        <w:rPr>
          <w:b w:val="0"/>
          <w:i w:val="0"/>
        </w:rPr>
        <w:t xml:space="preserve"> Scott Patterson, </w:t>
      </w:r>
      <w:r>
        <w:rPr>
          <w:b w:val="0"/>
          <w:i/>
        </w:rPr>
        <w:t>Dark Pools,</w:t>
      </w:r>
      <w:r>
        <w:rPr>
          <w:b w:val="0"/>
          <w:i w:val="0"/>
        </w:rPr>
        <w:t xml:space="preserve"> Cross Business New York (2012). Như vậy, các chức năng quản lý của NASDAQ, bao gồm các quyết định không tạm dừng giao dịch hoặc các thông báo về những quyết định đó, không che đậy sự sơ suất độc lập của NASDAQ trong việc không thiết kế và kiểm thử phần mềm của mình một cách đầy đủ bằng quyền miễn trừ hồi tố. </w:t>
      </w:r>
      <w:r>
        <w:rPr>
          <w:b w:val="0"/>
          <w:i/>
        </w:rPr>
        <w:t>Opulent Fund,</w:t>
      </w:r>
      <w:r>
        <w:rPr>
          <w:b w:val="0"/>
          <w:i w:val="0"/>
        </w:rPr>
        <w:t xml:space="preserve"> 2007 WL 3010573, tại *6. (“Hành vi định giá của Nasdaq ít mang tính quản lý điển hình hơn nhiều so với việc quyết định tạm dừng giao dịch.”) (các trích dẫn nội bộ được lược bỏ). Nếu điều đó là đủ, thì mỗi khi một sở giao dịch thực hiện một hành vi sơ suất hoặc bất hợp pháp độc lập với thẩm quyền quản lý của mình, nó có thể tự cho rằng mình đang xem xét liệu có tồn tại một quyền lực quản lý nào đó và cố gắng miễn trừ hồi tố khỏi các thiệt hại cho hành vi không được miễn trừ trước đó. </w:t>
      </w:r>
      <w:r>
        <w:rPr>
          <w:b w:val="0"/>
          <w:i/>
        </w:rPr>
        <w:t>Xem</w:t>
      </w:r>
      <w:r>
        <w:rPr>
          <w:b w:val="0"/>
          <w:i w:val="0"/>
        </w:rPr>
        <w:t xml:space="preserve"> Rohit A. Nafday, </w:t>
      </w:r>
      <w:r>
        <w:rPr>
          <w:b w:val="0"/>
          <w:i/>
        </w:rPr>
        <w:t>From Sense to Nonsense and Back Again: SRO Immunity, Doctrinal Bait-and-Switch, and a Call for Coherence,</w:t>
      </w:r>
      <w:r>
        <w:rPr>
          <w:b w:val="0"/>
          <w:i w:val="0"/>
        </w:rPr>
        <w:t xml:space="preserve"> 77 U. Chi. L.Rev. 847, 855 (2010) (“Nafday”) (Bởi vì quyền miễn trừ tuyệt đối giải phóng người nhận được sự bảo vệ của nó khỏi trách nhiệm dân sự một cách vô điều kiện, nó chứa đầy tiềm năng bị lạm dụng). Trong khi học thuyết về SRO phải tiếp tục đảm bảo tính độc lập trong quản lý, nó không thể được áp dụng để cho phép bảo vệ toàn diện cho các sở giao dịch khi họ không thực hiện sự cẩn trọng cần thiết trong việc theo đuổi lợi nhuận.14 </w:t>
      </w:r>
      <w:r>
        <w:rPr>
          <w:b w:val="0"/>
          <w:i/>
        </w:rPr>
        <w:t>Xem Weissman,</w:t>
      </w:r>
      <w:r>
        <w:rPr>
          <w:b w:val="0"/>
          <w:i w:val="0"/>
        </w:rPr>
        <w:t xml:space="preserve"> 500 F.3d tại 1295 (“Việc cấp quyền miễn trừ phải được giải thích một cách hẹp” bởi vì chúng tước đi các biện pháp khắc phục của các bên bị thiệt hại); </w:t>
      </w:r>
      <w:r>
        <w:rPr>
          <w:b w:val="0"/>
          <w:i/>
        </w:rPr>
        <w:t>xem thêm Marbury v. Madison,</w:t>
      </w:r>
      <w:r>
        <w:rPr>
          <w:b w:val="0"/>
          <w:i w:val="0"/>
        </w:rPr>
        <w:t xml:space="preserve"> 5 U.S. 137, 147, 1 Cranch 137, 2 L.Ed. 60 (1803) (“Đó là một nguyên tắc đã được định sẵn và bất biến, rằng mọi quyền, khi bị từ chối, phải có một biện pháp khắc phục, và mọi tổn hại đều có sự đền bù thích đáng của nó.”).</w:t>
      </w:r>
    </w:p>
    <w:p>
      <w:pPr>
        <w:spacing w:after="80"/>
      </w:pPr>
      <w:r>
        <w:rPr>
          <w:b w:val="0"/>
          <w:i w:val="0"/>
        </w:rPr>
        <w:t>Vì các cáo buộc sơ suất công nghệ liên quan đến các hành động được thực hiện vì lợi ích riêng của NASDAQ với tư cách là một thực thể tư nhân nhằm tăng giao dịch trên Sở giao dịch của mình, quyền miễn trừ tuyệt đối khỏi kiện tụng không còn được áp dụng. Theo đó, các khiếu nại về sơ suất công nghệ của Nguyên đơn không được bảo vệ bởi quyền miễn trừ SRO.</w:t>
      </w:r>
    </w:p>
    <w:p>
      <w:pPr>
        <w:spacing w:after="80"/>
      </w:pPr>
      <w:r>
        <w:rPr>
          <w:b w:val="0"/>
          <w:i w:val="0"/>
        </w:rPr>
        <w:t xml:space="preserve">2. </w:t>
      </w:r>
      <w:r>
        <w:rPr>
          <w:b w:val="0"/>
          <w:i/>
        </w:rPr>
        <w:t>Quyết định Không Tạm dừng Giao dịch được Bảo vệ bởi Quyền Miễn trừ SRO</w:t>
      </w:r>
    </w:p>
    <w:p>
      <w:pPr>
        <w:spacing w:after="80"/>
      </w:pPr>
      <w:r>
        <w:rPr>
          <w:b w:val="0"/>
          <w:i w:val="0"/>
        </w:rPr>
        <w:t>Ngoài việc kiểm thử và thiết kế phần mềm của NASDAQ, Nguyên đơn cáo buộc rằng quyết định không tạm dừng giao dịch trong IPO hoặc hủy các giao dịch bị ảnh hưởng của NASDAQ không phải là một chức năng quản lý và khiến NASDAQ phải chịu trách nhiệm bồi thường thiệt hại do sơ suất.</w:t>
      </w:r>
    </w:p>
    <w:p>
      <w:pPr>
        <w:spacing w:after="80"/>
      </w:pPr>
      <w:r>
        <w:rPr>
          <w:b w:val="0"/>
          <w:i w:val="0"/>
        </w:rPr>
        <w:t>NASDAQ, trong IPO của Facebook ngay sau khi giao dịch bắt đầu và các lỗi công nghệ bắt đầu xuất hiện, “đã quyết định rằng hoạt động thị trường bất thường không xảy ra, và EVP/Transactions kết luận rằng do đó NASDAQ không có thẩm quyền tạm dừng giao dịch” theo Quy tắc 4120. (Lệnh SEC ¶32.) Lệnh SEC cũng xác định rằng NASDAQ không có thẩm quyền được ủy quyền để tạm dừng giao dịch trong IPO vì giao dịch thị trường đang diễn ra bình thường và các điều kiện tiên quyết của quy tắc không được thỏa mãn. Bởi vì quyết định không tạm dừng giao dịch do đó không được đưa ra theo bất kỳ quy tắc chính thức nào của SEC, Nguyên đơn khẳng định rằng quyết định đó không mang tính quản lý. Ngoài ra, Nguyên đơn cho rằng NASDAQ đã coi các lỗi hệ thống là các vấn đề kinh doanh phù hợp để các quan chức của công ty mẹ thảo luận, chứ không phải là các vấn đề dành riêng cho việc ra quyết định độc lập của bộ phận quản lý của Sở giao dịch, (</w:t>
      </w:r>
      <w:r>
        <w:rPr>
          <w:b w:val="0"/>
          <w:i/>
        </w:rPr>
        <w:t>Xem</w:t>
      </w:r>
      <w:r>
        <w:rPr>
          <w:b w:val="0"/>
          <w:i w:val="0"/>
        </w:rPr>
        <w:t xml:space="preserve"> Exchange Registration Approval Order tại *3 (NASDAQ OMX “sẽ không tự mình thực hiện các chức năng quản lý.”).)</w:t>
      </w:r>
    </w:p>
    <w:p>
      <w:pPr>
        <w:spacing w:after="80"/>
      </w:pPr>
      <w:r>
        <w:rPr>
          <w:b w:val="0"/>
          <w:i w:val="0"/>
        </w:rPr>
        <w:t xml:space="preserve">Khả năng tạm dừng giao dịch, bất kể danh tính của người ra quyết định hay sự hiện diện của một quy tắc chính thức của SEC, là một chức năng quản lý điển hình. </w:t>
      </w:r>
      <w:r>
        <w:rPr>
          <w:b w:val="0"/>
          <w:i/>
        </w:rPr>
        <w:t>Xem, ví dụ, DL Capital,</w:t>
      </w:r>
      <w:r>
        <w:rPr>
          <w:b w:val="0"/>
          <w:i w:val="0"/>
        </w:rPr>
        <w:t xml:space="preserve"> 409 F.3d tại 96; </w:t>
      </w:r>
      <w:r>
        <w:rPr>
          <w:b w:val="0"/>
          <w:i/>
        </w:rPr>
        <w:t>NYSE Specialists,</w:t>
      </w:r>
      <w:r>
        <w:rPr>
          <w:b w:val="0"/>
          <w:i w:val="0"/>
        </w:rPr>
        <w:t xml:space="preserve"> 503 F.3d tại 97 (phát hiện rằng sở giao dịch có quyền miễn trừ vì các hành động cơ bản liên quan đến “hành động hoặc không hành động của NYSE đối với giao dịch trên Sở giao dịch, điều mà không thể tranh cãi là nằm trong thẩm quyền quản lý của NYSE”); </w:t>
      </w:r>
      <w:r>
        <w:rPr>
          <w:b w:val="0"/>
          <w:i/>
        </w:rPr>
        <w:t>Sparta Surgical,</w:t>
      </w:r>
      <w:r>
        <w:rPr>
          <w:b w:val="0"/>
          <w:i w:val="0"/>
        </w:rPr>
        <w:t xml:space="preserve"> 159 F.3d tại 1211, 1215 (phát hiện rằng khi NASD “hành động với tư cách tạm dừng giao dịch” và hủy niêm yết cổ phiếu, NASD đang “thực hiện một chức năng quản lý được che đậy bởi quyền miễn trừ” vì “có rất ít chức năng mang tính quản lý điển hình hơn việc tạm dừng giao dịch.”). Trong </w:t>
      </w:r>
      <w:r>
        <w:rPr>
          <w:b w:val="0"/>
          <w:i/>
        </w:rPr>
        <w:t>DL Capital,</w:t>
      </w:r>
      <w:r>
        <w:rPr>
          <w:b w:val="0"/>
          <w:i w:val="0"/>
        </w:rPr>
        <w:t xml:space="preserve"> nguyên đơn đã kiện NASDAQ và Greifeld vì quyết định tạm dừng giao dịch và vì không thông báo kịp thời rằng họ đang hủy các giao dịch đang tranh chấp. 409 F.3d tại 96. Khi khẳng định việc bác bỏ đơn kiện với lý do miễn trừ, Tòa án Phúc thẩm Vòng hai đã xác nhận rằng quyết định của Sở giao dịch liên quan đến “việc tạm dừng hoặc hủy bỏ giao dịch thực tế” được bảo vệ bởi quyền miễn trừ SRO. </w:t>
      </w:r>
      <w:r>
        <w:rPr>
          <w:b w:val="0"/>
          <w:i/>
        </w:rPr>
        <w:t>Id.</w:t>
      </w:r>
      <w:r>
        <w:rPr>
          <w:b w:val="0"/>
          <w:i w:val="0"/>
        </w:rPr>
        <w:t xml:space="preserve"> tại 98. Điều này áp dụng với hiệu lực tương tự đối với quyết định không tạm dừng hoặc hủy giao dịch của NASDAQ trong IPO của Facebook. </w:t>
      </w:r>
      <w:r>
        <w:rPr>
          <w:b w:val="0"/>
          <w:i/>
        </w:rPr>
        <w:t>NYSE Specialists,</w:t>
      </w:r>
      <w:r>
        <w:rPr>
          <w:b w:val="0"/>
          <w:i w:val="0"/>
        </w:rPr>
        <w:t xml:space="preserve"> 503 F.3d tại 97 (“Quyền thực thi thẩm quyền quản lý nhất thiết bao gồm quyền không thực hiện hành động khẳng định.”). Nếu việc thực thi “quyền lực chính phủ được ủy quyền cho SRO xứng đáng được miễn trừ tuyệt đối, thì việc không thực thi quyền lực đó của SRO cũng cho phép nó được miễn trừ.” </w:t>
      </w:r>
      <w:r>
        <w:rPr>
          <w:b w:val="0"/>
          <w:i/>
        </w:rPr>
        <w:t>Id.</w:t>
      </w:r>
      <w:r>
        <w:rPr>
          <w:b w:val="0"/>
          <w:i w:val="0"/>
        </w:rPr>
        <w:t xml:space="preserve"> Việc NASDAQ xác định rằng Quy tắc 4120 không áp dụng, hoặc việc xác định được đưa ra bởi các quan chức của NASDAQ OMX, </w:t>
      </w:r>
      <w:r>
        <w:rPr>
          <w:b w:val="0"/>
          <w:i/>
        </w:rPr>
        <w:t>xem infra</w:t>
      </w:r>
      <w:r>
        <w:rPr>
          <w:b w:val="0"/>
          <w:i w:val="0"/>
        </w:rPr>
        <w:t xml:space="preserve"> I.(A) n. 9, không làm thay đổi bản chất của hành động cơ bản. Như vậy, các khiếu nại sơ suất của Nguyên đơn liên quan đến việc tạm dừng giao dịch được bảo vệ bởi quyền miễn trừ SRO.</w:t>
      </w:r>
    </w:p>
    <w:p>
      <w:pPr>
        <w:pStyle w:val="Heading5"/>
      </w:pPr>
      <w:r>
        <w:rPr>
          <w:rFonts w:ascii="Calibri" w:hAnsi="Calibri"/>
          <w:b/>
          <w:i/>
          <w:sz w:val="22"/>
        </w:rPr>
        <w:t>Bình luận và Câu hỏi</w:t>
      </w:r>
    </w:p>
    <w:p>
      <w:pPr>
        <w:spacing w:after="80"/>
      </w:pPr>
      <w:r>
        <w:rPr>
          <w:b w:val="0"/>
          <w:i w:val="0"/>
        </w:rPr>
        <w:t>1. Tòa án cũng cho phép vụ kiện tập thể theo Quy tắc 10b-5 được tiến hành dựa trên các tuyên bố được cáo buộc là đã “quảng bá và mô tả chi tiết độ tin cậy và tốc độ được cho là của công nghệ và nền tảng giao dịch của NASDAQ”.</w:t>
      </w:r>
    </w:p>
    <w:p>
      <w:pPr>
        <w:spacing w:after="80"/>
      </w:pPr>
      <w:r>
        <w:rPr>
          <w:b w:val="0"/>
          <w:i w:val="0"/>
        </w:rPr>
        <w:t xml:space="preserve">2. Vụ án cuối cùng đã được dàn xếp. </w:t>
      </w:r>
      <w:r>
        <w:rPr>
          <w:b w:val="0"/>
          <w:i/>
        </w:rPr>
        <w:t>Xem In re Facebook, Inc. IPO Securities and Derivative Litigation</w:t>
      </w:r>
      <w:r>
        <w:rPr>
          <w:b w:val="0"/>
          <w:i w:val="0"/>
        </w:rPr>
        <w:t xml:space="preserve"> , MDL No. 12-2389 (SD NY ngày 9 tháng 11 năm 2015). Vào đêm trước phiên tranh luận tại Tòa án Phúc thẩm Vòng hai, vụ án đã được dàn xếp, với việc Facebook đồng ý trả 26,6 triệu đô la. Luật sư nhận được một phần ba quỹ dàn xếp dưới dạng phí.</w:t>
      </w:r>
    </w:p>
    <w:p>
      <w:pPr>
        <w:spacing w:after="80"/>
      </w:pPr>
      <w:r>
        <w:rPr>
          <w:b w:val="0"/>
          <w:i w:val="0"/>
        </w:rPr>
        <w:t>3. Bạn nghĩ việc phi tương hỗ hóa (demutualization) của NASDAQ đóng vai trò gì trong quyết định này? Bạn có đồng ý với sự phân biệt mà tòa án đưa ra giữa các vấn đề có thể bị kiện và những vấn đề được miễn trừ không?</w:t>
      </w:r>
    </w:p>
    <w:p>
      <w:pPr>
        <w:spacing w:after="80"/>
      </w:pPr>
      <w:r>
        <w:rPr>
          <w:b w:val="0"/>
          <w:i w:val="0"/>
        </w:rPr>
        <w:t xml:space="preserve">4. Khi xem xét liệu NASDAQ có nên được miễn trừ đối với các vấn đề liên quan đến IPO của Facebook hay không, liệu việc SEC đã ban hành lệnh đình chỉ và cấm (cease and desist order) đối với công ty và áp đặt hình phạt dân sự 10 triệu đô la có quan trọng không? </w:t>
      </w:r>
      <w:r>
        <w:rPr>
          <w:b w:val="0"/>
          <w:i/>
        </w:rPr>
        <w:t>Xem</w:t>
      </w:r>
      <w:r>
        <w:rPr>
          <w:b w:val="0"/>
          <w:i w:val="0"/>
        </w:rPr>
        <w:t xml:space="preserve"> Exchange Act Release No. 69655 (thủ tục hành chính ngày 29 tháng 5 năm 2013). Liệu một cơ chế thực thi tư nhân có cần thiết không?</w:t>
      </w:r>
    </w:p>
    <w:p>
      <w:pPr>
        <w:spacing w:after="80"/>
      </w:pPr>
      <w:r>
        <w:rPr>
          <w:b w:val="0"/>
          <w:i w:val="0"/>
        </w:rPr>
        <w:t xml:space="preserve">5. NASDAQ đã thành lập một quỹ được thiết kế để hoàn trả cho các thành viên tối đa $62 cho các tổn thất liên quan đến những khó khăn hệ thống phát sinh từ đợt chào bán. SEC đã phê duyệt bước này nhưng tuyên bố cụ thể rằng bất kỳ vấn đề nào về quyền miễn trừ quản lý đều “nằm ngoài phạm vi” của đề xuất. </w:t>
      </w:r>
      <w:r>
        <w:rPr>
          <w:b w:val="0"/>
          <w:i/>
        </w:rPr>
        <w:t>Xem</w:t>
      </w:r>
      <w:r>
        <w:rPr>
          <w:b w:val="0"/>
          <w:i w:val="0"/>
        </w:rPr>
        <w:t xml:space="preserve"> Exchange Act Release No. 69216 (ngày 22 tháng 3 năm 2013).</w:t>
      </w:r>
    </w:p>
    <w:p>
      <w:pPr>
        <w:spacing w:after="80"/>
      </w:pPr>
      <w:r>
        <w:rPr>
          <w:b w:val="0"/>
          <w:i w:val="0"/>
        </w:rPr>
        <w:t xml:space="preserve">6. Việc duy trì vai trò quản lý đòi hỏi phải chịu chi phí. Tuy nhiên, việc có được quyền miễn trừ là một trong những lợi ích của tư cách tự quản lý. Liệu các vụ án như </w:t>
      </w:r>
      <w:r>
        <w:rPr>
          <w:b w:val="0"/>
          <w:i/>
        </w:rPr>
        <w:t>Facebook</w:t>
      </w:r>
      <w:r>
        <w:rPr>
          <w:b w:val="0"/>
          <w:i w:val="0"/>
        </w:rPr>
        <w:t xml:space="preserve"> và </w:t>
      </w:r>
      <w:r>
        <w:rPr>
          <w:b w:val="0"/>
          <w:i/>
        </w:rPr>
        <w:t>Weissman</w:t>
      </w:r>
      <w:r>
        <w:rPr>
          <w:b w:val="0"/>
          <w:i w:val="0"/>
        </w:rPr>
        <w:t xml:space="preserve"> có gợi ý rằng quyền miễn trừ có thể không còn giữ nguyên giá trị như trước? Điều này có thể có tác động gì đến quyết định của các sở giao dịch chứng khoán trong việc duy trì tư cách tự quản lý của họ?</w:t>
      </w:r>
    </w:p>
    <w:p>
      <w:pPr>
        <w:pStyle w:val="Heading3"/>
      </w:pPr>
      <w:r>
        <w:rPr>
          <w:rFonts w:ascii="Calibri" w:hAnsi="Calibri"/>
          <w:b/>
          <w:i w:val="0"/>
          <w:sz w:val="26"/>
        </w:rPr>
        <w:t>D. Các Giải pháp Thay thế về Cấu trúc</w:t>
      </w:r>
    </w:p>
    <w:p>
      <w:pPr>
        <w:spacing w:after="80"/>
      </w:pPr>
      <w:r>
        <w:rPr>
          <w:b w:val="0"/>
          <w:i w:val="0"/>
        </w:rPr>
        <w:t>Liệu các sở giao dịch chứng khoán có thể được tái cấu trúc để cung cấp cả những lợi ích của việc tự quản lý mà không có những hạn chế, đặc biệt là rủi ro thực thi không đầy đủ? Quốc hội đã cố gắng làm điều đó khi thành lập Public Company Accounting Oversight Board. Hội đồng được trao thẩm quyền giám sát các kiểm toán viên của các công ty đại chúng.</w:t>
      </w:r>
    </w:p>
    <w:p>
      <w:pPr>
        <w:spacing w:after="80"/>
      </w:pPr>
      <w:r>
        <w:rPr>
          <w:b w:val="0"/>
          <w:i w:val="0"/>
        </w:rPr>
        <w:t>Một mặt, Quốc hội tìm cách giảm rủi ro ảnh hưởng trực tiếp của chính phủ trong việc giám sát kiểm toán viên bằng cách thành lập PCAOB như một tập đoàn phi lợi nhuận của New York thay vì một cơ quan liên bang. Như vậy, PCAOB gần giống với cấu trúc truyền thống của các sở giao dịch chứng khoán. Tuy nhiên, để giảm ảnh hưởng của ngành, Hội đồng được chọn không phải bởi các thực thể chịu sự quản lý mà bởi SEC. Đồng thời, SEC chỉ có thể loại bỏ các thành viên Hội đồng vì lý do chính đáng. Lý do chính đáng bao gồm rõ ràng việc không thực thi các quy tắc của PCAOB.</w:t>
      </w:r>
    </w:p>
    <w:p>
      <w:pPr>
        <w:spacing w:after="80"/>
      </w:pPr>
      <w:r>
        <w:rPr>
          <w:b w:val="0"/>
          <w:i w:val="0"/>
        </w:rPr>
        <w:t>Cấu trúc độc đáo của PCAOB, nằm đâu đó giữa NYSE và SEC, đã làm dấy lên những câu hỏi về Hiến pháp mà cuối cùng phải được Tòa án Tối cao giải quyết.</w:t>
      </w:r>
    </w:p>
    <w:p>
      <w:pPr>
        <w:pStyle w:val="Heading4"/>
      </w:pPr>
      <w:r>
        <w:rPr>
          <w:rFonts w:ascii="Calibri" w:hAnsi="Calibri"/>
          <w:b/>
          <w:i w:val="0"/>
          <w:sz w:val="23"/>
        </w:rPr>
        <w:t>Free Enterprise Fund v.</w:t>
      </w:r>
      <w:r>
        <w:br/>
      </w:r>
      <w:r>
        <w:rPr>
          <w:rFonts w:ascii="Calibri" w:hAnsi="Calibri"/>
          <w:b/>
          <w:i w:val="0"/>
          <w:sz w:val="23"/>
        </w:rPr>
        <w:t xml:space="preserve"> Public Company Accounting Oversight Board</w:t>
      </w:r>
    </w:p>
    <w:p>
      <w:pPr>
        <w:spacing w:after="80"/>
      </w:pPr>
      <w:r>
        <w:rPr>
          <w:b w:val="0"/>
          <w:i w:val="0"/>
        </w:rPr>
        <w:t>Tòa án Tối cao Hoa Kỳ</w:t>
      </w:r>
      <w:r>
        <w:br/>
      </w:r>
      <w:r>
        <w:rPr>
          <w:b w:val="0"/>
          <w:i w:val="0"/>
        </w:rPr>
        <w:t xml:space="preserve"> 561 U.S. 477 (2010)</w:t>
      </w:r>
    </w:p>
    <w:p>
      <w:pPr>
        <w:spacing w:after="80"/>
      </w:pPr>
      <w:r>
        <w:rPr>
          <w:b w:val="0"/>
          <w:i w:val="0"/>
        </w:rPr>
        <w:t>ROBERTS, CHÁNH ÁN:</w:t>
      </w:r>
    </w:p>
    <w:p>
      <w:pPr>
        <w:spacing w:after="80"/>
      </w:pPr>
      <w:r>
        <w:rPr>
          <w:b w:val="0"/>
          <w:i w:val="0"/>
        </w:rPr>
        <w:t xml:space="preserve">Sau một loạt vụ thất bại kế toán nổi tiếng, Quốc hội đã ban hành Đạo luật Sarbanes-Oxley năm 2002 (hay Đạo luật), 116 Stat. 745. Trong số các biện pháp khác, Đạo luật đã đưa ra quy định chặt chẽ hơn đối với ngành kế toán dưới một Ủy ban Giám sát Kế toán Công ty Đại chúng mới. Ủy ban này gồm năm thành viên, được bổ nhiệm theo nhiệm kỳ 5 năm so le bởi Ủy ban Chứng khoán và Giao dịch. Nó được mô phỏng theo các tổ chức tự quản tư nhân trong ngành chứng khoán—chẳng hạn như Sở Giao dịch Chứng khoán New York—những tổ chức điều tra và kỷ luật các thành viên của chính mình dưới sự giám sát của Ủy ban. Quốc hội đã thành lập Ủy ban này như một “công ty phi lợi nhuận” tư nhân, và các thành viên cùng nhân viên của Ủy ban không được coi là “viên chức hay nhân viên” của Chính phủ vì mục đích luật định. 15 U.S.C. §§ 7211(a), (b). Do đó, Ủy ban có thể tuyển dụng thành viên và nhân viên từ khu vực tư nhân bằng cách trả mức lương cao hơn nhiều so với thang lương tiêu chuẩn của Chính phủ. </w:t>
      </w:r>
      <w:r>
        <w:rPr>
          <w:b w:val="0"/>
          <w:i/>
        </w:rPr>
        <w:t>Xem</w:t>
      </w:r>
      <w:r>
        <w:rPr>
          <w:b w:val="0"/>
          <w:i w:val="0"/>
        </w:rPr>
        <w:t xml:space="preserve"> §§ 7211(f)(4), 7219.</w:t>
      </w:r>
    </w:p>
    <w:p>
      <w:pPr>
        <w:spacing w:after="80"/>
      </w:pPr>
      <w:r>
        <w:rPr>
          <w:b w:val="0"/>
          <w:i w:val="0"/>
        </w:rPr>
        <w:t>Tuy nhiên, không giống như các tổ chức tự quản, Ủy ban này là một thực thể do Chính phủ thành lập và bổ nhiệm, với quyền hạn rộng lớn để quản lý toàn bộ một ngành. Mọi công ty kế toán—cả nước ngoài lẫn trong nước—tham gia kiểm toán các công ty đại chúng theo luật chứng khoán đều phải đăng ký với Ủy ban, trả cho Ủy ban một khoản phí hàng năm, và tuân thủ các quy tắc cùng sự giám sát của Ủy ban. §§ 7211(a), 7212(a), (f), 7213, 7216(a)(1). Ủy ban có nhiệm vụ thực thi Đạo luật Sarbanes-Oxley, luật chứng khoán, các quy tắc của Ủy ban Chứng khoán, các quy tắc của chính mình, và các chuẩn mực kế toán nghề nghiệp. §§ 7215(b)(1), (c)(4). Để đạt mục tiêu này, Ủy ban có thể điều chỉnh mọi chi tiết trong hoạt động hành nghề của một công ty kế toán, bao gồm việc tuyển dụng và phát triển nghề nghiệp, thăng tiến, giám sát công việc kiểm toán, việc chấp nhận khách hàng mới và tiếp tục khách hàng cũ, các thủ tục kiểm tra nội bộ, các quy tắc đạo đức nghề nghiệp, và “những yêu cầu khác mà Ủy ban có thể quy định.” § 7213(a)(2)(B).</w:t>
      </w:r>
    </w:p>
    <w:p>
      <w:pPr>
        <w:spacing w:after="80"/>
      </w:pPr>
      <w:r>
        <w:rPr>
          <w:b w:val="0"/>
          <w:i w:val="0"/>
        </w:rPr>
        <w:t>Ủy ban ban hành các chuẩn mực kiểm toán và đạo đức, thực hiện các cuộc kiểm tra định kỳ đối với mọi công ty kế toán, yêu cầu cung cấp tài liệu và lời khai, đồng thời khởi xướng các cuộc điều tra chính thức và thủ tục kỷ luật. §§ 7213–7215 (bản 2006 và Supp. II). Việc cố ý vi phạm bất kỳ quy tắc nào của Ủy ban được coi là cố ý vi phạm Đạo luật Giao dịch Chứng khoán năm 1934, 48 Stat. 881, 15 U.S.C. § 78a et seq.—một tội liên bang có thể bị phạt tù tới 20 năm hoặc phạt tiền tới 25 triệu đô la (5 triệu đô la đối với cá nhân). §§ 78ff(a), 7202(b)(1) (bản 2006). Và bản thân Ủy ban có thể đưa ra các hình phạt nghiêm khắc trong thủ tục kỷ luật của mình, bao gồm cả việc thu hồi vĩnh viễn giấy phép đăng ký của một công ty, cấm vĩnh viễn một người liên kết với bất kỳ công ty đã đăng ký nào, và phạt tiền 15 triệu đô la (750.000 đô la đối với cá nhân). § 7215(c)(4). Bất chấp các quy định nêu rõ rằng thành viên Ủy ban không phải là quan chức Chính phủ vì mục đích luật định, các bên đồng ý rằng Ủy ban là “một phần của Chính phủ” vì mục đích hiến pháp, Lebron v. National Railroad Passenger Corporation, 513 U.S. 374, 397, 115 S. Ct. 961, 130 L. Ed. 2d 902 (1995), và rằng các thành viên của nó là “‘Viên chức của Hoa Kỳ’” những người “thực thi quyền hạn đáng kể theo luật pháp Hoa Kỳ,” Buckley v. Valeo, 424 U.S. 1, 125–126, 96 S. Ct. 612, 46 L. Ed. 2d 659 (1976) (per curiam) (trích dẫn Art. II, § 2, cl. 2); cf. Brief for Petitioners 9, n. 1; Brief for United States 29, n. 8.</w:t>
      </w:r>
    </w:p>
    <w:p>
      <w:pPr>
        <w:spacing w:after="80"/>
      </w:pPr>
      <w:r>
        <w:rPr>
          <w:b w:val="0"/>
          <w:i w:val="0"/>
        </w:rPr>
        <w:t>Đạo luật đặt Ủy ban dưới sự giám sát của SEC, đặc biệt là đối với việc ban hành quy tắc hoặc áp đặt các hình phạt (cả hai đều phải được Ủy ban Chứng khoán phê duyệt và sửa đổi). §§ 7217(b)–(c). Nhưng các thành viên cá nhân của Ủy ban—giống như các viên chức và giám đốc của các tổ chức tự quản—về cơ bản được bảo vệ khỏi sự kiểm soát của Ủy ban Chứng khoán. Ủy ban Chứng khoán không thể cách chức các thành viên Ủy ban theo ý muốn, mà chỉ có thể “vì lý do chính đáng được chứng minh,” “theo” các thủ tục nhất định. § 7211(e)(6).</w:t>
      </w:r>
    </w:p>
    <w:p>
      <w:pPr>
        <w:spacing w:after="80"/>
      </w:pPr>
      <w:r>
        <w:rPr>
          <w:b w:val="0"/>
          <w:i w:val="0"/>
        </w:rPr>
        <w:t>Những thủ tục đó yêu cầu Ủy ban Chứng khoán phải đưa ra phát hiện, “trên hồ sơ” và “sau khi thông báo và có cơ hội điều trần,” rằng thành viên Ủy ban</w:t>
      </w:r>
    </w:p>
    <w:p>
      <w:pPr>
        <w:spacing w:after="80"/>
      </w:pPr>
      <w:r>
        <w:rPr>
          <w:b w:val="0"/>
          <w:i w:val="0"/>
        </w:rPr>
        <w:t>“(A) đã cố ý vi phạm bất kỳ quy định nào của Đạo luật n[ày], các quy tắc của Ủy ban, hoặc luật chứng khoán;</w:t>
      </w:r>
    </w:p>
    <w:p>
      <w:pPr>
        <w:spacing w:after="80"/>
      </w:pPr>
      <w:r>
        <w:rPr>
          <w:b w:val="0"/>
          <w:i w:val="0"/>
        </w:rPr>
        <w:t>“(B) đã cố ý lạm dụng quyền hạn của thành viên đó; hoặc</w:t>
      </w:r>
    </w:p>
    <w:p>
      <w:pPr>
        <w:spacing w:after="80"/>
      </w:pPr>
      <w:r>
        <w:rPr>
          <w:b w:val="0"/>
          <w:i w:val="0"/>
        </w:rPr>
        <w:t>“(C) không có lý do hoặc sự biện minh hợp lý, đã không thực thi việc tuân thủ bất kỳ quy định hay quy tắc nào như vậy, hoặc bất kỳ chuẩn mực nghề nghiệp nào của bất kỳ công ty kế toán đại chúng đã đăng ký nào hoặc bất kỳ người liên kết nào của công ty đó.” § 7217(d)(3).</w:t>
      </w:r>
    </w:p>
    <w:p>
      <w:pPr>
        <w:spacing w:after="80"/>
      </w:pPr>
      <w:r>
        <w:rPr>
          <w:b w:val="0"/>
          <w:i w:val="0"/>
        </w:rPr>
        <w:t xml:space="preserve">Việc cách chức một thành viên Ủy ban đòi hỏi một lệnh chính thức của Ủy ban Chứng khoán và phải chịu sự xem xét tư pháp. </w:t>
      </w:r>
      <w:r>
        <w:rPr>
          <w:b w:val="0"/>
          <w:i/>
        </w:rPr>
        <w:t>Xem</w:t>
      </w:r>
      <w:r>
        <w:rPr>
          <w:b w:val="0"/>
          <w:i w:val="0"/>
        </w:rPr>
        <w:t xml:space="preserve"> 5 U.S.C. §§ 554(a), 556(a), 557(a), (c)(2)(B); 15 U.S.C. § 78y(a)(1). Các thủ tục tương tự cũng điều chỉnh việc Ủy ban Chứng khoán cách chức các viên chức và giám đốc của các tổ chức tự quản tư nhân. </w:t>
      </w:r>
      <w:r>
        <w:rPr>
          <w:b w:val="0"/>
          <w:i/>
        </w:rPr>
        <w:t>Xem</w:t>
      </w:r>
      <w:r>
        <w:rPr>
          <w:b w:val="0"/>
          <w:i w:val="0"/>
        </w:rPr>
        <w:t xml:space="preserve"> § 78s(h)(4). Các bên đồng ý rằng bản thân các Ủy viên không thể bị Tổng thống cách chức ngoại trừ theo tiêu chuẩn Humphrey's Executor về “sự kém hiệu quả, bỏ bê nhiệm vụ, hoặc hành vi sai trái trong chức vụ,” 295 U.S., at 620, 55 S. Ct. 869, 79 L. Ed. 1611 (lược bỏ dấu ngoặc kép nội bộ); xem Brief for Petitioners 31; Brief for United States 43; Brief for Respondent Public Company Accounting Oversight Board 31 (sau đây gọi là PCAOB Brief); Tr. of Oral Arg. 47, và chúng tôi giải quyết vụ án với sự hiểu biết đó.</w:t>
      </w:r>
    </w:p>
    <w:p>
      <w:pPr>
        <w:spacing w:after="80"/>
      </w:pPr>
      <w:r>
        <w:rPr>
          <w:b w:val="0"/>
          <w:i w:val="0"/>
        </w:rPr>
        <w:t>* * *</w:t>
      </w:r>
    </w:p>
    <w:p>
      <w:pPr>
        <w:spacing w:after="80"/>
      </w:pPr>
      <w:r>
        <w:rPr>
          <w:b w:val="0"/>
          <w:i w:val="0"/>
        </w:rPr>
        <w:t>Như đã giải thích, trước đây chúng tôi đã ủng hộ những hạn chế giới hạn đối với quyền cách chức của Tổng thống. Tuy nhiên, trong những vụ án đó, chỉ có một cấp nhiệm kỳ được bảo vệ ngăn cách Tổng thống với một viên chức đang thực thi quyền hành pháp. Chính Tổng thống—hoặc một cấp dưới mà ông có thể cách chức theo ý muốn—là người quyết định liệu hành vi của viên chức đó có đáng bị cách chức theo tiêu chuẩn lý do chính đáng hay không.</w:t>
      </w:r>
    </w:p>
    <w:p>
      <w:pPr>
        <w:spacing w:after="80"/>
      </w:pPr>
      <w:r>
        <w:rPr>
          <w:b w:val="0"/>
          <w:i w:val="0"/>
        </w:rPr>
        <w:t>Đạo luật trước mắt chúng ta lại làm một điều khá khác biệt. Nó không chỉ bảo vệ các thành viên Ủy ban khỏi bị cách chức trừ khi có lý do chính đáng, mà còn tước khỏi Tổng thống mọi quyết định về việc liệu lý do chính đáng đó có tồn tại hay không. Quyết định đó thay vào đó được trao cho các viên chức có nhiệm kỳ khác—các Ủy viên—những người mà không ai trong số họ chịu sự kiểm soát trực tiếp của Tổng thống. Kết quả là một Ủy ban không chịu trách nhiệm trước Tổng thống, và một Tổng thống không chịu trách nhiệm về Ủy ban.</w:t>
      </w:r>
    </w:p>
    <w:p>
      <w:pPr>
        <w:spacing w:after="80"/>
      </w:pPr>
      <w:r>
        <w:rPr>
          <w:b w:val="0"/>
          <w:i w:val="0"/>
        </w:rPr>
        <w:t>Lớp bảo vệ nhiệm kỳ được bổ sung tạo ra sự khác biệt. Nếu không có một lớp ngăn cách giữa Ủy ban (Commission) và Ban (Board), Ủy ban có thể loại bỏ một thành viên Ban bất cứ lúc nào, và do đó sẽ hoàn toàn chịu trách nhiệm về những gì Ban làm. Khi đó Tổng thống có thể buộc Ủy ban phải chịu trách nhiệm về việc giám sát Ban của mình, ở mức độ tương tự như ông có thể buộc Ủy ban chịu trách nhiệm về mọi việc khác mà nó làm.</w:t>
      </w:r>
    </w:p>
    <w:p>
      <w:pPr>
        <w:spacing w:after="80"/>
      </w:pPr>
      <w:r>
        <w:rPr>
          <w:b w:val="0"/>
          <w:i w:val="0"/>
        </w:rPr>
        <w:t>Cấp độ bảo vệ nhiệm kỳ thứ hai làm thay đổi bản chất việc xem xét của Tổng thống. Giờ đây Ủy ban không thể loại bỏ một thành viên Ban theo ý muốn. Do đó Tổng thống không thể buộc Ủy ban chịu trách nhiệm hoàn toàn về hành vi của Ban, ở mức độ tương tự như ông có thể buộc Ủy ban chịu trách nhiệm về mọi việc khác mà nó làm. Các Ủy viên không chịu trách nhiệm về hành động của Ban. Họ chỉ chịu trách nhiệm về phán quyết của chính mình về việc liệu tiêu chuẩn "lý do chính đáng" (good-cause) nghiêm ngặt của Đạo luật có được đáp ứng hay không. Và ngay cả khi Tổng thống không đồng ý với phán quyết của họ, ông cũng bất lực không thể can thiệp—trừ khi phán quyết đó vô lý đến mức cấu thành "sự kém hiệu quả, sự bỏ bê nhiệm vụ, hoặc sự sai trái trong công vụ" (inefficiency, neglect of duty, or malfeasance in office). Humphrey's Executor, 295 U.S., at 620, 55 S. Ct. 869, 79 L. Ed. 1611 (lược bỏ dấu ngoặc kép nội bộ).</w:t>
      </w:r>
    </w:p>
    <w:p>
      <w:pPr>
        <w:spacing w:after="80"/>
      </w:pPr>
      <w:r>
        <w:rPr>
          <w:b w:val="0"/>
          <w:i w:val="0"/>
        </w:rPr>
        <w:t>Cấu trúc mới lạ này không chỉ bổ sung thêm tính độc lập cho Ban, mà còn biến đổi nó. Cả Tổng thống, lẫn bất kỳ ai chịu trách nhiệm trực tiếp trước ông, lẫn ngay cả một viên chức mà ông chỉ có thể xem xét hành vi vì lý do chính đáng, đều không có toàn quyền kiểm soát Ban. Tổng thống bị tước đi quyền lực mà các án lệ của chúng ta đã bảo tồn, và khả năng thực thi pháp luật của ông—bằng cách buộc cấp dưới của mình chịu trách nhiệm về hành vi của họ—bị suy yếu.</w:t>
      </w:r>
    </w:p>
    <w:p>
      <w:pPr>
        <w:spacing w:after="80"/>
      </w:pPr>
      <w:r>
        <w:rPr>
          <w:b w:val="0"/>
          <w:i w:val="0"/>
        </w:rPr>
        <w:t xml:space="preserve">Sự sắp đặt đó trái với việc Điều II (Article II) trao quyền hành pháp cho Tổng thống. Không có khả năng giám sát Ban, hoặc quy trách nhiệm những thất bại của Ban cho những người mà ông </w:t>
      </w:r>
      <w:r>
        <w:rPr>
          <w:b w:val="0"/>
          <w:i/>
        </w:rPr>
        <w:t>có thể</w:t>
      </w:r>
      <w:r>
        <w:rPr>
          <w:b w:val="0"/>
          <w:i w:val="0"/>
        </w:rPr>
        <w:t xml:space="preserve"> giám sát, Tổng thống không còn là người phán xét hành vi của Ban nữa. Ông không phải là người quyết định liệu các thành viên Ban có đang lạm dụng chức vụ hay bỏ bê nhiệm vụ của họ hay không. Ông không thể đảm bảo rằng pháp luật được thực thi trung thành, cũng không thể bị buộc chịu trách nhiệm về sự bội tín của một thành viên Ban. Điều này vi phạm nguyên tắc cơ bản rằng Tổng thống "không thể ủy thác trách nhiệm tối hậu hoặc nghĩa vụ chủ động giám sát đi kèm với nó", bởi vì Điều II "quy định một Tổng thống duy nhất chịu trách nhiệm về các hành động của Nhánh Hành pháp". Clinton v. Jones, 520 U.S. 681, 712–713, 117 S. Ct. 1636, 137 L. Ed. 2d 945 (1997) (Breyer, J., đồng ý về phán quyết).</w:t>
      </w:r>
    </w:p>
    <w:p>
      <w:pPr>
        <w:spacing w:after="80"/>
      </w:pPr>
      <w:r>
        <w:rPr>
          <w:b w:val="0"/>
          <w:i w:val="0"/>
        </w:rPr>
        <w:t xml:space="preserve">Thật vậy, nếu được phép tồn tại, sự phân tán trách nhiệm này có thể nhân lên. Nếu Quốc hội có thể che chở bộ máy quan liêu sau hai lớp nhiệm kỳ vì lý do chính đáng, thì tại sao không phải là lớp thứ ba? Tại phần tranh luận miệng, Chính phủ đã không sẵn lòng thừa nhận rằng ngay cả </w:t>
      </w:r>
      <w:r>
        <w:rPr>
          <w:b w:val="0"/>
          <w:i/>
        </w:rPr>
        <w:t>năm</w:t>
      </w:r>
      <w:r>
        <w:rPr>
          <w:b w:val="0"/>
          <w:i w:val="0"/>
        </w:rPr>
        <w:t xml:space="preserve"> lớp giữa Tổng thống và Ban cũng sẽ là quá nhiều. Tr. of Oral Arg. 47–48. Các viên chức của một cơ quan như vậy—được bao bọc an toàn trong một con búp bê Matryoshka gồm các lớp bảo vệ nhiệm kỳ—sẽ miễn nhiễm với sự giám sát của Tổng thống, ngay cả khi họ thực thi quyền lực nhân danh người dân.</w:t>
      </w:r>
    </w:p>
    <w:p>
      <w:pPr>
        <w:spacing w:after="80"/>
      </w:pPr>
      <w:r>
        <w:rPr>
          <w:b w:val="0"/>
          <w:i w:val="0"/>
        </w:rPr>
        <w:t>Có lẽ một Tổng thống cá nhân nào đó có thể thấy lợi ích trong việc tự trói tay mình. Nhưng sự phân chia quyền lực không phụ thuộc vào quan điểm của từng Tổng thống, xem Freytag v. Commissioner, 501 U.S. 868, 879–880, 111 S. Ct. 2631, 115 L. Ed. 2d 764 (1991), cũng không phụ thuộc vào việc liệu "nhánh bị xâm phạm có chấp thuận sự xâm phạm hay không", New York v. United States, 505 U.S. 144, 182, 112 S. Ct. 2408, 120 L. Ed. 2d 120 (1992). Tổng thống luôn có thể chọn tự kiềm chế mình trong các mối quan hệ với cấp dưới. Tuy nhiên, ông không thể chọn ràng buộc những người kế nhiệm bằng cách làm suy giảm quyền lực của họ, cũng không thể trốn tránh trách nhiệm về những lựa chọn của mình bằng cách giả vờ rằng chúng không phải là của chính ông.</w:t>
      </w:r>
    </w:p>
    <w:p>
      <w:pPr>
        <w:spacing w:after="80"/>
      </w:pPr>
      <w:r>
        <w:rPr>
          <w:b w:val="0"/>
          <w:i w:val="0"/>
        </w:rPr>
        <w:t xml:space="preserve">Sự phân tán quyền lực kéo theo sự phân tán trách nhiệm giải trình. Người dân không bỏ phiếu cho các "Viên chức của Hoa Kỳ" (Officers of the United States). Art. II, § 2, cl. 2. Thay vào đó, họ trông cậy vào Tổng thống để dẫn dắt "các trợ lý hoặc phó sự . . . chịu sự giám sát của ông". The Federalist No. 72, p. 487 (J. Cooke ed. 1961) (A. Hamilton). Không có một chuỗi mệnh lệnh rõ ràng và hiệu quả, công chúng không thể "xác định ai thực sự là người phải gánh chịu sự khiển trách hoặc hình phạt cho một biện pháp tai hại, hoặc một loạt biện pháp tai hại". </w:t>
      </w:r>
      <w:r>
        <w:rPr>
          <w:b w:val="0"/>
          <w:i/>
        </w:rPr>
        <w:t>Id.</w:t>
      </w:r>
      <w:r>
        <w:rPr>
          <w:b w:val="0"/>
          <w:i w:val="0"/>
        </w:rPr>
        <w:t xml:space="preserve"> , No. 70, at 476 (như trên). Đó là lý do vì sao những Người Lập hiến (Framers) tìm cách đảm bảo rằng "những người được giao thực thi pháp luật sẽ ở đúng vị trí của họ, và chuỗi phụ thuộc được duy trì; các viên chức thấp nhất, cấp bậc trung, và cao nhất, sẽ phụ thuộc, như họ nên phụ thuộc, vào Tổng thống, và Tổng thống phụ thuộc vào cộng đồng". 1 Annals of Cong., at 499 (J. Madison).</w:t>
      </w:r>
    </w:p>
    <w:p>
      <w:pPr>
        <w:spacing w:after="80"/>
      </w:pPr>
      <w:r>
        <w:rPr>
          <w:b w:val="0"/>
          <w:i w:val="0"/>
        </w:rPr>
        <w:t>Bằng việc trao cho Ban quyền hành pháp mà không có sự giám sát của Nhánh Hành pháp, Đạo luật này phá hoại khả năng của Tổng thống trong việc đảm bảo rằng pháp luật được thực thi trung thành—cũng như khả năng của công chúng trong việc đưa ra phán xét về những nỗ lực của ông. Những hạn chế của Đạo luật không tương thích với sự phân chia quyền lực của Hiến pháp.</w:t>
      </w:r>
    </w:p>
    <w:p>
      <w:pPr>
        <w:pStyle w:val="Heading5"/>
      </w:pPr>
      <w:r>
        <w:rPr>
          <w:rFonts w:ascii="Calibri" w:hAnsi="Calibri"/>
          <w:b/>
          <w:i/>
          <w:sz w:val="22"/>
        </w:rPr>
        <w:t>Bình luận và Câu hỏi</w:t>
      </w:r>
    </w:p>
    <w:p>
      <w:pPr>
        <w:spacing w:after="80"/>
      </w:pPr>
      <w:r>
        <w:rPr>
          <w:b w:val="0"/>
          <w:i w:val="0"/>
        </w:rPr>
        <w:t>1. Tòa án D.C. Circuit đã chia rẽ với tỷ lệ 2–1, khẳng định tính hợp hiến của PCAOB. Tòa án Tối cao, tuy đã lật ngược phán quyết, cũng chia rẽ tương tự. Phán quyết được đưa ra vào ngày cuối cùng của kỳ họp và được quyết định với tỷ lệ 5–4.</w:t>
      </w:r>
    </w:p>
    <w:p>
      <w:pPr>
        <w:spacing w:after="80"/>
      </w:pPr>
      <w:r>
        <w:rPr>
          <w:b w:val="0"/>
          <w:i w:val="0"/>
        </w:rPr>
        <w:t>2. Đã có một số rủi ro rằng Tòa án sẽ bãi bỏ không chỉ các điều khoản tạo ra PCAOB mà còn cả toàn bộ SOX. Thay vào đó, Tòa án chỉ vô hiệu hóa điều khoản miễn nhiệm "vì lý do chính đáng" (for cause), về cơ bản trao cho Ủy ban quyền toàn phần để loại bỏ các thành viên của Ban. Hệ quả có thể xảy ra của phán quyết này là gì? Nó có thể sẽ ảnh hưởng như thế nào đến vai trò và tính độc lập của PCAOB?</w:t>
      </w:r>
    </w:p>
    <w:p>
      <w:pPr>
        <w:spacing w:after="80"/>
      </w:pPr>
      <w:r>
        <w:rPr>
          <w:b w:val="0"/>
          <w:i w:val="0"/>
        </w:rPr>
        <w:t>3. Tại sao Quốc hội lại tạo ra cấu trúc này? Chắc chắn Quốc hội có ý định cách ly PCAOB khỏi ảnh hưởng chính trị. Tuy nhiên, đồng thời, việc thiếu sự giám sát chính trị có thể làm tăng nguy cơ bị thâu tóm bởi chính cơ quan bị điều chỉnh. Phe đa số thừa nhận rằng "[n]gười ta có thể có một chính phủ vận hành mà không bị cai trị bởi các quan chức, và một chính phủ hưởng lợi từ chuyên môn mà không bị cai trị bởi các chuyên gia". Nhưng với phán quyết trong vụ án này, liệu điều đó có đúng đối với việc giám sát các kiểm toán viên cho các công ty đại chúng hay không?</w:t>
      </w:r>
    </w:p>
    <w:p>
      <w:pPr>
        <w:spacing w:after="80"/>
      </w:pPr>
      <w:r>
        <w:rPr>
          <w:b w:val="0"/>
          <w:i w:val="0"/>
        </w:rPr>
        <w:t>4. Phe đa số cũng lưu ý rằng "sự bảo vệ đa tầng" (multilevel protection) được tạo ra trong bối cảnh PCAOB là một bản thiết kế cho việc mở rộng thẩm quyền của Quốc hội. Điều này có đúng không?</w:t>
      </w:r>
    </w:p>
    <w:p>
      <w:pPr>
        <w:spacing w:after="80"/>
      </w:pPr>
      <w:r>
        <w:rPr>
          <w:b w:val="0"/>
          <w:i w:val="0"/>
        </w:rPr>
        <w:t>5. Một số điểm khác biệt giữa PCAOB và NYSE là gì? Một số điểm tương đồng là gì? Điều gì giải thích cách tiếp cận khác nhau? Tại sao Quốc hội không đơn giản đặt PCAOB vào bên trong SEC hoặc cho phép nó trở thành một tổ chức tự quản (self-regulatory organization) theo mô hình các sở giao dịch chứng khoán?</w:t>
      </w:r>
    </w:p>
    <w:p>
      <w:pPr>
        <w:spacing w:after="80"/>
      </w:pPr>
      <w:r>
        <w:rPr>
          <w:b w:val="0"/>
          <w:i w:val="0"/>
        </w:rPr>
        <w:t xml:space="preserve">6. Như Tòa án đã lưu ý, một hệ quả của cấu trúc này là PCAOB có thể trả thù lao cho các thành viên Ban "cao hơn nhiều so với thang lương tiêu chuẩn của Chính phủ". Các thành viên trong ban năm người được trả hơn $500,000. </w:t>
      </w:r>
      <w:r>
        <w:rPr>
          <w:b w:val="0"/>
          <w:i/>
        </w:rPr>
        <w:t>Xem</w:t>
      </w:r>
      <w:r>
        <w:rPr>
          <w:b w:val="0"/>
          <w:i w:val="0"/>
        </w:rPr>
        <w:t xml:space="preserve"> Bài phát biểu của Ủy viên SEC Paul Atkins, Tuyên bố tại Cuộc họp Mở để Xem xét Ngân sách Đề xuất năm 2008 của PCAOB, ngày 18 tháng 12 năm 2007 (lưu ý rằng ngân sách cho năm 2008 sẽ tăng lương của các thành viên ban lên $532,000 và chủ tịch lên $654,353). Đồng thời, mức lương trả cho Tổng thống Hoa Kỳ là $400,000. Id. Lý lẽ biện minh có thể có cho những mức lương này là gì? Chúng có cần thiết không?</w:t>
      </w:r>
    </w:p>
    <w:p>
      <w:pPr>
        <w:spacing w:after="80"/>
      </w:pPr>
      <w:r>
        <w:rPr>
          <w:b w:val="0"/>
          <w:i w:val="0"/>
        </w:rPr>
        <w:t>7. Với phán quyết trong vụ án này, liệu chúng ta có khả năng sẽ thấy nhiều cơ quan quản lý hơn nữa giống với PCAOB hoặc NYSE hay không?</w:t>
      </w:r>
    </w:p>
    <w:p>
      <w:pPr>
        <w:pStyle w:val="Heading2"/>
      </w:pPr>
      <w:r>
        <w:rPr>
          <w:rFonts w:ascii="Calibri" w:hAnsi="Calibri"/>
          <w:b/>
          <w:i w:val="0"/>
          <w:sz w:val="32"/>
        </w:rPr>
        <w:t>IV. Cạnh tranh pháp lý: Delaware đấu với SEC</w:t>
      </w:r>
    </w:p>
    <w:p>
      <w:pPr>
        <w:spacing w:after="80"/>
      </w:pPr>
      <w:r>
        <w:rPr>
          <w:b w:val="0"/>
          <w:i w:val="0"/>
        </w:rPr>
        <w:t>Mặc dù có sự phân tách nhất định trong vai trò của các cơ quan quản lý khác nhau, nhưng dường như Delaware và Ủy ban Chứng khoán và Giao dịch (Securities and Exchange Commission - SEC) ngày càng có nhiều căng thẳng nhất. Vì vậy, dù vị thế dẫn đầu của Delaware trong lĩnh vực luật doanh nghiệp là không thể tranh cãi ở cấp tiểu bang, điều đó không có nghĩa là nó luôn được quyền quyết định hướng đi của quản trị doanh nghiệp.</w:t>
      </w:r>
    </w:p>
    <w:p>
      <w:pPr>
        <w:spacing w:after="80"/>
      </w:pPr>
      <w:r>
        <w:rPr>
          <w:b w:val="0"/>
          <w:i w:val="0"/>
        </w:rPr>
        <w:t>Do đó, nếu có thể nói Delaware có sự cạnh tranh, thì nguồn cạnh tranh không phải là các tiểu bang khác mà là luật liên bang. Theo Giáo sư Roe, cuộc cạnh tranh chính thực sự là giữa Delaware và chính phủ liên bang. Như ông đã viết:</w:t>
      </w:r>
    </w:p>
    <w:p>
      <w:pPr>
        <w:spacing w:after="80"/>
      </w:pPr>
      <w:r>
        <w:rPr>
          <w:b w:val="0"/>
          <w:i w:val="0"/>
        </w:rPr>
        <w:t>Quyền tự do hành động của Delaware và các giới hạn của nó không được quyết định chỉ bởi, và có lẽ thậm chí không chủ yếu bởi, sức mạnh của nó so với các tiểu bang khác, mà bởi ranh giới phân định nơi các cơ quan liên bang để yên cho nó và nơi họ không để yên. Trong phạm vi không gây phản ứng từ các cơ quan liên bang, Delaware có quyền tự chủ.</w:t>
      </w:r>
    </w:p>
    <w:p>
      <w:pPr>
        <w:spacing w:after="80"/>
      </w:pPr>
      <w:r>
        <w:rPr>
          <w:b w:val="0"/>
          <w:i w:val="0"/>
        </w:rPr>
        <w:t xml:space="preserve">Mark J. Roe, </w:t>
      </w:r>
      <w:r>
        <w:rPr>
          <w:b w:val="0"/>
          <w:i/>
        </w:rPr>
        <w:t>Delaware's Politics,</w:t>
      </w:r>
      <w:r>
        <w:rPr>
          <w:b w:val="0"/>
          <w:i w:val="0"/>
        </w:rPr>
        <w:t xml:space="preserve"> 118 Harv. L. Rev. 2491 (2005).</w:t>
      </w:r>
    </w:p>
    <w:p>
      <w:pPr>
        <w:pStyle w:val="Heading5"/>
      </w:pPr>
      <w:r>
        <w:rPr>
          <w:rFonts w:ascii="Calibri" w:hAnsi="Calibri"/>
          <w:b/>
          <w:i/>
          <w:sz w:val="22"/>
        </w:rPr>
        <w:t>Bình luận và Câu hỏi</w:t>
      </w:r>
    </w:p>
    <w:p>
      <w:pPr>
        <w:spacing w:after="80"/>
      </w:pPr>
      <w:r>
        <w:rPr>
          <w:b w:val="0"/>
          <w:i w:val="0"/>
        </w:rPr>
        <w:t>1. Có phải thực tế là không có sự cạnh tranh thực sự giữa các tiểu bang để giành giấy phép thành lập doanh nghiệp? Ví dụ, Nevada đã tìm cách trở thành “Delaware của miền Tây” bằng cách ban hành luật thậm chí còn thuận lợi hơn cho ban quản lý. Đến lượt mình, North Dakota đã cố gắng cạnh tranh bằng cách thông qua luật thậm chí còn thuận lợi hơn cho cổ đông.</w:t>
      </w:r>
    </w:p>
    <w:p>
      <w:pPr>
        <w:spacing w:after="80"/>
      </w:pPr>
      <w:r>
        <w:rPr>
          <w:b w:val="0"/>
          <w:i w:val="0"/>
        </w:rPr>
        <w:t>2. Trong phạm vi Delaware chỉ phải lo về sự can thiệp của liên bang, mối đe dọa này hiếm khi được thực thi, ít nhất là trong lĩnh vực quản trị doanh nghiệp. Vì vậy, dù Quốc hội đã trao cho SEC quyền điều chỉnh các đề nghị mua lại (tender offers) vào năm 1968, họ cũng quy định việc tăng cường công bố thông tin và các biện pháp bảo vệ phòng ngừa cho cổ đông chào bán. Do đó, các quy định này ít có tác động đến quản trị. Điều này cho chúng ta biết gì về bất kỳ lo ngại nào mà Delaware có thể có rằng cách tiếp cận của mình đối với luật doanh nghiệp có thể dẫn đến sự can thiệp của liên bang?</w:t>
      </w:r>
    </w:p>
    <w:p>
      <w:pPr>
        <w:spacing w:after="80"/>
      </w:pPr>
      <w:r>
        <w:rPr>
          <w:b w:val="0"/>
          <w:i w:val="0"/>
        </w:rPr>
        <w:t xml:space="preserve">3. Phải chăng Delaware chỉ là một nhóm lợi ích khác trong số các nhóm cạnh tranh ảnh hưởng ở Washington, DC? Ví dụ, các tòa án Delaware thường xuyên giải quyết các vấn đề pháp lý nằm ngoài bối cảnh của một vụ án hay tranh chấp cụ thể. </w:t>
      </w:r>
      <w:r>
        <w:rPr>
          <w:b w:val="0"/>
          <w:i/>
        </w:rPr>
        <w:t>Xem</w:t>
      </w:r>
      <w:r>
        <w:rPr>
          <w:b w:val="0"/>
          <w:i w:val="0"/>
        </w:rPr>
        <w:t xml:space="preserve"> Myron T. Steele &amp; J.W. Verret, </w:t>
      </w:r>
      <w:r>
        <w:rPr>
          <w:b w:val="0"/>
          <w:i/>
        </w:rPr>
        <w:t>Delaware's Guidance: Ensuring Equity for the Modern Witenagemot</w:t>
      </w:r>
      <w:r>
        <w:rPr>
          <w:b w:val="0"/>
          <w:i w:val="0"/>
        </w:rPr>
        <w:t xml:space="preserve"> , 2 Va. L. &amp; Bus. Rev. 189, 193 (2007) (lưu ý việc cố ý sử dụng các bài phát biểu và ý kiến bổ sung trong các phán quyết để cung cấp hướng dẫn “nhằm báo hiệu hướng phát triển của án lệ Tòa án Chancery và Tòa án Tối cao Delaware”).</w:t>
      </w:r>
    </w:p>
    <w:p>
      <w:pPr>
        <w:spacing w:after="80"/>
      </w:pPr>
      <w:r>
        <w:rPr>
          <w:b w:val="0"/>
          <w:i w:val="0"/>
        </w:rPr>
        <w:t xml:space="preserve">4. Mọi thứ có thể đã thay đổi như thế nào trong thiên niên kỷ mới? Năm 2002, Quốc hội đã thông qua SOX và trao cho SEC vai trò trực tiếp, thực chất hơn trong quá trình quản trị bằng cách cho phép nó sử dụng các tiêu chuẩn niêm yết để điều chỉnh các ủy ban kiểm toán. </w:t>
      </w:r>
      <w:r>
        <w:rPr>
          <w:b w:val="0"/>
          <w:i/>
        </w:rPr>
        <w:t>Xem</w:t>
      </w:r>
      <w:r>
        <w:rPr>
          <w:b w:val="0"/>
          <w:i w:val="0"/>
        </w:rPr>
        <w:t xml:space="preserve"> Rule 10A-3, 17 CFR 240.10A-3. Trong giai đoạn này, các tòa án Delaware đã ban hành một số phán quyết gợi ý về cách tiếp cận nghiêm ngặt hơn đối với các nghĩa vụ tín thác. Một số người suy đoán rằng những phán quyết này được thiết kế để giảm áp lực cho việc liên bang chiếm quyền thêm. </w:t>
      </w:r>
      <w:r>
        <w:rPr>
          <w:b w:val="0"/>
          <w:i/>
        </w:rPr>
        <w:t>Xem</w:t>
      </w:r>
      <w:r>
        <w:rPr>
          <w:b w:val="0"/>
          <w:i w:val="0"/>
        </w:rPr>
        <w:t xml:space="preserve"> John Coffee, </w:t>
      </w:r>
      <w:r>
        <w:rPr>
          <w:b w:val="0"/>
          <w:i/>
        </w:rPr>
        <w:t>Post-Enron Jurisprudence</w:t>
      </w:r>
      <w:r>
        <w:rPr>
          <w:b w:val="0"/>
          <w:i w:val="0"/>
        </w:rPr>
        <w:t xml:space="preserve"> , N.Y.L.J. July 17, 2003, at 5 (lưu ý rằng một số phán quyết gần đây của tòa án Delaware có thể được giải thích bởi mong muốn ngăn chặn sự can thiệp thêm của liên bang vào quá trình quản trị doanh nghiệp).</w:t>
      </w:r>
    </w:p>
    <w:p>
      <w:pPr>
        <w:spacing w:after="80"/>
      </w:pPr>
      <w:r>
        <w:rPr>
          <w:b w:val="0"/>
          <w:i w:val="0"/>
        </w:rPr>
        <w:t xml:space="preserve">5. Ví dụ gần đây nhất về sự can thiệp của liên bang xảy ra liên quan đến Đạo luật Cải cách Phố Wall Dodd-Frank được thông qua năm 2010. Đạo luật này trao cho Ủy ban quyền ban hành các quy định điều chỉnh quy trình của ủy ban thù lao, giống như cách SOX đã làm đối với ủy ban kiểm toán. </w:t>
      </w:r>
      <w:r>
        <w:rPr>
          <w:b w:val="0"/>
          <w:i/>
        </w:rPr>
        <w:t>Xem</w:t>
      </w:r>
      <w:r>
        <w:rPr>
          <w:b w:val="0"/>
          <w:i w:val="0"/>
        </w:rPr>
        <w:t xml:space="preserve"> Section 952. Như trong SOX, yêu cầu về một ủy ban thù lao độc lập chỉ giới hạn ở các công ty niêm yết trên sàn giao dịch. Tuy nhiên, đi xa hơn, Ủy ban được trao quyền rõ ràng để xác định các “yếu tố liên quan” mà sàn giao dịch phải xem xét khi định nghĩa giám đốc độc lập.</w:t>
      </w:r>
    </w:p>
    <w:p>
      <w:pPr>
        <w:spacing w:after="80"/>
      </w:pPr>
      <w:r>
        <w:rPr>
          <w:b w:val="0"/>
          <w:i w:val="0"/>
        </w:rPr>
        <w:t xml:space="preserve">6. Một ví dụ thú vị về căng thẳng ngày càng tăng giữa SEC và Delaware xảy ra trong vụ kiện thách thức Rule 14a-11, quy tắc về quyền tiếp cận của cổ đông. Lần đầu tiên, Tiểu bang Delaware đã nộp một bản trình bày amicus (amicus brief) trong một vụ án liên bang nhằm tìm cách vô hiệu hóa một quy tắc của SEC liên quan đến quản trị doanh nghiệp. Tiểu bang chủ yếu đưa ra quan điểm rằng quy tắc này xung đột với cách tiếp cận pháp lý mà Delaware đang áp dụng. </w:t>
      </w:r>
      <w:r>
        <w:rPr>
          <w:b w:val="0"/>
          <w:i/>
        </w:rPr>
        <w:t>Xem</w:t>
      </w:r>
      <w:r>
        <w:rPr>
          <w:b w:val="0"/>
          <w:i w:val="0"/>
        </w:rPr>
        <w:t xml:space="preserve"> Brief of the State of Delaware as Amicus Curiea in Support of Petitioners, </w:t>
      </w:r>
      <w:r>
        <w:rPr>
          <w:b w:val="0"/>
          <w:i/>
        </w:rPr>
        <w:t>Business Roundtable v. SEC</w:t>
      </w:r>
      <w:r>
        <w:rPr>
          <w:b w:val="0"/>
          <w:i w:val="0"/>
        </w:rPr>
        <w:t xml:space="preserve"> , 10-1305, D.C. Cir., Feb. 25, 2011 (“SEC Rule 14a-11, vốn tước đi sự lựa chọn đó, hoàn toàn mâu thuẫn với đạo luật mới được Delaware thông qua điều chỉnh quyền tiếp cận proxy.”). Ở một mức độ nào đó, do đó, Delaware đang cố thuyết phục tòa án rằng nó là một diễn đàn tốt hơn SEC để điều chỉnh một số loại thực hành quản trị nhất định. Liệu nó có thành công không? </w:t>
      </w:r>
      <w:r>
        <w:rPr>
          <w:b w:val="0"/>
          <w:i/>
        </w:rPr>
        <w:t>Xem Business Roundtable v. SEC</w:t>
      </w:r>
      <w:r>
        <w:rPr>
          <w:b w:val="0"/>
          <w:i w:val="0"/>
        </w:rPr>
        <w:t xml:space="preserve"> , 647 F.3d 1144 (D.C. Cir. 2011).</w:t>
      </w:r>
    </w:p>
    <w:p>
      <w:pPr>
        <w:spacing w:after="80"/>
      </w:pPr>
      <w:r>
        <w:rPr>
          <w:b w:val="0"/>
          <w:i w:val="0"/>
        </w:rPr>
        <w:t xml:space="preserve">7. Cuộc tranh luận thường được nhìn nhận gần như là một trò chơi có tổng bằng không. Nhưng thực tế, liệu có khả năng rằng sự kết hợp của thẩm quyền tiểu bang, dù đang phát triển thế nào, và sự kết hợp của thẩm quyền liên bang, dù đang phát triển thế nào, cùng nhau tạo ra sự kết hợp hiệu quả nhất của các quyền quản trị? Hãy xem Brian R. Cheffins, Steven A. Bank &amp; Harwell Wells, </w:t>
      </w:r>
      <w:r>
        <w:rPr>
          <w:b w:val="0"/>
          <w:i/>
        </w:rPr>
        <w:t>The Race to the Bottom Recalculated: Scoring Corporate Law Over Time</w:t>
      </w:r>
      <w:r>
        <w:rPr>
          <w:b w:val="0"/>
          <w:i w:val="0"/>
        </w:rPr>
        <w:t xml:space="preserve"> , Legal Studies Research Paper No. 2014-38, at 82 (Oct. 10, 2014) (“Chúng tôi chứng minh về mặt định lượng rằng cải cách theo hướng liên bang đã củng cố đáng kể việc bảo vệ cổ đông theo thời gian và thực sự đã bù đắp nhiều hơn mức suy giảm xảy ra do những thay đổi của luật tiểu bang. Ngày nay, cổ đông, ít nhất là những cổ đông trong các công ty đại chúng, được bảo vệ tốt hơn bởi sự kết hợp của “luật doanh nghiệp” tiểu bang và liên bang so với cổ đông của một thế kỷ hay thậm chí nửa thế kỷ trước.”). Điều này có trả lời được câu hỏi không?</w:t>
      </w:r>
    </w:p>
    <w:p>
      <w:pPr>
        <w:spacing w:after="80"/>
      </w:pPr>
      <w:r>
        <w:rPr>
          <w:b w:val="0"/>
          <w:i w:val="0"/>
        </w:rPr>
        <w:t>1 . Copyright © 2009 Delaware Journal of Corporate Law. Reprinted with permission.</w:t>
      </w:r>
    </w:p>
    <w:p>
      <w:pPr>
        <w:spacing w:after="80"/>
      </w:pPr>
      <w:r>
        <w:rPr>
          <w:b w:val="0"/>
          <w:i w:val="0"/>
        </w:rPr>
        <w:t>2 . Copyright © 2004 The Journal of Corporation Law. Reprinted with permission.</w:t>
      </w:r>
    </w:p>
    <w:p>
      <w:pPr>
        <w:spacing w:after="80"/>
      </w:pPr>
      <w:r>
        <w:rPr>
          <w:b w:val="0"/>
          <w:i w:val="0"/>
        </w:rPr>
        <w:t>3 . Copyright © 2004 University of Richmond Law Review. Reprinted with permission.</w:t>
      </w:r>
    </w:p>
    <w:p>
      <w:pPr>
        <w:spacing w:after="80"/>
      </w:pPr>
      <w:r>
        <w:rPr>
          <w:b w:val="0"/>
          <w:i w:val="0"/>
        </w:rPr>
        <w:t>4 . Bản quyền © 2009 Indiana Law Review. Được tái bản với sự cho phép.</w:t>
      </w:r>
    </w:p>
    <w:p>
      <w:pPr>
        <w:spacing w:after="80"/>
      </w:pPr>
      <w:r>
        <w:rPr>
          <w:b w:val="0"/>
          <w:i w:val="0"/>
        </w:rPr>
        <w:t>5 . Bản quyền © 1983 Columbia Law Review. Được tái bản với sự cho phép.</w:t>
      </w:r>
    </w:p>
    <w:p>
      <w:pPr>
        <w:spacing w:after="80"/>
      </w:pPr>
      <w:r>
        <w:rPr>
          <w:b w:val="0"/>
          <w:i w:val="0"/>
        </w:rPr>
        <w:t>7 . [5] Thật vậy, vấn đề này cho thấy rằng các cơ chế công bố thông tin của công ty không thể bù đắp cho những thất bại của cá nhân. Các quy trình của WRG đã thất bại vì, trong số những lý do khác, Grace, Jr. đã không tiết lộ một số quyền lợi hưu trí của mình và giao dịch được đề xuất với con trai ông trong các bảng câu hỏi mà WRG phân phát cho các cán bộ và giám đốc để thu thập thông tin cho các tuyên bố ủy quyền và báo cáo định kỳ của WRG.</w:t>
      </w:r>
    </w:p>
    <w:p>
      <w:pPr>
        <w:spacing w:after="80"/>
      </w:pPr>
      <w:r>
        <w:rPr>
          <w:b w:val="0"/>
          <w:i w:val="0"/>
        </w:rPr>
        <w:t>8 . [10] Sau khi thông tin liên quan đến "các quyền lợi khác" của Grace, Jr. được công khai, WRG đã tiết lộ trong tuyên bố ủy quyền năm 1995 rằng các quyền lợi được cung cấp cho Grace, Jr. theo điều khoản "các quyền lợi khác" đã tiêu tốn của Công ty $3,601,500 trong năm tài chính 1993, trong đó khoảng $2,700,000 là do Grace, Jr. được tiếp cận máy bay của công ty.</w:t>
      </w:r>
    </w:p>
    <w:p>
      <w:pPr>
        <w:spacing w:after="80"/>
      </w:pPr>
      <w:r>
        <w:rPr>
          <w:b w:val="0"/>
          <w:i w:val="0"/>
        </w:rPr>
        <w:t>9 . [11] Điều này có thể đã chứng minh rằng cố vấn pháp lý trên thực tế không được thông tin đầy đủ về những quyền lợi này hoặc rằng Grace, Jr. đã điền sai các bảng câu hỏi D&amp;O của mình liên quan đến những quyền lợi này.</w:t>
      </w:r>
    </w:p>
    <w:p>
      <w:pPr>
        <w:spacing w:after="80"/>
      </w:pPr>
      <w:r>
        <w:rPr>
          <w:b w:val="0"/>
          <w:i w:val="0"/>
        </w:rPr>
        <w:t>10 . [16] Các quy trình hoặc cơ chế được thiết lập để xác định và giải quyết các vấn đề công bố thông tin chỉ có hiệu quả nếu những cá nhân ở vị trí có thể ảnh hưởng đến quá trình công bố thông tin luôn cảnh giác trong việc thực hiện trách nhiệm của mình.</w:t>
      </w:r>
    </w:p>
    <w:p>
      <w:pPr>
        <w:spacing w:after="80"/>
      </w:pPr>
      <w:r>
        <w:rPr>
          <w:b w:val="0"/>
          <w:i w:val="0"/>
        </w:rPr>
        <w:t xml:space="preserve">11 . Ban đầu xuất hiện trong Vol. 54 </w:t>
      </w:r>
      <w:r>
        <w:rPr>
          <w:b w:val="0"/>
          <w:i/>
        </w:rPr>
        <w:t>SMU Law Review</w:t>
      </w:r>
      <w:r>
        <w:rPr>
          <w:b w:val="0"/>
          <w:i w:val="0"/>
        </w:rPr>
        <w:t xml:space="preserve"> 1. Được tái bản với sự cho phép của </w:t>
      </w:r>
      <w:r>
        <w:rPr>
          <w:b w:val="0"/>
          <w:i/>
        </w:rPr>
        <w:t>SMU Law Review</w:t>
      </w:r>
      <w:r>
        <w:rPr>
          <w:b w:val="0"/>
          <w:i w:val="0"/>
        </w:rPr>
        <w:t xml:space="preserve"> và Trường Luật Dedman thuộc Đại học Southern Methodist.</w:t>
      </w:r>
    </w:p>
    <w:p>
      <w:pPr>
        <w:pStyle w:val="Heading1"/>
      </w:pPr>
      <w:r>
        <w:rPr>
          <w:rFonts w:ascii="Calibri" w:hAnsi="Calibri"/>
          <w:b/>
          <w:i w:val="0"/>
          <w:sz w:val="40"/>
        </w:rPr>
        <w:t>Chương 3</w:t>
      </w:r>
    </w:p>
    <w:p>
      <w:pPr>
        <w:pStyle w:val="Heading1"/>
      </w:pPr>
      <w:r>
        <w:rPr>
          <w:rFonts w:ascii="Calibri" w:hAnsi="Calibri"/>
          <w:b/>
          <w:i w:val="0"/>
          <w:sz w:val="40"/>
        </w:rPr>
        <w:t>Hội đồng quản trị công ty đại chúng</w:t>
      </w:r>
    </w:p>
    <w:p>
      <w:pPr>
        <w:spacing w:after="80"/>
      </w:pPr>
      <w:r>
        <w:rPr>
          <w:b w:val="0"/>
          <w:i w:val="0"/>
        </w:rPr>
        <w:t>Hội đồng quản trị của công ty, do các cổ đông của công ty bầu ra, đóng vai trò là trụ cột của quản trị công ty đại chúng, là cơ quan ra quyết định tối cao của công ty. Như Luật Tổng công ty của Delaware đã nêu rõ, "hoạt động kinh doanh và các vấn đề của mọi công ty sẽ được quản lý bởi hoặc dưới sự chỉ đạo của một hội đồng quản trị." Sự chấp thuận của hội đồng quản trị là điều kiện tiên quyết theo luật định đối với hành động của công ty trong các giao dịch cơ bản, chẳng hạn như liệu công ty có sửa đổi điều lệ, mua hoặc bán tài sản quan trọng, sáp nhập với công ty khác hay giải thể hay không. Nếu và khi các giám đốc đề xuất một giao dịch, cổ đông sẽ có cơ hội phủ quyết nó; tuy nhiên, cổ đông không thể khởi xướng giao dịch, cũng không thể sửa đổi các đề xuất của hội đồng quản trị. Ngoài ra, luật pháp tiểu bang cũng trao cho hội đồng quản trị quyền hạn độc quyền phát hành cổ phiếu, xác định tính thỏa đáng của khoản đền bù cho cổ phần và tuyên bố cổ tức. Hội đồng quản trị không chỉ được trao quyền ra quyết định gần như không thể thu hồi, mà như chúng ta sẽ thấy trong Chương 4 , các phán đoán kinh doanh của giám đốc cũng được bảo vệ đáng kể khỏi sự phán xét lại của cổ đông và tòa án. Nói cách khác, luật công ty trao cho hội đồng quản trị quyền tự chủ đáng kể cũng như quyền kiểm soát tài sản của công ty.</w:t>
      </w:r>
    </w:p>
    <w:p>
      <w:pPr>
        <w:spacing w:after="80"/>
      </w:pPr>
      <w:r>
        <w:rPr>
          <w:b w:val="0"/>
          <w:i w:val="0"/>
        </w:rPr>
        <w:t>Bất chấp quyền hạn theo luật định rộng rãi của họ, hội đồng quản trị của các công ty đại chúng không quản lý hoặc thậm chí chỉ đạo hoạt động hàng ngày của doanh nghiệp. Thay vào đó, công ty đại chúng hiện đại thường được quản lý "dưới sự chỉ đạo của" hội đồng quản trị. Các giám đốc thực hiện trách nhiệm của mình bằng cách giao phó công việc điều hành công ty cho các cán bộ và các giám đốc điều hành cấp cao khác được công ty tuyển dụng. Các nhà quản lý của công ty—bao gồm giám đốc điều hành nhưng cũng có giám đốc tài chính và các giám đốc điều hành khác chịu trách nhiệm về các lĩnh vực cụ thể trong hoạt động của công ty—hoạt động như đại lý của công ty, đưa ra hầu hết các quyết định vận hành thường ngày cho doanh nghiệp. Hội đồng quản trị chọn những nhà quản lý hàng đầu này, giao phó nhiệm vụ cho họ và quyết định nhiệm kỳ cũng như thù lao của họ. Hội đồng quản trị cũng cung cấp lời khuyên cho đội ngũ điều hành, đặc biệt là về các vấn đề chiến lược, mục tiêu hiệu suất dài hạn, chính sách kinh doanh quan trọng và những vấn đề tương tự. Cuối cùng, hội đồng quản trị đánh giá hiệu suất tài chính và hoạt động của công ty cũng như đánh giá khả năng lãnh đạo của ban quản lý. Tóm lại, các giám đốc công ty đại chúng chủ yếu hoạt động với vai trò giám sát, giao phó các chức năng quản lý hàng ngày xuống cho các cán bộ và các giám đốc điều hành cấp cao khác được công ty tuyển dụng, và giám sát hiệu suất của họ vì lợi ích của công ty và các cổ đông. Mặc dù các giám đốc điều hành được công ty tuyển dụng điều hành doanh nghiệp và đưa ra các quyết định hàng ngày, luật tiểu bang cũng yêu cầu hội đồng quản trị đưa ra các quyết định cơ bản liên quan đến cơ cấu vốn của công ty, sáp nhập, mua lại, bán tài sản quan trọng và các giao dịch lớn khác.</w:t>
      </w:r>
    </w:p>
    <w:p>
      <w:pPr>
        <w:pStyle w:val="Heading2"/>
      </w:pPr>
      <w:r>
        <w:rPr>
          <w:rFonts w:ascii="Calibri" w:hAnsi="Calibri"/>
          <w:b/>
          <w:i w:val="0"/>
          <w:sz w:val="32"/>
        </w:rPr>
        <w:t>I. Tại sao cần có Hội đồng quản trị?</w:t>
      </w:r>
    </w:p>
    <w:p>
      <w:pPr>
        <w:spacing w:after="80"/>
      </w:pPr>
      <w:r>
        <w:rPr>
          <w:b w:val="0"/>
          <w:i w:val="0"/>
        </w:rPr>
        <w:t>Các học giả từ lâu đã tranh luận liệu và tại sao luật trao quyền cho hội đồng quản trị kiểm soát các công ty đại chúng. Những người ủng hộ tính ưu việt của giám đốc, như Giáo sư Stephen Bainbridge, lập luận rằng quản trị lấy hội đồng quản trị làm trung tâm thúc đẩy việc ra quyết định hiệu quả và được thông tin đầy đủ.</w:t>
      </w:r>
    </w:p>
    <w:p>
      <w:pPr>
        <w:pStyle w:val="Heading4"/>
      </w:pPr>
      <w:r>
        <w:rPr>
          <w:rFonts w:ascii="Calibri" w:hAnsi="Calibri"/>
          <w:b/>
          <w:i w:val="0"/>
          <w:sz w:val="23"/>
        </w:rPr>
        <w:t xml:space="preserve">Stephen M. Bainbridge, </w:t>
      </w:r>
      <w:r>
        <w:rPr>
          <w:rFonts w:ascii="Calibri" w:hAnsi="Calibri"/>
          <w:b/>
          <w:i/>
          <w:sz w:val="23"/>
        </w:rPr>
        <w:t>Tại sao cần có Hội đồng quản trị?</w:t>
      </w:r>
      <w:r>
        <w:br/>
      </w:r>
      <w:r>
        <w:rPr>
          <w:rFonts w:ascii="Calibri" w:hAnsi="Calibri"/>
          <w:b/>
          <w:i/>
          <w:sz w:val="23"/>
        </w:rPr>
        <w:t xml:space="preserve"> Ra quyết định nhóm trong quản trị công ty</w:t>
      </w:r>
    </w:p>
    <w:p>
      <w:pPr>
        <w:spacing w:after="80"/>
      </w:pPr>
      <w:r>
        <w:rPr>
          <w:b w:val="0"/>
          <w:i w:val="0"/>
        </w:rPr>
        <w:t>55 Vand. L. Rev. 1 (2002)</w:t>
      </w:r>
    </w:p>
    <w:p>
      <w:pPr>
        <w:spacing w:after="80"/>
      </w:pPr>
      <w:r>
        <w:rPr>
          <w:b w:val="0"/>
          <w:i w:val="0"/>
        </w:rPr>
        <w:t>Bất chấp những lợi thế rõ ràng đối với công ty đại chúng của việc ra quyết định dựa trên thẩm quyền và quản trị theo thứ bậc, ở đỉnh cao của thứ bậc đó không phải là một nhà độc tài duy nhất, mà là một cơ quan gồm nhiều thành viên thường hoạt động theo sự đồng thuận. Chắc chắn, người ta thường nói rằng, trong thực tế, hội đồng quản trị bị ban quản lý cấp cao chi phối. Theo quan điểm này, "các nhà quản lý chi phối hội đồng quản trị của họ bằng cách sử dụng quyền lực thực tế của mình để chọn và trả thù lao cho các giám đốc và bằng cách khai thác các mối quan hệ cá nhân với họ." Tuy nhiên, ngay cả với lưu ý đó, có vẻ hữu ích khi nghĩ về hội đồng quản trị như một nhóm sản xuất.</w:t>
      </w:r>
    </w:p>
    <w:p>
      <w:pPr>
        <w:spacing w:after="80"/>
      </w:pPr>
      <w:r>
        <w:rPr>
          <w:b w:val="0"/>
          <w:i w:val="0"/>
        </w:rPr>
        <w:t>Vậy thì hội đồng quản trị tạo ra cái gì và tạo ra nó bằng cách nào? Đầu tiên và quan trọng nhất, hội đồng quản trị giám sát và kỷ luật ban lãnh đạo cấp cao. Thứ hai, mặc dù hội đồng quản trị hiếm khi tham gia vào việc ra quyết định vận hành hàng ngày, hầu hết các hội đồng quản trị đều có ít nhất một số chức năng quản lý. Chẳng hạn, việc hoạch định chính sách rộng thường là đặc quyền của hội đồng quản trị. Tuy nhiên, phổ biến hơn nữa là việc từng thành viên hội đồng quản trị đưa ra lời khuyên và hướng dẫn cho các nhà quản lý cấp cao về các quyết định vận hành và/hoặc chính sách. Cuối cùng, hội đồng quản trị mang lại quyền truy cập vào một mạng lưới các mối quan hệ có thể hữu ích trong việc thu thập nguồn lực và/hoặc giành được hợp đồng kinh doanh. Ví dụ, các giám đốc bên ngoài có liên kết với các tổ chức tài chính dường như tạo điều kiện cho công ty tiếp cận nguồn vốn.</w:t>
      </w:r>
    </w:p>
    <w:p>
      <w:pPr>
        <w:spacing w:after="80"/>
      </w:pPr>
      <w:r>
        <w:rPr>
          <w:b w:val="0"/>
          <w:i w:val="0"/>
        </w:rPr>
        <w:t>Mức độ mà các hội đồng quản trị thực sự giám sát ban lãnh đạo và kỷ luật hiệu quả những màn trình diễn kém cỏi đã là chủ đề của nhiều tranh cãi đáng kể. Như đã lưu ý, quan điểm thông thường khẳng định rằng các hội đồng quản trị bị ban lãnh đạo cấp cao thao túng. Tuy nhiên, hiện tượng hội đồng quản trị bị thao túng (board capture) dường như ít đúng ngày nay so với trước đây. Các CEO hiện đại bị ràng buộc cả từ bên dưới, bởi các thành viên khác trong đội ngũ lãnh đạo cấp cao, lẫn từ bên trên, bởi hội đồng quản trị.</w:t>
      </w:r>
    </w:p>
    <w:p>
      <w:pPr>
        <w:spacing w:after="80"/>
      </w:pPr>
      <w:r>
        <w:rPr>
          <w:b w:val="0"/>
          <w:i w:val="0"/>
        </w:rPr>
        <w:t>Trong suốt thập niên 1980 và 1990, một số xu hướng hội tụ lại để khuyến khích sự giám sát tích cực và hiệu quả hơn của hội đồng quản trị. Ví dụ, phần lớn thù lao giám đốc hiện nay được trả bằng cổ phiếu, điều này giúp gắn kết lợi ích của giám đốc với lợi ích của cổ đông. Các tòa án đã làm rõ rằng các quy trình và sự giám sát hiệu quả của hội đồng quản trị là thiết yếu nếu các quyết định của hội đồng quản trị muốn nhận được sự tôn trọng truyền thống dành cho chúng theo quy tắc phán đoán kinh doanh (business judgment rule), đặc biệt là liên quan đến các quyết định mang tính cấu trúc (chẳng hạn như những quyết định liên quan đến việc mua lại công ty do ban lãnh đạo thực hiện). Thứ ba, hành vi của giám đốc bị ràng buộc bởi một thị trường kiểm soát công ty đang hoạt động tích cực, tỷ lệ kiện tụng cổ đông ngày càng tăng, và theo một số người, bởi các cổ đông hoạt động (activist shareholders). Kết quả là, các hội đồng quản trị hiện đại thường nhỏ hơn so với tiền thân của chúng, họp thường xuyên hơn, độc lập hơn với ban lãnh đạo, sở hữu nhiều cổ phiếu hơn, và có khả năng tiếp cận thông tin tốt hơn. Những phát triển này đạt đỉnh điểm trong một loạt các cuộc nổi dậy của hội đồng quản trị được chú ý nhiều chống lại các nhà quản lý đương nhiệm tại những tập đoàn Mỹ mang tính biểu tượng như General Motors, Westinghouse, và American Express. Gần đây hơn, việc hội đồng quản trị của Sunbeam sa thải "Chainsaw Al" Dunlap cung cấp thêm bằng chứng giai thoại về chủ nghĩa hoạt động của hội đồng quản trị.</w:t>
      </w:r>
    </w:p>
    <w:p>
      <w:pPr>
        <w:spacing w:after="80"/>
      </w:pPr>
      <w:r>
        <w:rPr>
          <w:b w:val="0"/>
          <w:i w:val="0"/>
        </w:rPr>
        <w:t>Hơn nữa, khi các hội đồng quản trị trở nên mạnh mẽ hơn và độc lập hơn với ban lãnh đạo cấp cao, quá trình này tạo đà phát triển. Ví dụ, Westphal và Zajac đã chứng minh rằng khi quyền lực của hội đồng quản trị tăng lên so với CEO—được đo bằng các yếu tố như tỷ lệ người nội bộ và liệu CEO có đồng thời giữ chức chủ tịch hay không—các giám đốc mới được bổ nhiệm trở nên tương đồng hơn về mặt nhân khẩu học với hội đồng quản trị. Dù sao đi nữa, cấu trúc thể chế được tạo ra bởi luật công ty cho phép, nhưng không dự liệu, chế độ độc tài một người. Nếu xảy ra xung đột công khai giữa hội đồng quản trị và ban lãnh đạo cấp cao, thẩm quyền của hội đồng quản trị sẽ thắng thế như một vấn đề pháp lý, dù không phải lúc nào cũng vậy trên thực tế. Thật vậy, chính sự cần thiết phải giữ quyền sa thải ban lãnh đạo cấp cao như một biện pháp chế tài tiềm năng đã giải thích tại sao hội đồng quản trị nằm ở đỉnh cao của hệ thống phân cấp công ty thay vì hoạt động như một ủy ban cố vấn đứng bên lề sơ đồ tổ chức công ty. . . . Hành động một mình, một giám đốc cá nhân "không có quyền lực riêng để hành động thay mặt công ty, mà chỉ với tư cách là một trong số các giám đốc hành động như một hội đồng quản trị." Hơn nữa, như MBCA diễn đạt, "các giám đốc chỉ có thể hành động tại một cuộc họp trừ khi được luật quy định cho phép rõ ràng cách khác." Tại sao lại nhấn mạnh vào hành động tập thể thay vì cá nhân như vậy?</w:t>
      </w:r>
    </w:p>
    <w:p>
      <w:pPr>
        <w:spacing w:after="80"/>
      </w:pPr>
      <w:r>
        <w:rPr>
          <w:b w:val="0"/>
          <w:i w:val="0"/>
        </w:rPr>
        <w:t>Những người soạn thảo MBCA đưa ra câu trả lời sau: "Lý thuyết cơ bản là việc tham vấn và trao đổi quan điểm là một phần không thể tách rời trong hoạt động của hội đồng quản trị." Hoặc, như Forbes và Milliken nhận định, "Chính sự tồn tại của hội đồng quản trị như một thể chế bắt nguồn từ niềm tin khôn ngoan rằng việc giám sát hiệu quả một tổ chức vượt quá khả năng của bất kỳ cá nhân nào và rằng kiến thức tập thể cùng sự cân nhắc kỹ lưỡng phù hợp hơn với nhiệm vụ này." Những lập luận này đi ngược lại câu chuyện đùa cũ rằng lạc đà là con ngựa do một ủy ban thiết kế, nhưng chúng tìm thấy sự ủng hộ đáng kể trong tài liệu về việc ra quyết định cá nhân so với tập thể. . . .</w:t>
      </w:r>
    </w:p>
    <w:p>
      <w:pPr>
        <w:spacing w:after="80"/>
      </w:pPr>
      <w:r>
        <w:rPr>
          <w:b w:val="0"/>
          <w:i w:val="0"/>
        </w:rPr>
        <w:t>Tóm lại, các nhóm dường như luôn hoạt động tốt hơn thành viên trung bình của chúng, ngay cả trong các nhiệm vụ tương đối phức tạp đòi hỏi việc thực hiện phán đoán đánh giá. Có bằng chứng gây tranh cãi về việc liệu các nhóm có hoạt động tốt hơn thành viên giỏi nhất của chúng hay không, điều mà phần tiếp theo sẽ đánh giá chi tiết hơn. Theo đó, có vẻ công bằng khi kết luận rằng việc ra quyết định tập thể thường thích hợp hơn so với cá nhân. Ngoài các nghiên cứu cụ thể được kể lại ở trên, vốn được củng cố bởi những nghiên cứu được mô tả trong các phần tiếp theo, một số bài tổng quan tài liệu toàn diện xác nhận kết luận đó. Do đó, sự nhấn mạnh mạnh mẽ của luật công ty vào việc ra quyết định tập thể của hội đồng quản trị dường như có một lý do hiệu quả thuyết phục. . . .</w:t>
      </w:r>
    </w:p>
    <w:p>
      <w:pPr>
        <w:spacing w:after="80"/>
      </w:pPr>
      <w:r>
        <w:rPr>
          <w:b w:val="0"/>
          <w:i w:val="0"/>
        </w:rPr>
        <w:t>Giả sử hệ thống phân cấp công ty được đứng đầu bởi một nhà độc tài cá nhân thay vì một hội đồng quản trị. Trong những hoàn cảnh như vậy, một vấn đề giám sát dọc song phương nảy sinh. Một mặt, nhà độc tài phải giám sát cấp dưới của mình. Mặt khác, ai đó phải giám sát nhà độc tài.</w:t>
      </w:r>
    </w:p>
    <w:p>
      <w:pPr>
        <w:spacing w:after="80"/>
      </w:pPr>
      <w:r>
        <w:rPr>
          <w:b w:val="0"/>
          <w:i w:val="0"/>
        </w:rPr>
        <w:t>Như chúng ta đã thấy, hệ thống phân cấp là một phản ứng quản trị thích ứng với vấn đề chi phí đại diện (agency cost). Tuy nhiên, lời giải thích đó đặt ra câu hỏi "ai giám sát những người giám sát?" Bởi vì tất cả các thành viên trong hệ thống phân cấp đều là đại diện của công ty với động cơ trốn tránh trách nhiệm, một cơ chế để giám sát năng suất của họ và giảm động cơ trốn tránh trách nhiệm cũng phải được tạo ra, nếu không thì người ta sẽ rơi vào một chuỗi người giám sát không bao giờ kết thúc, giám sát những người giám sát cấp thấp hơn. Alchian và Demsetz đã giải quyết tình thế tiến thoái lưỡng nan này bằng cách yêu cầu rằng người giám sát phải được trao thu nhập còn lại sau khi tất cả những người lao động khác đã được trả. Sự sắp xếp này khuyến khích người giám sát thúc đẩy việc sử dụng hiệu quả nhất các đầu vào khác và giảm việc trốn tránh trách nhiệm bởi vì phần thưởng của anh ta sẽ phụ thuộc vào hiệu quả của những nỗ lực giám sát của mình. Thật không may, mô hình của họ sụp đổ đối với công ty đại chúng. Mặc dù các cổ đông phổ thông là những người yêu cầu phần thu nhập còn lại của công ty, họ cũng là nhóm cổ đông có lẽ ít có khả năng nhất trong việc giám sát hành vi của ban lãnh đạo.</w:t>
      </w:r>
    </w:p>
    <w:p>
      <w:pPr>
        <w:spacing w:after="80"/>
      </w:pPr>
      <w:r>
        <w:rPr>
          <w:b w:val="0"/>
          <w:i w:val="0"/>
        </w:rPr>
        <w:t>Do đó, luật công ty cung cấp một loạt các cơ chế trách nhiệm giải trình thay thế được thiết kế để ràng buộc chi phí đại diện mà không cần đến một chuỗi người giám sát không bao giờ kết thúc. Đứng đầu trong số đó là hội đồng quản trị. Việc đặt một nhóm ở đỉnh cao của hệ thống phân cấp công ty hóa ra là một giải pháp thay thế có hiệu quả cao cho vấn đề chuỗi người giám sát nếu không sẽ không bao giờ kết thúc.</w:t>
      </w:r>
    </w:p>
    <w:p>
      <w:pPr>
        <w:pStyle w:val="Heading5"/>
      </w:pPr>
      <w:r>
        <w:rPr>
          <w:rFonts w:ascii="Calibri" w:hAnsi="Calibri"/>
          <w:b/>
          <w:i/>
          <w:sz w:val="22"/>
        </w:rPr>
        <w:t>Bình luận và Câu hỏi</w:t>
      </w:r>
    </w:p>
    <w:p>
      <w:pPr>
        <w:spacing w:after="80"/>
      </w:pPr>
      <w:r>
        <w:rPr>
          <w:b w:val="0"/>
          <w:i w:val="0"/>
        </w:rPr>
        <w:t>1. Mặc dù luật tiểu bang trao quyền lực công ty cho một cơ quan thảo luận, liệu có hiển nhiên về mặt trực giác rằng các nhóm cá nhân đưa ra quyết định tốt hơn chính các cá nhân không? Câu trả lời của bạn có phụ thuộc vào trình độ, sự quan tâm, và nỗ lực của các cá nhân đưa ra quyết định không? Những quyết định nào có thể được đưa ra tốt nhất bởi một giám đốc điều hành cá nhân có trình độ, được thông tin đầy đủ thay vì một nhóm giám đốc?</w:t>
      </w:r>
    </w:p>
    <w:p>
      <w:pPr>
        <w:spacing w:after="80"/>
      </w:pPr>
      <w:r>
        <w:rPr>
          <w:b w:val="0"/>
          <w:i w:val="0"/>
        </w:rPr>
        <w:t>2. Nhà tâm lý học xã hội Irving Janis đã nổi tiếng đặt ra thuật ngữ "tư duy nhóm" (groupthink) để mô tả xu hướng các thành viên của một nhóm gắn kết nhượng bộ theo sở thích đồng thuận của họ, dẫn đến việc ra quyết định khiếm khuyết. Trong phòng họp hội đồng quản trị công ty, động lực xã hội này có thể cản trở các giám đốc đặt những câu hỏi thăm dò, xem xét những ý tưởng mới lạ hoặc thay thế, đánh giá đầy đủ các đề xuất, hoặc tham gia vào tranh luận tích cực. Ví dụ, các nhà bình luận cho rằng tư duy nhóm đã ảnh hưởng tiêu cực đến việc quản lý rủi ro và giám sát của các giám đốc của Lehman Brothers, Citigroup, và các công ty tài chính khác bị tàn phá bởi cuộc khủng hoảng cho vay thế chấp dưới chuẩn năm 2008. Kích thước tương đối lớn hơn của hội đồng quản trị ngân hàng (ví dụ, vào thời điểm sụp đổ, Citigroup có 18 giám đốc, so với trung bình 11 giám đốc của các hội đồng quản trị công ty công nghiệp trong S&amp;P 500) có thể khiến các giám đốc dễ bị tư duy nhóm hơn như thế nào? Việc đa số giám đốc của Citigroup thiếu kinh nghiệm làm việc đáng kể tại một tổ chức tài chính có thể ảnh hưởng đến tính dễ bị tổn thương của hội đồng quản trị trước tư duy nhóm như thế nào? Bạn có thể nghĩ ra cách nào để xây dựng một văn hóa khuyến khích việc đặt câu hỏi, đánh giá phê phán, và thậm chí bất đồng quan điểm trong phòng họp hội đồng quản trị không?</w:t>
      </w:r>
    </w:p>
    <w:p>
      <w:pPr>
        <w:spacing w:after="80"/>
      </w:pPr>
      <w:r>
        <w:rPr>
          <w:b w:val="0"/>
          <w:i w:val="0"/>
        </w:rPr>
        <w:t>3. Ngay cả khi các nhóm nhỏ gồm những người được thông tin đầy đủ thường đưa ra quyết định tốt hơn một cá nhân đơn lẻ hoặc một nhóm lớn các cá nhân, tại sao không trao thẩm quyền ra quyết định tối hậu cho đội ngũ lãnh đạo cấp cao thay vì hội đồng quản trị? Suy cho cùng, những nhà quản lý lành nghề chịu trách nhiệm về hoạt động hàng ngày của doanh nghiệp có thông tin tốt nhất, kịp thời nhất để đưa ra quyết định. Ngoài ra, với tư cách là nhân viên toàn thời gian của công ty, các giám đốc điều hành cấp cao có lẽ có lợi ích lớn nhất trong sự thành công của công ty. Nói cách khác, tại sao luật lại yêu cầu thêm một tầng quan liêu nữa ở đỉnh cao của hệ thống phân cấp công ty?</w:t>
      </w:r>
    </w:p>
    <w:p>
      <w:pPr>
        <w:spacing w:after="80"/>
      </w:pPr>
      <w:r>
        <w:rPr>
          <w:b w:val="0"/>
          <w:i w:val="0"/>
        </w:rPr>
        <w:t xml:space="preserve">4. Mặc dù Giáo sư Bainbridge khẳng định rằng việc hội đồng quản trị bị thao túng "dường như ít đúng ngày nay so với trước đây," nhiều nhà bình luận không đồng ý. Họ chỉ ra khoảng cách ngày càng tăng giữa thù lao của giám đốc điều hành và thu nhập của nhân viên khác như bằng chứng rằng các nhà quản lý tiếp tục nắm giữ ảnh hưởng lớn đối với hội đồng quản trị của họ, bao gồm thông qua quy trình đề cử giám đốc. </w:t>
      </w:r>
      <w:r>
        <w:rPr>
          <w:b w:val="0"/>
          <w:i/>
        </w:rPr>
        <w:t>Xem</w:t>
      </w:r>
      <w:r>
        <w:rPr>
          <w:b w:val="0"/>
          <w:i w:val="0"/>
        </w:rPr>
        <w:t xml:space="preserve"> , </w:t>
      </w:r>
      <w:r>
        <w:rPr>
          <w:b w:val="0"/>
          <w:i/>
        </w:rPr>
        <w:t>ví dụ</w:t>
      </w:r>
      <w:r>
        <w:rPr>
          <w:b w:val="0"/>
          <w:i w:val="0"/>
        </w:rPr>
        <w:t xml:space="preserve"> , LUCIEN BEBCHUK &amp; JESSE FRIED , PAY WITHOUT PERFORMANCE (2004). Các học giả gần đây đã báo cáo rằng các hội đồng quản trị có nhiều thành viên bị đồng hóa hơn (các giám đốc được bổ nhiệm vào hội đồng quản trị sau khi CEO nhậm chức) ít có khả năng sa thải các CEO hoạt động kém hơn, có nhiều khả năng phê duyệt việc tăng lương cho CEO hơn, và có nhiều khả năng phê duyệt các khoản đầu tư được CEO đề xuất hơn. Jeffrey L. Coles, Naveen D. Daniel &amp; Lalitha Naveen, </w:t>
      </w:r>
      <w:r>
        <w:rPr>
          <w:b w:val="0"/>
          <w:i/>
        </w:rPr>
        <w:t>Co-Opted Boards</w:t>
      </w:r>
      <w:r>
        <w:rPr>
          <w:b w:val="0"/>
          <w:i w:val="0"/>
        </w:rPr>
        <w:t xml:space="preserve"> , 27 Rev. Fin. Stud. 1751 (June 2014). Nghiên cứu của họ cũng chỉ ra rằng, bất kể tính độc lập pháp lý của các thành viên, các hội đồng quản trị có nhiều giám đốc bị đồng hóa hơn có xu hướng ủng hộ các CEO. </w:t>
      </w:r>
      <w:r>
        <w:rPr>
          <w:b w:val="0"/>
          <w:i/>
        </w:rPr>
        <w:t>Id.</w:t>
      </w:r>
      <w:r>
        <w:rPr>
          <w:b w:val="0"/>
          <w:i w:val="0"/>
        </w:rPr>
        <w:t xml:space="preserve"> Bạn có thể nghĩ ra bất kỳ lợi ích nào của các hội đồng quản trị bị đồng hóa không?</w:t>
      </w:r>
    </w:p>
    <w:p>
      <w:pPr>
        <w:spacing w:after="80"/>
      </w:pPr>
      <w:r>
        <w:rPr>
          <w:b w:val="0"/>
          <w:i w:val="0"/>
        </w:rPr>
        <w:t>5. Nếu các hội đồng quản trị hiệu quả đến vậy, tại sao chúng không được yêu cầu bắt buộc cho các loại thực thể khác? Ví dụ, các công ty trách nhiệm hữu hạn (limited liability companies) có thể được quản lý bởi một hoặc nhiều chủ sở hữu (thành viên), hoặc LLC có thể được quản lý tập trung bởi các nhà quản lý không phải thành viên. Việc quản lý tập trung có thể bao gồm một hội đồng quản trị, nhưng một người hoặc một thực thể duy nhất cũng có thể quản lý LLC. Nói cách khác, luật không yêu cầu bắt buộc việc quản lý bởi một hội đồng quản trị; những người sáng lập chọn cấu trúc quản lý. Tại sao luật công ty lại hạn chế hơn?</w:t>
      </w:r>
    </w:p>
    <w:p>
      <w:pPr>
        <w:spacing w:after="80"/>
      </w:pPr>
      <w:r>
        <w:rPr>
          <w:b w:val="0"/>
          <w:i w:val="0"/>
        </w:rPr>
        <w:t xml:space="preserve">6. Trong khi Giáo sư Bainbridge đề cập đến việc phân bổ quyền lực giữa CEO và hội đồng quản trị, luật công ty tiểu bang cũng trao quyền cho hội đồng quản trị đối với các cổ đông. Chúng ta xem xét vai trò của cổ đông trong quản trị công ty kỹ hơn trong Chương 7 . Các cổ đông bầu chọn hội đồng quản trị và bỏ phiếu chỉ trong một số ít quyết định then chốt, chẳng hạn như sửa đổi điều lệ công ty, sáp nhập công ty, hoặc giải thể công ty. Các cổ đông không có quyền khởi xướng các nghị quyết ràng buộc liên quan đến các chính sách công ty, chẳng hạn như thù lao của giám đốc điều hành, cũng như không có quyền bỏ phiếu về hầu hết các quyết định của công ty. Bạn có thể xác định một số thiếu sót có thể ảnh hưởng đến khả năng của cổ đông trong việc đưa ra các quyết định cơ bản vì lợi ích tốt nhất của công ty không? Ở nơi khác, Giáo sư Bainbridge lập luận rằng quản trị công ty hiệu quả đòi hỏi luật phải trao thẩm quyền ra quyết định một cách không thể thu hồi cho một nhóm nhỏ, tập trung thay vì cho một cử tri đoàn lớn, phân tán. Stephen M. Bainbridge, </w:t>
      </w:r>
      <w:r>
        <w:rPr>
          <w:b w:val="0"/>
          <w:i/>
        </w:rPr>
        <w:t>Director Primacy and Shareholder Disempowerment</w:t>
      </w:r>
      <w:r>
        <w:rPr>
          <w:b w:val="0"/>
          <w:i w:val="0"/>
        </w:rPr>
        <w:t xml:space="preserve"> , 119 Harv. L. Rev. 1735 (2006).</w:t>
      </w:r>
    </w:p>
    <w:p>
      <w:pPr>
        <w:pStyle w:val="Heading2"/>
      </w:pPr>
      <w:r>
        <w:rPr>
          <w:rFonts w:ascii="Calibri" w:hAnsi="Calibri"/>
          <w:b/>
          <w:i w:val="0"/>
          <w:sz w:val="32"/>
        </w:rPr>
        <w:t>II. Vai trò của Hội đồng quản trị trong Công ty đại chúng</w:t>
      </w:r>
    </w:p>
    <w:p>
      <w:pPr>
        <w:spacing w:after="80"/>
      </w:pPr>
      <w:r>
        <w:rPr>
          <w:b w:val="0"/>
          <w:i w:val="0"/>
        </w:rPr>
        <w:t>Luật tiểu bang quy định thẩm quyền của hội đồng quản trị công ty. Hành động theo thẩm quyền luật định đó, các hội đồng quản trị công ty đại chúng ngày nay nói chung có một nhiệm vụ kép: (1) vai trò giám sát, đòi hỏi hội đồng phải theo dõi hoạt động của công ty và ban lãnh đạo; và (2) vai trò cố vấn, yêu cầu hội đồng tham vấn với ban lãnh đạo về hoạt động và chiến lược của công ty.</w:t>
      </w:r>
    </w:p>
    <w:p>
      <w:pPr>
        <w:spacing w:after="80"/>
      </w:pPr>
      <w:r>
        <w:rPr>
          <w:b w:val="0"/>
          <w:i w:val="0"/>
        </w:rPr>
        <w:t>Vậy nên, đối với các vấn đề thường nhật, CEO của công ty đại chúng và đội ngũ lãnh đạo cấp cao của ông ấy đưa ra các quyết định của công ty. Tuy nhiên, như chúng ta đã điểm qua ngắn gọn ở Chương 1, việc giao phó cho ban lãnh đạo dẫn đến vấn đề đại diện (agency problem) trong công ty. Nếu chủ nghĩa cơ hội của ban lãnh đạo không bị hạn chế, cổ đông sẽ đòi hỏi mức bù đắp cao hơn để đầu tư vào công ty, làm tăng chi phí vốn và kìm hãm tăng trưởng kinh tế. Một giải pháp để giảm chi phí đại diện là gắn kết lợi ích của nhà quản lý và cổ đông thông qua các thỏa thuận thù lao điều hành được thiết kế tốt. Chúng ta sẽ xem xét thù lao điều hành khá kỹ ở Chương 6. Một phản ứng khác đối với vấn đề đại diện là để hội đồng quản trị giám sát các giám đốc điều hành. Bằng cách giám sát CEO và các giám đốc điều hành cấp cao khác của công ty, các giám đốc bên ngoài có thể hạn chế việc thực thi quyền tùy nghi của nhà quản lý, từ đó giảm chi phí đại diện giữa cổ đông và ban lãnh đạo.</w:t>
      </w:r>
    </w:p>
    <w:p>
      <w:pPr>
        <w:spacing w:after="80"/>
      </w:pPr>
      <w:r>
        <w:rPr>
          <w:b w:val="0"/>
          <w:i w:val="0"/>
        </w:rPr>
        <w:t xml:space="preserve">Hội đồng quản trị không phải lúc nào cũng hoạt động như những người canh gác. Vào giữa thế kỷ XX, hội đồng quản trị công ty đại chúng thường hoạt động giống như một hội đồng cố vấn mang tính nghi lễ, một nội các chỉ chịu trách nhiệm trước CEO của công ty mà thôi. Năm 1971, ngay sau sự sụp đổ tai tiếng của tập đoàn đa ngành, Giáo sư Myles Mace của Trường Kinh doanh Harvard đã viết về chủ nghĩa quản lý và các hội đồng quản trị công ty yếu kém trong cuốn sách gây tranh cãi và có ảnh hưởng lớn của ông </w:t>
      </w:r>
      <w:r>
        <w:rPr>
          <w:b w:val="0"/>
          <w:i/>
        </w:rPr>
        <w:t>Directors: Myth and Reality</w:t>
      </w:r>
      <w:r>
        <w:rPr>
          <w:b w:val="0"/>
          <w:i w:val="0"/>
        </w:rPr>
        <w:t>. Giáo sư Mace, người đã thực hiện các cuộc phỏng vấn chuyên sâu với hơn 100 CEO và thành viên hội đồng quản trị, báo cáo rằng các chủ tịch công ty không chỉ có "quyền lực thực tế để kiểm soát doanh nghiệp" mà còn rằng "với những quyền lực kiểm soát này, chính vị chủ tịch là người... quyết định phần lớn việc hội đồng quản trị làm hay không làm."</w:t>
      </w:r>
    </w:p>
    <w:p>
      <w:pPr>
        <w:spacing w:after="80"/>
      </w:pPr>
      <w:r>
        <w:rPr>
          <w:b w:val="0"/>
          <w:i w:val="0"/>
        </w:rPr>
        <w:t>Các học giả luật cũng đóng góp vào cuộc thảo luận về vai trò của hội đồng quản trị công ty. Đáng chú ý nhất, Giáo sư Melvin Eisenberg đã so sánh mô hình pháp lý được thừa nhận của công ty (hội đồng chọn các quan chức, đặt ra chính sách và nói chung quản lý hoạt động kinh doanh của công ty) với hội đồng quản trị công ty đại chúng trên thực tế (thiếu thời gian, thông tin và động lực để quản lý hoạt động kinh doanh của công ty hoặc đưa ra chính sách kinh doanh). Nhận thấy sự khác biệt giữa hai mô hình, Giáo sư Eisenberg đã lập luận ủng hộ cải cách: hội đồng quản trị bao gồm các giám đốc độc lập với ban lãnh đạo, chịu trách nhiệm chính trong việc chọn và bãi miễn CEO cùng các nhà quản lý hàng đầu khác và giám sát hoạt động của họ. Điều quan trọng là, Giáo sư Eisenberg nhận ra rằng để thực hiện hiệu quả nhiệm vụ giám sát của mình, các giám đốc không chỉ cần sự độc lập mà còn cần đủ thông tin và thời gian.</w:t>
      </w:r>
    </w:p>
    <w:p>
      <w:pPr>
        <w:spacing w:after="80"/>
      </w:pPr>
      <w:r>
        <w:rPr>
          <w:b w:val="0"/>
          <w:i w:val="0"/>
        </w:rPr>
        <w:t>Trong những năm sau khi công trình có ảnh hưởng của Giáo sư Mace và đề xuất thay đổi pháp lý của Giáo sư Eisenberg được công bố, cổ đông và những người ủng hộ họ ngày càng kêu gọi các giám đốc bên ngoài tham gia hội đồng quản trị và giám sát các quan chức cấp cao cùng các giám đốc điều hành hàng đầu khác của công ty. Những lời kêu gọi của họ không rơi vào tai người điếc. Những tiết lộ về các khoản quyên góp chiến dịch bất hợp pháp của công ty và việc công ty hối lộ quan chức nước ngoài đã dẫn đến không chỉ các vụ truy tố liên bang mà còn các phiên điều trần của Quốc hội và SEC về cải cách quản trị công ty. Sự đồng thuận bắt đầu hình thành xung quanh những thay đổi đối với cấu trúc hội đồng quản trị và việc dựa vào các giám đốc bên ngoài độc lập để giúp ngăn chặn hành vi sai trái của các giám đốc điều hành. Năm 1977, Sở Giao dịch Chứng khoán New York đã sửa đổi các yêu cầu niêm yết của mình để buộc hội đồng quản trị của các công ty niêm yết phải bổ nhiệm các ủy ban kiểm toán gồm các giám đốc độc lập với ban lãnh đạo. "Khi hội đồng quản trị không giám sát hiệu quả, thảm họa sẽ xảy ra—sự làm giàu của giám đốc điều hành và sự thất bại của công ty sẽ theo sau. Để hạn chế chủ nghĩa cơ hội của nhà quản lý và bảo vệ chống lại hoạt động công ty thảm hại, một công ty phải triển khai một mô hình quản trị công ty có khả năng giám sát hiệu quả hoạt động của doanh nghiệp." Mô hình hội đồng giám sát ra đời.</w:t>
      </w:r>
    </w:p>
    <w:p>
      <w:pPr>
        <w:spacing w:after="80"/>
      </w:pPr>
      <w:r>
        <w:rPr>
          <w:b w:val="0"/>
          <w:i w:val="0"/>
        </w:rPr>
        <w:t>Mặc dù chịu trách nhiệm pháp lý trong việc chọn và trả thù lao cho các giám đốc điều hành cũng như giám sát hoạt động của họ, các nhà bình luận vẫn chỉ trích hội đồng quản trị công ty đại chúng vì sự thụ động của họ, đặc biệt là sau các vụ bê bối công ty và tai họa tài chính trong mười lăm năm qua. Các vụ phá sản công ty khổng lồ, các vụ gian lận tài chính tái diễn, những vụ thù lao điều hành gây phẫn nộ, và việc chấp nhận rủi ro quá mức đã khiến công chúng tập trung chú ý vào hiệu quả của các giám đốc với vai trò người giám sát và trách nhiệm giải trình của họ trước cổ đông về hành vi sai trái của nhà quản lý. Những người chỉ trích lập luận rằng các giám đốc quá thường xuyên "đóng dấu cao su" (rubber stamp) cho các đề xuất của ban lãnh đạo, đưa ra quyết định mà không có đủ thông tin hoặc cân nhắc. Như được báo cáo bởi tiểu ban Thượng viện đã điều tra vai trò của hội đồng quản trị Enron trong sự sụp đổ kinh hoàng của tập đoàn đó:</w:t>
      </w:r>
    </w:p>
    <w:p>
      <w:pPr>
        <w:spacing w:after="80"/>
      </w:pPr>
      <w:r>
        <w:rPr>
          <w:b w:val="0"/>
          <w:i w:val="0"/>
        </w:rPr>
        <w:t>Nhưng phần lớn những gì sai trái ở Enron không hề bị che giấu khỏi Hội đồng quản trị của nó. Các thực hành kế toán rủi ro cao, các giao dịch ngoài sổ sách không được tiết lộ rộng rãi, các giao dịch xung đột lợi ích không phù hợp, và các kế hoạch thù lao quá mức đều đã được Hội đồng quản trị biết đến và cho phép. Cuộc điều tra của Tiểu ban không chứng minh được những tuyên bố rằng các thành viên Hội đồng quản trị Enron đã thách thức ban lãnh đạo và đặt ra những câu hỏi hóc búa. Thay vào đó, cuộc điều tra phát hiện một Hội đồng quản trị thường xuyên dựa vào các tuyên bố của ban lãnh đạo Enron và Andersen mà ít hoặc không nỗ lực xác minh thông tin được cung cấp, đã dễ dàng phê duyệt các dự án kinh doanh mới và các giao dịch phức tạp, và thực hiện giám sát yếu ớt đối với hoạt động của công ty. Cuộc điều tra cũng xác định một số mối quan hệ tài chính giữa các thành viên Hội đồng quản trị và Enron, mà nói chung, đặt ra câu hỏi về tính độc lập của thành viên Hội đồng quản trị và sự sẵn sàng thách thức ban lãnh đạo.</w:t>
      </w:r>
    </w:p>
    <w:p>
      <w:pPr>
        <w:spacing w:after="80"/>
      </w:pPr>
      <w:r>
        <w:rPr>
          <w:b w:val="0"/>
          <w:i w:val="0"/>
        </w:rPr>
        <w:t>Việc không một thành viên Hội đồng quản trị Enron nào chấp nhận bất kỳ mức độ trách nhiệm cá nhân nào đối với sự sụp đổ của Enron là một dấu hiệu rõ ràng cho thấy Hội đồng quản trị đã thất bại trong việc nhận ra các nghĩa vụ ủy thác của mình là đặt ra định hướng chiến lược tổng thể của công ty, giám sát ban lãnh đạo, và đảm bảo báo cáo tài chính có trách nhiệm.</w:t>
      </w:r>
    </w:p>
    <w:p>
      <w:pPr>
        <w:spacing w:after="80"/>
      </w:pPr>
      <w:r>
        <w:rPr>
          <w:b w:val="0"/>
          <w:i w:val="0"/>
        </w:rPr>
        <w:t>SUBCOMM . ON INVESTIGATIONS , S. COMM . ON GOV 'T AFFAIRS , THE ROLE OF THE BOARD OF DIRECTORS IN ENRON 'S COLLAPSE , S. REP . NO . 107-70, at 7–8, 11–14 (2002).</w:t>
      </w:r>
    </w:p>
    <w:p>
      <w:pPr>
        <w:spacing w:after="80"/>
      </w:pPr>
      <w:r>
        <w:rPr>
          <w:b w:val="0"/>
          <w:i w:val="0"/>
        </w:rPr>
        <w:t>Sau các vụ phá sản của Enron và WorldCom, và việc phát hiện hàng chục vụ gian lận tài chính khác trong năm 2001 và 2002, các nhà bình luận lập luận rằng các công ty này có chung một rối loạn: hội đồng quản trị đã thất bại trong việc thực hiện trách nhiệm của mình với sự cảnh giác. Một ví dụ về sự phê bình như vậy như sau.</w:t>
      </w:r>
    </w:p>
    <w:p>
      <w:pPr>
        <w:pStyle w:val="Heading4"/>
      </w:pPr>
      <w:r>
        <w:rPr>
          <w:rFonts w:ascii="Calibri" w:hAnsi="Calibri"/>
          <w:b/>
          <w:i w:val="0"/>
          <w:sz w:val="23"/>
        </w:rPr>
        <w:t xml:space="preserve">Elizabeth A. Nowicki, </w:t>
      </w:r>
      <w:r>
        <w:rPr>
          <w:rFonts w:ascii="Calibri" w:hAnsi="Calibri"/>
          <w:b/>
          <w:i/>
          <w:sz w:val="23"/>
        </w:rPr>
        <w:t>Director Inattention and Director</w:t>
      </w:r>
      <w:r>
        <w:br/>
      </w:r>
      <w:r>
        <w:rPr>
          <w:rFonts w:ascii="Calibri" w:hAnsi="Calibri"/>
          <w:b/>
          <w:i/>
          <w:sz w:val="23"/>
        </w:rPr>
        <w:t xml:space="preserve"> Protection under Delaware General Corporation Law</w:t>
      </w:r>
      <w:r>
        <w:br/>
      </w:r>
      <w:r>
        <w:rPr>
          <w:rFonts w:ascii="Calibri" w:hAnsi="Calibri"/>
          <w:b/>
          <w:i/>
          <w:sz w:val="23"/>
        </w:rPr>
        <w:t xml:space="preserve"> Section 102(b)(7): A Proposal for Legislative Reform</w:t>
      </w:r>
    </w:p>
    <w:p>
      <w:pPr>
        <w:spacing w:after="80"/>
      </w:pPr>
      <w:r>
        <w:rPr>
          <w:b w:val="0"/>
          <w:i w:val="0"/>
        </w:rPr>
        <w:t>33 Del. J. Corp. L. 695 (2008)</w:t>
      </w:r>
    </w:p>
    <w:p>
      <w:pPr>
        <w:spacing w:after="80"/>
      </w:pPr>
      <w:r>
        <w:rPr>
          <w:b w:val="0"/>
          <w:i w:val="0"/>
        </w:rPr>
        <w:t>Cấu trúc của công ty đại chúng hiện đại, thuộc sở hữu công khai, dễ dẫn đến các vấn đề về sự thiếu chú ý của hội đồng quản trị. Mặc dù các công ty thuộc sở hữu của cổ đông, chúng được quản lý bởi một hội đồng quản trị do cổ đông bầu ra. Điều này tạo ra sự phân chia giữa quyền sở hữu (ở cấp cổ đông) và quyền kiểm soát (ở cấp giám đốc), làm nảy sinh vấn đề kinh điển "tiền của người khác". Các giám đốc đang quản lý một công ty đại diện cho khoản đầu tư bằng "tiền của người khác", nhưng về lý thuyết, không ai quản lý một doanh nghiệp tốt bằng chính chủ doanh nghiệp vì cô ấy có nhiều thứ đặt cược nhất.</w:t>
      </w:r>
    </w:p>
    <w:p>
      <w:pPr>
        <w:spacing w:after="80"/>
      </w:pPr>
      <w:r>
        <w:rPr>
          <w:b w:val="0"/>
          <w:i w:val="0"/>
        </w:rPr>
        <w:t>Vấn đề "tiền của người khác" này càng trầm trọng hơn bởi cách mà hội đồng quản trị hiện đại thực sự hoàn thành các nghĩa vụ quản lý của mình. Trong khi hội đồng quản trị của một công ty được luật tiểu bang giao nhiệm vụ quản lý hoạt động kinh doanh và các vấn đề của công ty, hội đồng cũng có thẩm quyền luật định để giao phó các nhiệm vụ quản lý cho các quan chức do hội đồng chọn, những người mà hội đồng sau đó "giám sát". Hội đồng quản trị hiện đại do đó là một hội đồng "giám sát", với hoạt động kinh doanh của công ty nằm trong tay các quan chức cấp cao của công ty mà hoạt động của họ được hội đồng giám sát. Cấu trúc giám sát này tách các giám đốc khỏi hoạt động hàng ngày của công ty và hạn chế hội đồng theo hai cách rõ ràng: (1) hội đồng không sở hữu thông tin trực tiếp về các hoạt động hàng ngày của đơn vị mà mình phụ trách; và (2) các quan chức công ty, những người cung cấp thông tin cho các giám đốc về hoạt động của công ty, trở thành những người gác cổng thông tin với quyền hạn giới hạn hoặc bóp méo thông tin mà họ chuyển đến hội đồng.</w:t>
      </w:r>
    </w:p>
    <w:p>
      <w:pPr>
        <w:spacing w:after="80"/>
      </w:pPr>
      <w:r>
        <w:rPr>
          <w:b w:val="0"/>
          <w:i w:val="0"/>
        </w:rPr>
        <w:t>Bởi vì hội đồng hiện đại là một hội đồng giám sát và các hội đồng quản lý "tiền của người khác", khả năng và động lực của một giám đốc để trở thành một giám đốc xuất sắc bị suy giảm. Không có gì đáng ngạc nhiên, khi trong hai thập kỷ qua, nhiều hội đồng đã chứng tỏ mình là những người giám sát kém cỏi. Nhiều hội đồng đã thất bại trong việc phát hiện và dập tắt gian lận công ty, để cho những thất bại nghiêm trọng về sản phẩm làm hoen ố danh tiếng công ty. Ngoài việc hội đồng không có khả năng phát hiện gian lận công ty, các hội đồng còn ngầm phê duyệt một loạt các thực hành kế toán, tài chính và công bố thông tin đáng ngờ. Các vụ bê bối công ty gần đây liên quan đến thù lao điều hành thô tục và khó hiểu, việc lùi ngày cấp quyền chọn cổ phiếu (stock option backdating), và việc cướp bóc công khai đã làm rõ một thực tế rằng hội đồng giám sát có thể không giám sát tốt đến vậy. Một số hội đồng quản trị công ty dường như bị cản trở bởi sự thiếu chú ý, và một số giám đốc thì đang ngủ gật sau tay lái.</w:t>
      </w:r>
    </w:p>
    <w:p>
      <w:pPr>
        <w:spacing w:after="80"/>
      </w:pPr>
      <w:r>
        <w:rPr>
          <w:b w:val="0"/>
          <w:i w:val="0"/>
        </w:rPr>
        <w:t>Sự thiếu tập trung của giám đốc là vấn đề đáng lo ngại ở cả cấp độ vi mô lẫn vĩ mô. Ở cấp độ cá nhân, sự thiếu tập trung của giám đốc là vấn đề bởi vì, khi mà các công ty chịu thiệt hại do sự thiếu tập trung của giám đốc, các cổ đông nắm giữ cổ phiếu của những công ty đó sẽ mất tiền khi giá trị khoản đầu tư của họ giảm xuống. Từ góc nhìn rộng hơn, sự thiếu tập trung của giám đốc là vấn đề bởi vì nó làm xói mòn niềm tin của nhà đầu tư. Khi nhà đầu tư mất niềm tin vào việc quản lý của công ty hiện đại, họ ngừng đầu tư vào cổ phiếu và các công ty, điều này làm thắt chặt thanh khoản của thị trường vốn và hạn chế sự mở rộng của doanh nghiệp. Hơn nữa, xét về mặt học thuật, sự thiếu tập trung của giám đốc đặt ra câu hỏi về tính hữu ích của công ty với tư cách là một thực thể kinh doanh. Một trong những lợi ích chính của hình thức công ty là nó cho phép đầu tư thụ động vì việc quản lý là trách nhiệm của các giám đốc. Nếu các giám đốc thiếu tập trung, điều này làm suy yếu tính hữu ích của việc đầu tư thụ động. Các công ty sử dụng cơ cấu quản lý trao "quyền kiểm soát" công ty vào tay các giám đốc do cổ đông bầu chọn. Nếu các giám đốc không thực hiện chức năng kiểm soát của mình, công ty không vận hành như thiết kế.</w:t>
      </w:r>
    </w:p>
    <w:p>
      <w:pPr>
        <w:pStyle w:val="Heading5"/>
      </w:pPr>
      <w:r>
        <w:rPr>
          <w:rFonts w:ascii="Calibri" w:hAnsi="Calibri"/>
          <w:b/>
          <w:i/>
          <w:sz w:val="22"/>
        </w:rPr>
        <w:t>Bình luận và Câu hỏi</w:t>
      </w:r>
    </w:p>
    <w:p>
      <w:pPr>
        <w:spacing w:after="80"/>
      </w:pPr>
      <w:r>
        <w:rPr>
          <w:b w:val="0"/>
          <w:i w:val="0"/>
        </w:rPr>
        <w:t>1. Mô hình hội đồng quản trị độc lập trong quản trị công ty giả định rằng các giám đốc sẽ thực hiện vai trò giám sát của mình một cách nghiêm túc. Tuy nhiên, những người chỉ trích từ lâu đã lập luận rằng các giám đốc bên ngoài, những người có thể chấp nhận đề cử vào hội đồng vì lý do tìm kiếm địa vị và các đặc quyền của việc làm thành viên hội đồng, thiếu động lực cần thiết để thực hiện chức năng giám sát của mình một cách tích cực. Bạn có thể nghĩ ra bất kỳ cải cách lập pháp nào có thể tạo động lực để các giám đốc trở nên gắn bó hơn, tức là đánh giá các khuyến nghị một cách kỹ lưỡng hơn, tìm kiếm thêm thông tin, và xem xét phê phán các chiến lược được đề xuất? Liệu mối đe dọa về trách nhiệm pháp lý có thể khiến các giám đốc phân tích cẩn thận các báo cáo và đề xuất của ban điều hành? Liệu pháp luật có vai trò gì trong việc thúc đẩy các giám đốc thực hiện nhiệm vụ của mình một cách tận tâm hơn?</w:t>
      </w:r>
    </w:p>
    <w:p>
      <w:pPr>
        <w:spacing w:after="80"/>
      </w:pPr>
      <w:r>
        <w:rPr>
          <w:b w:val="0"/>
          <w:i w:val="0"/>
        </w:rPr>
        <w:t>2. Các hội đồng quản trị cũng bị chỉ trích vì quá phục tùng CEO và các thành viên khác của đội ngũ điều hành cấp cao. Tại sao lại như vậy? Có những động thái trong mối quan hệ giữa giám đốc và CEO khuyến khích sự thụ động và ngăn cản việc đặt câu hỏi không? Liệu ảnh hưởng của CEO đối với việc đề cử giám đốc vào hội đồng có thể dẫn đến việc bầu chọn những cá nhân có xu hướng làm theo các khuyến nghị của CEO không?</w:t>
      </w:r>
    </w:p>
    <w:p>
      <w:pPr>
        <w:spacing w:after="80"/>
      </w:pPr>
      <w:r>
        <w:rPr>
          <w:b w:val="0"/>
          <w:i w:val="0"/>
        </w:rPr>
        <w:t>3. Hội đồng quản trị của Enron bị chi phối bởi các giám đốc bên ngoài với những bằng cấp xuất sắc, những người có vẻ độc lập. Tuy nhiên, trong các phiên điều trần của Quốc hội sau vụ phá sản của Enron, các nhà lập pháp liên bang đã chỉ trích các giám đốc vì đã không thực hiện nghiêm túc trách nhiệm giám sát của mình. Các nhà lập pháp đã chỉ trích mạnh mẽ hội đồng quản trị của công ty vì đã cho phép các giám đốc điều hành Enron tham gia vào kế toán rủi ro cao, phê duyệt các giao dịch xung đột lợi ích không phù hợp và các hoạt động ngoài sổ sách không được tiết lộ rộng rãi, và trao thù lao quá mức cho các giám đốc điều hành cấp cao. Các cuộc điều tra của Quốc hội đặc biệt nhấn mạnh và phản đối các mối quan hệ tiềm ẩn giữa những giám đốc được cho là độc lập với công ty và/hoặc các nhà quản lý công ty, phát hiện rằng những mối quan hệ như vậy đã làm tổn hại đến tính độc lập của giám đốc và sự sẵn sàng thách thức ban quản lý của họ. Ngay cả khi không có những mối quan hệ như vậy, chẳng phải các thành viên hội đồng quản trị nói chung sẽ ủng hộ CEO và đội ngũ quản lý cấp cao sao? Trong chừng mực mà các thành viên hội đồng quản trị thích sự hòa hợp hơn là đối đầu, liệu cổ đông có nên dựa vào các giám đốc độc lập để giám sát CEO và các giám đốc điều hành khác không?</w:t>
      </w:r>
    </w:p>
    <w:p>
      <w:pPr>
        <w:spacing w:after="80"/>
      </w:pPr>
      <w:r>
        <w:rPr>
          <w:b w:val="0"/>
          <w:i w:val="0"/>
        </w:rPr>
        <w:t>4. Mặc dù luật công ty và điều lệ, quy chế của công ty trao quyền quản lý tối cao và các quyết định quan trọng cho hội đồng quản trị, làm thế nào các giám đốc có thể giám sát một cách thực tế hoạt động của một tập đoàn lớn kinh doanh trên toàn cầu?</w:t>
      </w:r>
    </w:p>
    <w:p>
      <w:pPr>
        <w:spacing w:after="80"/>
      </w:pPr>
      <w:r>
        <w:rPr>
          <w:b w:val="0"/>
          <w:i w:val="0"/>
        </w:rPr>
        <w:t>5. Ngay cả sau "cuộc cách mạng quản trị công ty," hầu hết các hội đồng quản trị của công ty đại chúng họp ít hơn hàng tháng. Theo một nghiên cứu năm 2015, hội đồng quản trị của các công ty lớn nhất Hoa Kỳ họp trung bình chín lần mỗi năm; hội đồng quản trị của 52 trong số 100 công ty hàng đầu họp ít hơn chín lần một năm. Báo cáo này gợi ý điều gì về khả năng giám sát ban quản lý của các hội đồng quản trị?</w:t>
      </w:r>
    </w:p>
    <w:p>
      <w:pPr>
        <w:spacing w:after="80"/>
      </w:pPr>
      <w:r>
        <w:rPr>
          <w:b w:val="0"/>
          <w:i w:val="0"/>
        </w:rPr>
        <w:t>6. Các hội đồng quản trị chỉ có thể giám sát hiệu quả nếu họ có thông tin kịp thời và đầy đủ về những gì đang diễn ra bên trong công ty. Trong kỷ nguyên của các giám đốc độc lập, hầu hết thông tin về công ty đến với các giám đốc trong quá trình chuẩn bị và trong các cuộc họp hội đồng quản trị. Nhưng ai quyết định chương trình nghị sự cho các cuộc họp của hội đồng quản trị? Ai quyết định gửi báo cáo và tài liệu nào cho các giám đốc trước cuộc họp của họ? Ai quyết định thông tin mà các giám đốc sẽ nhận được tại cuộc họp nhưng trước khi đưa ra quyết định?</w:t>
      </w:r>
    </w:p>
    <w:p>
      <w:pPr>
        <w:spacing w:after="80"/>
      </w:pPr>
      <w:r>
        <w:rPr>
          <w:b w:val="0"/>
          <w:i w:val="0"/>
        </w:rPr>
        <w:t>—————</w:t>
      </w:r>
    </w:p>
    <w:p>
      <w:pPr>
        <w:spacing w:after="80"/>
      </w:pPr>
      <w:r>
        <w:rPr>
          <w:b w:val="0"/>
          <w:i w:val="0"/>
        </w:rPr>
        <w:t>Mặc dù sự đồng thuận hiện đại dường như cho rằng trách nhiệm chính của các giám đốc là giám sát ban quản lý, các hội đồng quản trị hiệu quả cũng được kỳ vọng thực hiện các chức năng khác thường được mô tả là mang tính cố vấn. Thay vì chỉ đơn thuần nhìn qua vai các giám đốc điều hành công ty, các giám đốc còn cung cấp cho CEO và đội ngũ của họ những lời khuyên đã được cân nhắc và chuyên môn của mình, những đóng góp được cho là sẽ cải thiện chất lượng các quyết định của các nhà quản lý.</w:t>
      </w:r>
    </w:p>
    <w:p>
      <w:pPr>
        <w:pStyle w:val="Heading4"/>
      </w:pPr>
      <w:r>
        <w:rPr>
          <w:rFonts w:ascii="Calibri" w:hAnsi="Calibri"/>
          <w:b/>
          <w:i/>
          <w:sz w:val="23"/>
        </w:rPr>
        <w:t>Báo cáo của Lực lượng Đặc nhiệm thuộc Ủy ban Luật Kinh doanh của ABA</w:t>
      </w:r>
      <w:r>
        <w:br/>
      </w:r>
      <w:r>
        <w:rPr>
          <w:rFonts w:ascii="Calibri" w:hAnsi="Calibri"/>
          <w:b/>
          <w:i/>
          <w:sz w:val="23"/>
        </w:rPr>
        <w:t xml:space="preserve"> Ủy ban Quản trị Công ty về Việc Phân định</w:t>
      </w:r>
      <w:r>
        <w:br/>
      </w:r>
      <w:r>
        <w:rPr>
          <w:rFonts w:ascii="Calibri" w:hAnsi="Calibri"/>
          <w:b/>
          <w:i/>
          <w:sz w:val="23"/>
        </w:rPr>
        <w:t xml:space="preserve"> Vai trò và Trách nhiệm Quản trị</w:t>
      </w:r>
    </w:p>
    <w:p>
      <w:pPr>
        <w:spacing w:after="80"/>
      </w:pPr>
      <w:r>
        <w:rPr>
          <w:b w:val="0"/>
          <w:i w:val="0"/>
        </w:rPr>
        <w:t>65 Bus. Law. 107 (tháng 11 năm 2009)</w:t>
      </w:r>
    </w:p>
    <w:p>
      <w:pPr>
        <w:spacing w:after="80"/>
      </w:pPr>
      <w:r>
        <w:rPr>
          <w:b w:val="0"/>
          <w:i w:val="0"/>
        </w:rPr>
        <w:t>Hội đồng quản trị được luật tiểu bang trao quyền quản lý hoặc điều hành hoạt động kinh doanh và các vấn đề của công ty, và do đó được pháp luật công nhận là cơ quan ra quyết định chính của công ty. Đến lượt mình, hội đồng quản trị thường giao phó quyền hạn đáng kể cho các hoạt động hàng ngày cho một CEO chuyên nghiệp và các giám đốc điều hành khác, những người này lại nhận quyền quản lý của mình từ hội đồng quản trị. Trong chừng mực mà hội đồng quản trị giao phó cho ban quản lý, nó phải thực hiện việc giám sát và kiểm tra hợp lý đối với ban quản lý. Ngoài ra, một số chức năng của hội đồng quản trị có thể không được giao phó. Các chức năng của hội đồng quản trị thường được hội đồng quản trị giữ lại và là trọng tâm của nó bao gồm những điều sau đây:</w:t>
      </w:r>
    </w:p>
    <w:p>
      <w:pPr>
        <w:spacing w:after="80"/>
        <w:ind w:left="360"/>
      </w:pPr>
      <w:r>
        <w:t xml:space="preserve">• </w:t>
      </w:r>
      <w:r>
        <w:rPr>
          <w:b w:val="0"/>
          <w:i w:val="0"/>
        </w:rPr>
        <w:t>Lựa chọn, giám sát, đánh giá, tạo động lực, và trả thù lao, và khi cần thiết, thay thế CEO và các thành viên chủ chốt khác của ban quản lý cấp cao;</w:t>
      </w:r>
    </w:p>
    <w:p>
      <w:pPr>
        <w:spacing w:after="80"/>
        <w:ind w:left="360"/>
      </w:pPr>
      <w:r>
        <w:t xml:space="preserve">• </w:t>
      </w:r>
      <w:r>
        <w:rPr>
          <w:b w:val="0"/>
          <w:i w:val="0"/>
        </w:rPr>
        <w:t>Giám sát hiệu quả hoạt động của công ty và đánh giá liệu công ty có đang được đội ngũ quản lý cấp cao quản lý một cách thích hợp hay không;</w:t>
      </w:r>
    </w:p>
    <w:p>
      <w:pPr>
        <w:spacing w:after="80"/>
        <w:ind w:left="360"/>
      </w:pPr>
      <w:r>
        <w:t xml:space="preserve">• </w:t>
      </w:r>
      <w:r>
        <w:rPr>
          <w:b w:val="0"/>
          <w:i w:val="0"/>
        </w:rPr>
        <w:t>Cung cấp hướng dẫn chiến lược cho đội ngũ quản lý cấp cao và xem xét, phê duyệt các mục tiêu tài chính và các kế hoạch, hành động quan trọng của công ty;</w:t>
      </w:r>
    </w:p>
    <w:p>
      <w:pPr>
        <w:spacing w:after="80"/>
        <w:ind w:left="360"/>
      </w:pPr>
      <w:r>
        <w:t xml:space="preserve">• </w:t>
      </w:r>
      <w:r>
        <w:rPr>
          <w:b w:val="0"/>
          <w:i w:val="0"/>
        </w:rPr>
        <w:t>Xây dựng chính sách của công ty;</w:t>
      </w:r>
    </w:p>
    <w:p>
      <w:pPr>
        <w:spacing w:after="80"/>
        <w:ind w:left="360"/>
      </w:pPr>
      <w:r>
        <w:t xml:space="preserve">• </w:t>
      </w:r>
      <w:r>
        <w:rPr>
          <w:b w:val="0"/>
          <w:i w:val="0"/>
        </w:rPr>
        <w:t>Xem xét và phê duyệt các thay đổi lớn trong các nguyên tắc và thông lệ kiểm toán và kế toán;</w:t>
      </w:r>
    </w:p>
    <w:p>
      <w:pPr>
        <w:spacing w:after="80"/>
        <w:ind w:left="360"/>
      </w:pPr>
      <w:r>
        <w:t xml:space="preserve">• </w:t>
      </w:r>
      <w:r>
        <w:rPr>
          <w:b w:val="0"/>
          <w:i w:val="0"/>
        </w:rPr>
        <w:t>Giám sát hoạt động kiểm toán, kiểm soát nội bộ, quản lý rủi ro và đạo đức, cùng việc tuân thủ;</w:t>
      </w:r>
    </w:p>
    <w:p>
      <w:pPr>
        <w:spacing w:after="80"/>
        <w:ind w:left="360"/>
      </w:pPr>
      <w:r>
        <w:t xml:space="preserve">• </w:t>
      </w:r>
      <w:r>
        <w:rPr>
          <w:b w:val="0"/>
          <w:i w:val="0"/>
        </w:rPr>
        <w:t>Ở một công ty đại chúng, giám sát việc báo cáo tài chính và các công bố thông tin liên quan;</w:t>
      </w:r>
    </w:p>
    <w:p>
      <w:pPr>
        <w:spacing w:after="80"/>
        <w:ind w:left="360"/>
      </w:pPr>
      <w:r>
        <w:t xml:space="preserve">• </w:t>
      </w:r>
      <w:r>
        <w:rPr>
          <w:b w:val="0"/>
          <w:i w:val="0"/>
        </w:rPr>
        <w:t>Tuyên bố cổ tức và phê duyệt các chương trình mua lại cổ phiếu;</w:t>
      </w:r>
    </w:p>
    <w:p>
      <w:pPr>
        <w:spacing w:after="80"/>
        <w:ind w:left="360"/>
      </w:pPr>
      <w:r>
        <w:t xml:space="preserve">• </w:t>
      </w:r>
      <w:r>
        <w:rPr>
          <w:b w:val="0"/>
          <w:i w:val="0"/>
        </w:rPr>
        <w:t>Đưa ra quyết định về các giao dịch lớn và các sự kiện trọng yếu khác liên quan đến công ty để trình cổ đông phê duyệt; và</w:t>
      </w:r>
    </w:p>
    <w:p>
      <w:pPr>
        <w:spacing w:after="80"/>
        <w:ind w:left="360"/>
      </w:pPr>
      <w:r>
        <w:t xml:space="preserve">• </w:t>
      </w:r>
      <w:r>
        <w:rPr>
          <w:b w:val="0"/>
          <w:i w:val="0"/>
        </w:rPr>
        <w:t>Thực hiện bất kỳ chức năng nào khác theo quy định của pháp luật, quy chế hoặc quy tắc niêm yết, hoặc theo điều lệ thành lập hay điều lệ nội bộ của công ty.</w:t>
      </w:r>
    </w:p>
    <w:p>
      <w:pPr>
        <w:spacing w:after="80"/>
      </w:pPr>
      <w:r>
        <w:rPr>
          <w:b w:val="0"/>
          <w:i w:val="0"/>
        </w:rPr>
        <w:t>Trái ngược với quyền hạn hạn chế của cổ đông, hội đồng quản trị có quyền hạn rộng lớn để khởi xướng và thông qua các kế hoạch, cam kết và hành động của công ty. Tuy nhiên, một số quyền hạn của giám đốc bị giới hạn bởi yêu cầu phải có sự phê duyệt của cổ đông, và trong mọi trường hợp, quyền hạn của giám đốc đều phải tuân theo các nghĩa vụ ủy thác (fiduciary duties) của hội đồng đối với công ty và cổ đông của công ty.</w:t>
      </w:r>
    </w:p>
    <w:p>
      <w:pPr>
        <w:spacing w:after="80"/>
      </w:pPr>
      <w:r>
        <w:rPr>
          <w:b w:val="0"/>
          <w:i w:val="0"/>
        </w:rPr>
        <w:t>Khi thực hiện nhiệm vụ của mình, các giám đốc được yêu cầu hành động theo những tiêu chuẩn cao áp đặt lên những người giữ nghĩa vụ ủy thác, bao gồm nghĩa vụ hành động với sự cẩn trọng đáng có (tập trung sự chú ý thích đáng và đưa ra quyết định trên cơ sở đầy đủ thông tin), với thiện chí, và vì lợi ích tốt nhất của công ty và cổ đông. Các giám đốc có nghĩa vụ cẩn trọng và trung thành đối với cả công ty lẫn toàn thể tập thể cổ đông. Nghĩa vụ cẩn trọng đòi hỏi các giám đốc phải tự trang bị cho mình “mọi thông tin trọng yếu có sẵn một cách hợp lý cho họ” liên quan đến một quyết định cụ thể trước khi hành động dựa trên quyết định đó. “[N]ghĩa vụ trung thành đòi hỏi rằng lợi ích tốt nhất của công ty và cổ đông phải được đặt lên trên bất kỳ lợi ích nào mà một giám đốc nắm giữ… và không được chia sẻ chung bởi các cổ đông.” Từng giám đốc vi phạm nghĩa vụ trung thành của mình khi đặt lợi ích của bất kỳ ai—dù là bản thân họ, ban điều hành, một bên thứ ba, hay một nhóm nhỏ cổ đông—lên trên công ty hoặc cổ đông nói chung.</w:t>
      </w:r>
    </w:p>
    <w:p>
      <w:pPr>
        <w:spacing w:after="80"/>
      </w:pPr>
      <w:r>
        <w:rPr>
          <w:b w:val="0"/>
          <w:i w:val="0"/>
        </w:rPr>
        <w:t>Các giám đốc cũng có nghĩa vụ hành động một cách có cân nhắc và hoàn toàn được thông tin đầy đủ, điều này đòi hỏi phải tiếp cận được thông tin liên quan và kịp thời. Một trong những thách thức rất thực tế trong quản trị công ty liên quan đến sự khác biệt giữa các nhà quản lý và các giám đốc trong việc tiếp cận thông tin về công ty, và những hệ quả của sự khác biệt này đối với khả năng của các giám đốc bên ngoài làm việc bán thời gian trong việc buộc các nhà quản lý phải chịu trách nhiệm về những trách nhiệm đã được giao phó cho họ. Việc ngày càng dựa nhiều vào các giám đốc độc lập trong các công ty đại chúng—những giám đốc mà theo định nghĩa là thiếu nguồn thông tin riêng của họ về các vấn đề nội bộ công ty do không có mối quan hệ lao động và kinh doanh với công ty—trên thực tế có thể làm tăng sự phụ thuộc của giám đốc vào ban điều hành đối với thông tin mà giám đốc cần để thực hiện việc giám sát thích đáng. Tuy nhiên, các giám đốc phải nỗ lực hợp lý để đảm bảo rằng họ được thông báo đầy đủ và thích đáng về việc công ty tuân thủ pháp luật và kết quả kinh doanh của công ty.</w:t>
      </w:r>
    </w:p>
    <w:p>
      <w:pPr>
        <w:pStyle w:val="Heading5"/>
      </w:pPr>
      <w:r>
        <w:rPr>
          <w:rFonts w:ascii="Calibri" w:hAnsi="Calibri"/>
          <w:b/>
          <w:i/>
          <w:sz w:val="22"/>
        </w:rPr>
        <w:t>Bình luận và Câu hỏi</w:t>
      </w:r>
    </w:p>
    <w:p>
      <w:pPr>
        <w:spacing w:after="80"/>
      </w:pPr>
      <w:r>
        <w:rPr>
          <w:b w:val="0"/>
          <w:i w:val="0"/>
        </w:rPr>
        <w:t>1. Thay vì tư vấn cho những người nội bộ công ty về hoạt động kinh doanh và chiến lược của công ty, các giám đốc bên ngoài ngày nay phải dành ngày càng nhiều thời gian để giám sát ban điều hành và lập kế hoạch cho những thay đổi nhân sự trong ban điều hành. Bên cạnh những hạn chế về thời gian, một số nhà bình luận cho rằng văn hóa đồng nghiệp thân thiết trong phòng họp hội đồng quản trị—một nền văn hóa hỗ trợ các giám đốc thực hiện chức năng tư vấn của mình—lại cản trở các giám đốc thực hiện chức năng giám sát. Bạn có nghĩ rằng mô hình hội đồng giám sát khơi dậy những tương tác mang tính đối đầu thay vì thân thiện giữa các CEO và các giám đốc bên ngoài không? Trong phạm vi mà vai trò tư vấn và vai trò giám sát của giám đốc xung đột với nhau, sự xung đột đó có thể gây ra những hệ quả gì đối với hiệu quả của hội đồng với tư cách là một cơ quan quản trị?</w:t>
      </w:r>
    </w:p>
    <w:p>
      <w:pPr>
        <w:spacing w:after="80"/>
      </w:pPr>
      <w:r>
        <w:rPr>
          <w:b w:val="0"/>
          <w:i w:val="0"/>
        </w:rPr>
        <w:t>2. Để giám sát ban điều hành một cách hiệu quả cũng như đưa ra lời khuyên và tư vấn cho CEO và những người khác trong đội ngũ điều hành cấp cao, các giám đốc cần thông tin kịp thời và đáng tin cậy. Làm thế nào để các giám đốc có được thông tin mà họ cần để hoạt động tốt với vai trò cố vấn và giám sát? Những trở ngại nào có thể tồn tại đối với việc các giám đốc bên ngoài thu thập thông tin thiết yếu từ ban điều hành, bao gồm các báo cáo, dữ liệu và thông tin tình báo mà những người nội bộ có thể không muốn chia sẻ, tức là tin xấu? Làm thế nào để các giám đốc bên ngoài xác minh tính chính xác và đầy đủ của thông tin mà ban điều hành công ty cung cấp cho họ?</w:t>
      </w:r>
    </w:p>
    <w:p>
      <w:pPr>
        <w:spacing w:after="80"/>
      </w:pPr>
      <w:r>
        <w:rPr>
          <w:b w:val="0"/>
          <w:i w:val="0"/>
        </w:rPr>
        <w:t>—————</w:t>
      </w:r>
    </w:p>
    <w:p>
      <w:pPr>
        <w:spacing w:after="80"/>
      </w:pPr>
      <w:r>
        <w:rPr>
          <w:b w:val="0"/>
          <w:i w:val="0"/>
        </w:rPr>
        <w:t>Một số nhà bình luận đã lập luận rằng các quy định sau vụ Enron nhằm tăng cường vai trò giám sát của hội đồng quản trị đã làm tổn hại đến tính đồng nghiệp thân thiết trong phòng họp hội đồng và, quan trọng hơn, đã làm chệch hướng sự chú ý của các giám đốc khỏi việc đưa ra lời khuyên quan trọng và định hướng chiến lược cho CEO và đội ngũ quản lý cấp cao. Những người khác, như Giáo sư Brown, lại đặt câu hỏi về tầm quan trọng của chức năng tư vấn của hội đồng quản trị.</w:t>
      </w:r>
    </w:p>
    <w:p>
      <w:pPr>
        <w:pStyle w:val="Heading4"/>
      </w:pPr>
      <w:r>
        <w:rPr>
          <w:rFonts w:ascii="Calibri" w:hAnsi="Calibri"/>
          <w:b/>
          <w:i w:val="0"/>
          <w:sz w:val="23"/>
        </w:rPr>
        <w:t>J. Robert Brown, Jr.,</w:t>
      </w:r>
      <w:r>
        <w:br/>
      </w:r>
      <w:r>
        <w:rPr>
          <w:rFonts w:ascii="Calibri" w:hAnsi="Calibri"/>
          <w:b/>
          <w:i w:val="0"/>
          <w:sz w:val="23"/>
        </w:rPr>
        <w:t xml:space="preserve"> </w:t>
      </w:r>
      <w:r>
        <w:rPr>
          <w:rFonts w:ascii="Calibri" w:hAnsi="Calibri"/>
          <w:b/>
          <w:i/>
          <w:sz w:val="23"/>
        </w:rPr>
        <w:t>The Demythification of the Board of Directors</w:t>
      </w:r>
    </w:p>
    <w:p>
      <w:pPr>
        <w:spacing w:after="80"/>
      </w:pPr>
      <w:r>
        <w:rPr>
          <w:b w:val="0"/>
          <w:i w:val="0"/>
        </w:rPr>
        <w:t>52 Am. Bus. L.J. 131 (Spring 2015)</w:t>
      </w:r>
    </w:p>
    <w:p>
      <w:pPr>
        <w:spacing w:after="80"/>
      </w:pPr>
      <w:r>
        <w:rPr>
          <w:b w:val="0"/>
          <w:i w:val="0"/>
        </w:rPr>
        <w:t>Trong cuộc tranh luận về quản trị doanh nghiệp, mối quan hệ giữa cổ đông và hội đồng quản trị nằm ngay tâm điểm. Ban điều hành có nghĩa vụ pháp lý phải hành động vì lợi ích tốt nhất của cổ đông nhưng đôi khi lại không làm vậy. Cổ đông có lợi ích trong việc giám sát hành động của ban điều hành nhưng thường không thể làm được.</w:t>
      </w:r>
    </w:p>
    <w:p>
      <w:pPr>
        <w:spacing w:after="80"/>
      </w:pPr>
      <w:r>
        <w:rPr>
          <w:b w:val="0"/>
          <w:i w:val="0"/>
        </w:rPr>
        <w:t>Các cải cách nhằm giải quyết những vấn đề này thường mang hình thức thay đổi cơ cấu của hội đồng quản trị. Sau vụ Enron, các sở giao dịch chứng khoán đã bắt buộc sử dụng các ủy ban kiểm toán, lương thưởng và đề cử nhân sự, đồng thời giới hạn thành viên chỉ là các giám đốc độc lập, qua đó loại trừ ban điều hành. Hội đồng quản trị của các công ty niêm yết được yêu cầu phải có đa số giám đốc độc lập. Quốc hội trong Đạo luật Sarbanes-Oxley gần như đã ra lệnh đưa chuyên môn tài chính vào hội đồng quản trị và áp đặt các tiêu chuẩn bắt buộc đối với ủy ban kiểm toán của các công ty niêm yết. Dodd-Frank cũng áp dụng cách tiếp cận tương tự đối với ủy ban lương thưởng và thắt chặt định nghĩa về giám đốc độc lập.</w:t>
      </w:r>
    </w:p>
    <w:p>
      <w:pPr>
        <w:spacing w:after="80"/>
      </w:pPr>
      <w:r>
        <w:rPr>
          <w:b w:val="0"/>
          <w:i w:val="0"/>
        </w:rPr>
        <w:t>Những cải cách này không phải lúc nào cũng tạo ra kết quả như mong đợi. Điều này có thể xảy ra một phần vì việc nhấn mạnh vào cải cách cơ cấu mà không kèm theo những thay đổi cần thiết trong quy trình. Tuy nhiên, nó cũng có thể xảy ra vì những quan niệm sai lầm về hành vi của hội đồng quản trị.</w:t>
      </w:r>
    </w:p>
    <w:p>
      <w:pPr>
        <w:spacing w:after="80"/>
      </w:pPr>
      <w:r>
        <w:rPr>
          <w:b w:val="0"/>
          <w:i w:val="0"/>
        </w:rPr>
        <w:t>Hai huyền thoại phổ biến được dùng để giải thích hành vi của hội đồng quản trị tại các công ty đại chúng lớn. Một là huyền thoại cho rằng các giám đốc của những công ty này được chọn chủ yếu dựa trên năng lực thực chất của họ. Không phải vậy. Các công ty chọn giám đốc vì khuynh hướng của họ đối với các chính sách của ban điều hành.</w:t>
      </w:r>
    </w:p>
    <w:p>
      <w:pPr>
        <w:spacing w:after="80"/>
      </w:pPr>
      <w:r>
        <w:rPr>
          <w:b w:val="0"/>
          <w:i w:val="0"/>
        </w:rPr>
        <w:t>Các giám đốc có quyền hạn cố hữu để can thiệp vào các vấn đề của công ty, bao gồm quyền sa thải các quan chức cấp cao. Hơn nữa, trong thời đại của các giám đốc độc lập và tổ chức cổ đông được tăng cường, tiềm năng can thiệp vào các vấn đề của công ty đã tăng lên. Do đó, ban điều hành có động cơ hợp lý để giảm thiểu rủi ro này. Đảm bảo rằng hội đồng quản trị bao gồm các giám đốc ủng hộ các quan điểm của tổng giám đốc điều hành (CEO) có thể thúc đẩy mục tiêu này. Điều này không làm cho năng lực thực chất trở nên không liên quan nhưng lại biến chúng thành vấn đề có tầm quan trọng thứ yếu.</w:t>
      </w:r>
    </w:p>
    <w:p>
      <w:pPr>
        <w:spacing w:after="80"/>
      </w:pPr>
      <w:r>
        <w:rPr>
          <w:b w:val="0"/>
          <w:i w:val="0"/>
        </w:rPr>
        <w:t>Huyền thoại còn lại là hội đồng quản trị tại các công ty đại chúng lớn thực hiện một chức năng cố vấn có ý nghĩa. Hội đồng quản trị thường được cho là vừa giám sát vừa cố vấn cho ban điều hành. Tuy nhiên, việc cố vấn làm tăng rủi ro can thiệp vào các chức năng của ban điều hành. Kết quả là, dù vai trò này có thể đã từng tồn tại, nó không còn là một phần quan trọng và có hệ thống trong trách nhiệm của hội đồng quản trị nữa. Không có vai trò cố vấn, mối quan hệ giữa các giám đốc và ban điều hành mất đi phần lớn vẻ ngoài hợp tác và chủ yếu bị thu hẹp thành giám sát và theo dõi, những hoạt động có thể được mô tả chính xác hơn là mang tính đối kháng.</w:t>
      </w:r>
    </w:p>
    <w:p>
      <w:pPr>
        <w:spacing w:after="80"/>
      </w:pPr>
      <w:r>
        <w:rPr>
          <w:b w:val="0"/>
          <w:i w:val="0"/>
        </w:rPr>
        <w:t>* * *</w:t>
      </w:r>
    </w:p>
    <w:p>
      <w:pPr>
        <w:spacing w:after="80"/>
      </w:pPr>
      <w:r>
        <w:rPr>
          <w:b w:val="0"/>
          <w:i w:val="0"/>
        </w:rPr>
        <w:t>Giả định chung là các giám đốc được chọn dựa trên năng lực thực chất của họ. Tuy nhiên, đây là một huyền thoại. Dù kinh nghiệm điều hành và các loại chuyên môn khác không phải là không liên quan, các giám đốc được chọn chủ yếu vì sự sẵn lòng ủng hộ các chính sách của ban điều hành đương nhiệm.</w:t>
      </w:r>
    </w:p>
    <w:p>
      <w:pPr>
        <w:spacing w:after="80"/>
      </w:pPr>
      <w:r>
        <w:rPr>
          <w:b w:val="0"/>
          <w:i/>
        </w:rPr>
        <w:t>Nhu cầu về sự đáng tin cậy</w:t>
      </w:r>
    </w:p>
    <w:p>
      <w:pPr>
        <w:spacing w:after="80"/>
      </w:pPr>
      <w:r>
        <w:rPr>
          <w:b w:val="0"/>
          <w:i w:val="0"/>
        </w:rPr>
        <w:t>Mặc dù hội đồng quản trị chịu trách nhiệm pháp lý trong việc quản lý công ty, trên thực tế nhiệm vụ này được giao cho các quan chức, đặc biệt là CEO. Do đó, hội đồng quản trị chủ yếu đóng vai trò giám sát. Nói một cách rộng rãi, họ tìm cách giảm thiểu sự quá tự tin của CEO, ngăn chặn việc trốn tránh trách nhiệm, giải quyết xung đột lợi ích và đảm bảo rằng các nhà quản lý hành động vì lợi ích tốt nhất của cổ đông. Khi thực hiện những trách nhiệm này, đôi khi họ sẽ cần can thiệp vào các vấn đề của công ty và đảo ngược hoặc thay đổi các quyết định của ban điều hành. Họ cũng có thể được yêu cầu sa thải các quan chức cấp cao.</w:t>
      </w:r>
    </w:p>
    <w:p>
      <w:pPr>
        <w:spacing w:after="80"/>
      </w:pPr>
      <w:r>
        <w:rPr>
          <w:b w:val="0"/>
          <w:i w:val="0"/>
        </w:rPr>
        <w:t xml:space="preserve">Khả năng can thiệp vừa là vấn đề cơ cấu vừa là hệ quả của nghĩa vụ pháp lý. Các CEO phục vụ theo cách phải phù hợp với “mong muốn rõ ràng của hội đồng quản trị.” </w:t>
      </w:r>
      <w:r>
        <w:rPr>
          <w:b w:val="0"/>
          <w:i/>
        </w:rPr>
        <w:t>In re Walt Disney Co. Deriv. Litig.</w:t>
      </w:r>
      <w:r>
        <w:rPr>
          <w:b w:val="0"/>
          <w:i w:val="0"/>
        </w:rPr>
        <w:t xml:space="preserve"> , 907 A.2d 693, 774 n.570 (Del. Ch. 2005). Đến lượt mình, các giám đốc có nghĩa vụ hành động vì lợi ích tốt nhất của cổ đông, điều này có thể đòi hỏi việc sa thải CEO. Tuy nhiên, trên thực tế, việc can thiệp là tùy ý. Hội đồng quản trị quyết định khi nào cổ đông được hưởng lợi từ việc phủ quyết một quyết định hoặc thay thế CEO.</w:t>
      </w:r>
    </w:p>
    <w:p>
      <w:pPr>
        <w:spacing w:after="80"/>
      </w:pPr>
      <w:r>
        <w:rPr>
          <w:b w:val="0"/>
          <w:i w:val="0"/>
        </w:rPr>
        <w:t>* * *</w:t>
      </w:r>
    </w:p>
    <w:p>
      <w:pPr>
        <w:spacing w:after="80"/>
      </w:pPr>
      <w:r>
        <w:rPr>
          <w:b w:val="0"/>
          <w:i/>
        </w:rPr>
        <w:t>Quan điểm thông thường</w:t>
      </w:r>
    </w:p>
    <w:p>
      <w:pPr>
        <w:spacing w:after="80"/>
      </w:pPr>
      <w:r>
        <w:rPr>
          <w:b w:val="0"/>
          <w:i w:val="0"/>
        </w:rPr>
        <w:t>Huyền thoại thứ hai về hành vi của hội đồng quản trị là các giám đốc tại các công ty đại chúng lớn thực hiện một chức năng cố vấn hoặc quản lý có ý nghĩa. Trong tầm nhìn hợp tác và tương tác này, các giám đốc được xem là cung cấp lời khuyên hữu ích và bối cảnh lịch sử. Họ có thể giúp mài giũa các chiến lược của công ty, dự đoán các vấn đề và khuyến khích sự linh hoạt của CEO. Hơn nữa, ở đỉnh cao của công ty, hội đồng quản trị có vị trí độc nhất để đưa ra lời khuyên mà ban điều hành không thể dễ dàng bỏ qua. Một số người thậm chí còn cho rằng chức năng này đã trở nên quan trọng hơn. Tầm nhìn này hấp dẫn nhưng không phải là một mô tả hữu ích về hành vi của hội đồng quản trị, ít nhất là đối với các công ty đại chúng lớn nhất. Nhu cầu về các giám đốc ít can thiệp hơn gần như đã loại bỏ vai trò cố vấn có ý nghĩa. Để đưa ra lời khuyên hoặc tham gia vào việc quản lý, hội đồng quản trị phải được thông tin đầy đủ. Tương tự, vai trò cố vấn hoạt động tốt nhất với một hội đồng quản trị chứa đựng nhiều trải nghiệm và kỹ năng thực chất đa dạng, qua đó cho phép các giám đốc cung cấp cho ban điều hành một tập hợp kết quả rộng hơn. Tuy nhiên, việc nhấn mạnh vào sự đáng tin cậy như phẩm chất ưu việt cho việc phục vụ trong hội đồng quản trị lại xung đột với mục tiêu của một hội đồng quản trị được thông tin đầy đủ và đa dạng.</w:t>
      </w:r>
    </w:p>
    <w:p>
      <w:pPr>
        <w:spacing w:after="80"/>
      </w:pPr>
      <w:r>
        <w:rPr>
          <w:b w:val="0"/>
          <w:i w:val="0"/>
        </w:rPr>
        <w:t>Trong chừng mực một số người cho rằng chức năng cố vấn hoặc “quản lý” vẫn còn tồn tại, họ thường chỉ ra nghĩa vụ của hội đồng quản trị trong việc phê duyệt một số loại giao dịch nhất định như cổ tức và sáp nhập. Việc hội đồng quản trị xem xét các giao dịch này thực sự mang lại một cơ hội lý thuyết để cố vấn và đề xuất các phương án thay thế. Tuy nhiên, trên thực tế, các đề xuất thường đến cấp hội đồng quản trị sau khi ban điều hành đàm phán thành công và các chuyên gia bên ngoài thẩm định kỹ lưỡng. Vai trò của hội đồng quản trị là đảm bảo tính đầy đủ về mặt pháp lý, với ban điều hành tìm kiếm sự phê chuẩn chứ không phải ý kiến đóng góp.</w:t>
      </w:r>
    </w:p>
    <w:p>
      <w:pPr>
        <w:spacing w:after="80"/>
      </w:pPr>
      <w:r>
        <w:rPr>
          <w:b w:val="0"/>
          <w:i/>
        </w:rPr>
        <w:t>Trường hợp của Hoạch định Chiến lược</w:t>
      </w:r>
    </w:p>
    <w:p>
      <w:pPr>
        <w:spacing w:after="80"/>
      </w:pPr>
      <w:r>
        <w:rPr>
          <w:b w:val="0"/>
          <w:i w:val="0"/>
        </w:rPr>
        <w:t>Có lẽ vai trò cố vấn chính thức gần nhất mà một hội đồng quản trị đảm nhận là thông qua việc tham gia vào quá trình hoạch định chiến lược. Hoạch định chiến lược vừa mang tính cố vấn vừa mang tính hợp tác, mang đến cho các giám đốc cơ hội giúp xác định sứ mệnh của công ty. Thật vậy, một số người đã lập luận rằng cần tăng cường vai trò của hội đồng quản trị trong quá trình này.</w:t>
      </w:r>
    </w:p>
    <w:p>
      <w:pPr>
        <w:spacing w:after="80"/>
      </w:pPr>
      <w:r>
        <w:rPr>
          <w:b w:val="0"/>
          <w:i w:val="0"/>
        </w:rPr>
        <w:t>Hoạch định chiến lược là một khái niệm có phần "mơ hồ". Các hội đồng quản trị giao cho các ủy ban hoạch định chiến lược vô số chức năng đa dạng. Điều này có thể bao gồm nghĩa vụ xác định "các chiến lược kinh doanh dài hạn" hoặc, như một hội đồng quản trị đã diễn đạt, để đảm bảo "rằng các chiến lược, ưu tiên và chính sách của Công ty nhất quán với các mục tiêu bao trùm của Công ty là tạo ra và xây dựng giá trị bền vững dài hạn cho các cổ đông." Microfinancial, Proxy Statement, at 6 (Apr. 11, 2014). Các ủy ban có thể cảnh báo ban điều hành về các công nghệ thay thế hoặc xu hướng ngành. Các giám đốc có thể đề xuất sản phẩm mới, xác định ứng viên mua lại, hoặc đề xuất cơ hội kinh doanh.</w:t>
      </w:r>
    </w:p>
    <w:p>
      <w:pPr>
        <w:spacing w:after="80"/>
      </w:pPr>
      <w:r>
        <w:rPr>
          <w:b w:val="0"/>
          <w:i w:val="0"/>
        </w:rPr>
        <w:t>Dù có những chức năng này, hoạch định chiến lược không dẫn đến việc các hội đồng quản trị đóng một vai trò cố vấn nhất quán và có ý nghĩa trong công ty. Thứ nhất, không phải tất cả các công ty đại chúng đều thực hiện hoạt động này. Rất ít công ty có sẵn các ủy ban thường trực chịu trách nhiệm hoạch định chiến lược, với số lượng dường như đang giảm trong những năm gần đây, đặc biệt là trong số các công ty đại chúng lớn nhất. Và khi chúng tồn tại, chúng cũng không nhất thiết họp thường xuyên. Thứ hai, chức năng hoạch định thực tế thường mang tính từng đợt và do đó diễn ra không thường xuyên. Một khi đã được phát triển, các mục tiêu dài hạn được cho là sẽ duy trì trong một khoảng thời gian dài.</w:t>
      </w:r>
    </w:p>
    <w:p>
      <w:pPr>
        <w:spacing w:after="80"/>
      </w:pPr>
      <w:r>
        <w:rPr>
          <w:b w:val="0"/>
          <w:i w:val="0"/>
        </w:rPr>
        <w:t>Thứ ba, trên thực tế, hoạch định chiến lược có khả năng bị ảnh hưởng và dẫn dắt bởi ban điều hành. Các hội đồng quản trị thường được trình bày một kế hoạch đã có sẵn. Trong bối cảnh đó, họ không đang vạch ra một định hướng chiến lược mà chỉ đơn thuần bình luận hoặc xác nhận tầm nhìn hiện có của ban điều hành.</w:t>
      </w:r>
    </w:p>
    <w:p>
      <w:pPr>
        <w:spacing w:after="80"/>
      </w:pPr>
      <w:r>
        <w:rPr>
          <w:b w:val="0"/>
          <w:i w:val="0"/>
        </w:rPr>
        <w:t xml:space="preserve">Cuối cùng, hội đồng quản trị có thể thiếu cấu trúc cần thiết để thực hiện chức năng hoạch định chiến lược một cách đầy đủ và hiệu quả. Do nhấn mạnh vào tính đáng tin cậy, các hội đồng quản trị thường thiếu sự đa dạng quan điểm cần thiết cho một cuộc thảo luận mạnh mẽ và có ý nghĩa. Tương tự, hoạch định chiến lược đòi hỏi các giám đốc có đầy đủ thông tin. Tuy nhiên, các quan chức công ty có động cơ giữ lại thông tin để giảm "khả năng giám sát hiệu quả hoạt động của ban điều hành" của hội đồng quản trị. Nicola Faith Sharpe, </w:t>
      </w:r>
      <w:r>
        <w:rPr>
          <w:b w:val="0"/>
          <w:i/>
        </w:rPr>
        <w:t>Informational Autonomy in the Boardroom,</w:t>
      </w:r>
      <w:r>
        <w:rPr>
          <w:b w:val="0"/>
          <w:i w:val="0"/>
        </w:rPr>
        <w:t xml:space="preserve"> 2013 U. Ill. L. Rev. 1089, 1129 (2013) (kế hoạch chiến lược có thể giúp cải thiện khả năng của các giám đốc trong việc giám sát hiệu quả hoạt động của ban điều hành).</w:t>
      </w:r>
    </w:p>
    <w:p>
      <w:pPr>
        <w:spacing w:after="80"/>
      </w:pPr>
      <w:r>
        <w:rPr>
          <w:b w:val="0"/>
          <w:i/>
        </w:rPr>
        <w:t>Tóm tắt</w:t>
      </w:r>
    </w:p>
    <w:p>
      <w:pPr>
        <w:spacing w:after="80"/>
      </w:pPr>
      <w:r>
        <w:rPr>
          <w:b w:val="0"/>
          <w:i w:val="0"/>
        </w:rPr>
        <w:t>Các hội đồng quản trị của những công ty đại chúng lớn nhất không đóng vai trò cố vấn, ít nhất là theo bất kỳ cách thức có hệ thống hoặc có ý nghĩa nào. Hội đồng quản trị cũng không "quản lý" công ty. Thay vào đó, các giám đốc chủ yếu đảm bảo tính hợp pháp và thiết lập các ranh giới bên ngoài cho ban điều hành. Họ không vạch ra các chính sách hoặc thông lệ mà công ty thực hiện, nhưng có thẩm quyền và đôi khi có nghĩa vụ can thiệp khi cần thiết để bảo vệ lợi ích của cổ đông.</w:t>
      </w:r>
    </w:p>
    <w:p>
      <w:pPr>
        <w:pStyle w:val="Heading5"/>
      </w:pPr>
      <w:r>
        <w:rPr>
          <w:rFonts w:ascii="Calibri" w:hAnsi="Calibri"/>
          <w:b/>
          <w:i/>
          <w:sz w:val="22"/>
        </w:rPr>
        <w:t>Bình luận và Câu hỏi</w:t>
      </w:r>
    </w:p>
    <w:p>
      <w:pPr>
        <w:spacing w:after="80"/>
      </w:pPr>
      <w:r>
        <w:rPr>
          <w:b w:val="0"/>
          <w:i w:val="0"/>
        </w:rPr>
        <w:t>1. Với tư cách là một cơ quan quản trị, chức năng chính của hội đồng quản trị công ty có phải là cố vấn cho CEO và các giám đốc điều hành cấp cao khác không? Bạn có đồng ý rằng để hoạt động hiệu quả với tư cách là một cơ quan cố vấn, hội đồng quản trị phải duy trì mối quan hệ thân thiết với ban điều hành không? Hãy giải thích câu trả lời của bạn.</w:t>
      </w:r>
    </w:p>
    <w:p>
      <w:pPr>
        <w:spacing w:after="80"/>
      </w:pPr>
      <w:r>
        <w:rPr>
          <w:b w:val="0"/>
          <w:i w:val="0"/>
        </w:rPr>
        <w:t>2. Mặc dù thường quy cho các giám đốc bên ngoài một vai trò cố vấn, có rất ít bằng chứng thực nghiệm về việc liệu các hội đồng quản trị công ty đại chúng có thực sự thực hiện chức năng này thường xuyên hay theo bất kỳ cách có ý nghĩa nào không. Cần nghiên cứu thêm để xác định, ví dụ, liệu các hội đồng quản trị có tham gia với ban điều hành trong hoạch định chiến lược công ty hay không, như thế nào và thường xuyên ra sao. Khi công ty tư vấn quản lý McKinsey khảo sát 772 giám đốc vào năm 2013, chỉ 34 phần trăm đồng ý rằng hội đồng quản trị của họ hiểu đầy đủ về chiến lược của công ty mình.</w:t>
      </w:r>
    </w:p>
    <w:p>
      <w:pPr>
        <w:spacing w:after="80"/>
      </w:pPr>
      <w:r>
        <w:rPr>
          <w:b w:val="0"/>
          <w:i w:val="0"/>
        </w:rPr>
        <w:t>Đối với các thương vụ sáp nhập và mua lại cụ thể, không rõ liệu các giám đốc điều hành công ty, nhân viên ngân hàng và luật sư có tham khảo ý kiến với các giám đốc bên ngoài hay không, và vào thời điểm nào trong quá trình giao dịch. Vai trò của hội đồng quản trị thay đổi tùy thuộc vào quy mô giao dịch, mức độ phức tạp của nó, mức độ am hiểu của các giám đốc và ban điều hành, cùng các thông lệ và văn hóa của hội đồng quản trị, trong số các yếu tố khác. Các giám đốc bên ngoài của các công ty đại chúng lớn có nhiều khả năng sẽ xem xét và phê duyệt các giao dịch đã được ban điều hành thẩm định sau khi các cuộc đàm phán kết thúc. Các hội đồng quản trị này thường nhận được các bài trình bày từ các cố vấn tài chính và xem xét các tài liệu quan trọng để hiểu rõ thương vụ và đánh giá tác động tài chính của nó đối với công ty. Các hội đồng quản trị khác có thể giao cho ủy ban kiểm toán trách nhiệm kiểm tra tính kinh tế của các giao dịch tiềm năng và đưa ra khuyến nghị cho toàn thể hội đồng quản trị. Ngoài ra, một số thành viên hội đồng quản trị cá nhân có thể tham khảo ý kiến không chính thức với CEO về các vấn đề thẩm định, chiến lược đàm phán, các điểm nhạy cảm của thương vụ, và những vấn đề tương tự. Tùy thuộc vào hoàn cảnh của công ty và giao dịch, các giám đốc bên ngoài có thể hoạt động như cố vấn, như giám sát viên, hoặc vừa là cố vấn vừa là giám sát viên.</w:t>
      </w:r>
    </w:p>
    <w:p>
      <w:pPr>
        <w:spacing w:after="80"/>
      </w:pPr>
      <w:r>
        <w:rPr>
          <w:b w:val="0"/>
          <w:i w:val="0"/>
        </w:rPr>
        <w:t>3. Các giám đốc có xu hướng có xuất thân, học vấn, nghề nghiệp và kinh nghiệm tương tự nhau. Họ cũng có khả năng chia sẻ các mối liên kết và quan hệ giống nhau hoặc tương tự, bao gồm cả các mối quan hệ xã hội. Những quan điểm chung này có thể ảnh hưởng như thế nào đến khả năng của các giám đốc trong việc hoạt động như những cố vấn? Mối quan hệ thân thiết giữa các giám đốc với nhau và với CEO có thể ảnh hưởng như thế nào đến khả năng của họ trong việc cố vấn hiệu quả cho ban điều hành? Liệu các hội đồng quản trị có hoạt động tốt hơn với vai trò cố vấn nếu những người có quan điểm đa dạng được đại diện trong hội đồng quản trị không? Chúng ta sẽ khám phá những câu hỏi này ở một mức độ nào đó ở phần sau của chương này và cả trong các chương tiếp theo.</w:t>
      </w:r>
    </w:p>
    <w:p>
      <w:pPr>
        <w:spacing w:after="80"/>
      </w:pPr>
      <w:r>
        <w:rPr>
          <w:b w:val="0"/>
          <w:i w:val="0"/>
        </w:rPr>
        <w:t>4. Giáo sư Tamar Frankel đã viết rằng sự cân bằng quyền lực giữa các giám đốc và các CEO có thể dao động tùy thuộc vào việc hội đồng quản trị hoạt động chủ yếu như cố vấn cho ban điều hành hay như người giám sát ban điều hành. Khi hội đồng quản trị đóng vai trò cố vấn cho CEO của công ty, hội đồng quản trị không có tiếng nói cuối cùng về chủ đề mà mình cố vấn; lời khuyên của hội đồng quản trị có thể ảnh hưởng đến ban điều hành, nhưng ban điều hành đưa ra quyết định cuối cùng. Ngược lại, khi hội đồng quản trị giám sát CEO, hội đồng quản trị đóng vai trò người ra quyết định tối cao. Giả sử mô hình này là chính xác, bạn có thể đưa ra lập luận rằng chức năng cố vấn của hội đồng quản trị đi ngược lại luật công ty không? Ngoài chức năng mà các giám đốc thực hiện, những yếu tố nào khác có thể ảnh hưởng đến sự cân bằng quyền lực giữa các hội đồng quản trị công ty và các CEO?</w:t>
      </w:r>
    </w:p>
    <w:p>
      <w:pPr>
        <w:pStyle w:val="Heading2"/>
      </w:pPr>
      <w:r>
        <w:rPr>
          <w:rFonts w:ascii="Calibri" w:hAnsi="Calibri"/>
          <w:b/>
          <w:i w:val="0"/>
          <w:sz w:val="32"/>
        </w:rPr>
        <w:t>III. Các Giám đốc Độc lập</w:t>
      </w:r>
    </w:p>
    <w:p>
      <w:pPr>
        <w:spacing w:after="80"/>
      </w:pPr>
      <w:r>
        <w:rPr>
          <w:b w:val="0"/>
          <w:i w:val="0"/>
        </w:rPr>
        <w:t>Để giám sát ban điều hành thành công vì lợi ích của công ty và các cổ đông, hội đồng quản trị phải bao gồm những người sẵn lòng và có khả năng đóng vai trò người bảo vệ lợi ích của cổ đông. Ủy ban Chứng khoán và Giao dịch Hoa Kỳ từ lâu đã ưu tiên rằng các giám đốc độc lập với ban điều hành thực hiện chức năng giám sát này; ngay từ năm 1934, William O. Douglas, một ủy viên của SEC đầu tiên, đã lập luận rằng các giám đốc không liên kết với ban điều hành nên chiếm đa số ghế trong hội đồng quản trị. Tuy nhiên, với thẩm quyền luật định hạn chế, Ủy ban đã không hành động để điều chỉnh các hội đồng quản trị cho đến giữa những năm 1970. Vào thời điểm đó, hầu hết các chuyên gia trong lĩnh vực này đều đồng ý rằng các hội đồng quản trị bao gồm đa số giám đốc độc lập (những người không được công ty tuyển dụng hoặc liên kết với công ty) giám sát các nhà quản lý hiệu quả hơn. Không có xung đột lợi ích phát sinh từ mối quan hệ của họ với công ty hoặc các giám đốc điều hành của công ty, các giám đốc độc lập được cho là sẽ chú ý và khách quan hơn. Những người không chịu ơn CEO về việc làm hoặc phúc lợi kinh tế của họ cũng sẽ đánh giá hiệu quả hoạt động của ban điều hành mạnh mẽ hơn.</w:t>
      </w:r>
    </w:p>
    <w:p>
      <w:pPr>
        <w:spacing w:after="80"/>
      </w:pPr>
      <w:r>
        <w:rPr>
          <w:b w:val="0"/>
          <w:i w:val="0"/>
        </w:rPr>
        <w:t xml:space="preserve">Thời hậu Watergate, các giám đốc độc lập trở thành tâm điểm của các giải pháp quản trị doanh nghiệp nhằm giải quyết vấn đề đại diện (agency problem) về hành vi sai trái của ban điều hành trong các công ty đại chúng, và các nỗ lực cải cách quản trị doanh nghiệp tập trung vào việc tăng cường tính độc lập của giám đốc khỏi ban điều hành để cải thiện sự giám sát của hội đồng quản trị. Bản dự thảo đầu tiên của </w:t>
      </w:r>
      <w:r>
        <w:rPr>
          <w:b w:val="0"/>
          <w:i/>
        </w:rPr>
        <w:t>Principles of Corporate Governance</w:t>
      </w:r>
      <w:r>
        <w:rPr>
          <w:b w:val="0"/>
          <w:i w:val="0"/>
        </w:rPr>
        <w:t xml:space="preserve"> thuộc American Law Institute lẽ ra sẽ buộc các công ty đại chúng phải có đa số giám đốc độc lập trong hội đồng quản trị. Mặc dù ALI đã làm dịu lập trường của mình vào thời điểm công bố </w:t>
      </w:r>
      <w:r>
        <w:rPr>
          <w:b w:val="0"/>
          <w:i/>
        </w:rPr>
        <w:t>Principles</w:t>
      </w:r>
      <w:r>
        <w:rPr>
          <w:b w:val="0"/>
          <w:i w:val="0"/>
        </w:rPr>
        <w:t xml:space="preserve"> năm 1994—và yêu cầu về tính độc lập trở thành một khuyến nghị—phong trào hội đồng quản trị độc lập đã bắt đầu. Trong thời gian ngắn, "chức danh giám đốc độc lập . . . đã tiến hóa từ chỗ là đối tượng của những suy đoán thú vị thành một 'thông lệ tốt nhất' được mặc định cho các công ty thành công nhất trên thế giới." Các hội đồng quản trị của công ty đại chúng đã biến đổi, như được Giáo sư Jeffrey Gordon mô tả trong bài viết sau đây.</w:t>
      </w:r>
    </w:p>
    <w:p>
      <w:pPr>
        <w:pStyle w:val="Heading4"/>
      </w:pPr>
      <w:r>
        <w:rPr>
          <w:rFonts w:ascii="Calibri" w:hAnsi="Calibri"/>
          <w:b/>
          <w:i w:val="0"/>
          <w:sz w:val="23"/>
        </w:rPr>
        <w:t xml:space="preserve">Jeffrey N. Gordon, </w:t>
      </w:r>
      <w:r>
        <w:rPr>
          <w:rFonts w:ascii="Calibri" w:hAnsi="Calibri"/>
          <w:b/>
          <w:i/>
          <w:sz w:val="23"/>
        </w:rPr>
        <w:t>Sự trỗi dậy của các giám đốc độc lập tại</w:t>
      </w:r>
      <w:r>
        <w:br/>
      </w:r>
      <w:r>
        <w:rPr>
          <w:rFonts w:ascii="Calibri" w:hAnsi="Calibri"/>
          <w:b/>
          <w:i/>
          <w:sz w:val="23"/>
        </w:rPr>
        <w:t xml:space="preserve"> Hoa Kỳ, 1950–2005: Về giá trị cổ đông</w:t>
      </w:r>
      <w:r>
        <w:br/>
      </w:r>
      <w:r>
        <w:rPr>
          <w:rFonts w:ascii="Calibri" w:hAnsi="Calibri"/>
          <w:b/>
          <w:i/>
          <w:sz w:val="23"/>
        </w:rPr>
        <w:t xml:space="preserve"> và giá cả thị trường chứng khoán</w:t>
      </w:r>
    </w:p>
    <w:p>
      <w:pPr>
        <w:spacing w:after="80"/>
      </w:pPr>
      <w:r>
        <w:rPr>
          <w:b w:val="0"/>
          <w:i w:val="0"/>
        </w:rPr>
        <w:t>59 Stan. L. Rev. 1465, 1468–83 (2007)</w:t>
      </w:r>
    </w:p>
    <w:p>
      <w:pPr>
        <w:spacing w:after="80"/>
      </w:pPr>
      <w:r>
        <w:rPr>
          <w:b w:val="0"/>
          <w:i w:val="0"/>
        </w:rPr>
        <w:t>"</w:t>
      </w:r>
      <w:r>
        <w:rPr>
          <w:b w:val="0"/>
          <w:i/>
        </w:rPr>
        <w:t>Giám đốc độc lập"—đó là câu trả lời, nhưng câu hỏi là gì?</w:t>
      </w:r>
    </w:p>
    <w:p>
      <w:pPr>
        <w:spacing w:after="80"/>
      </w:pPr>
      <w:r>
        <w:rPr>
          <w:b w:val="0"/>
          <w:i w:val="0"/>
        </w:rPr>
        <w:t>Cách hiểu thông thường hiện nay về hội đồng quản trị trong công ty có sở hữu phân tán là họ làm giảm chi phí đại diện (agency costs) gắn liền với việc tách rời quyền sở hữu và quyền kiểm soát. Được cổ đông bầu ra, các giám đốc được cho là phải "giám sát" các nhà quản lý vì lợi ích của cổ đông. Ai nên ngồi trong hội đồng quản trị của một công ty đại chúng lớn? Vào khoảng năm 1950, câu trả lời, xét cả về mặt chuẩn tắc lẫn thực tế, là hội đồng quản trị nên bao gồm các quan chức cấp cao của công ty, một số người bên ngoài có mối liên hệ sâu sắc với công ty (như ngân hàng của công ty hoặc luật sư bên ngoài cấp cao của công ty), và một vài giám đốc trên danh nghĩa độc lập nhưng do CEO tự tay chọn. Vào khoảng năm 2006, câu trả lời là "các giám đốc độc lập," với tính độc lập được củng cố bởi một loạt cơ chế dựa trên quy tắc và cấu trúc. Các giám đốc nội bộ chỉ còn là một phần nhỏ đang thu hẹp dần; vị luật sư bên ngoài cấp cao trong hội đồng quản trị gần như là một loài đã tuyệt chủng.</w:t>
      </w:r>
    </w:p>
    <w:p>
      <w:pPr>
        <w:spacing w:after="80"/>
      </w:pPr>
      <w:r>
        <w:rPr>
          <w:b w:val="0"/>
          <w:i w:val="0"/>
        </w:rPr>
        <w:t>Phong trào chuyển sang giám đốc độc lập, vốn khởi đầu như một lời kêu gọi "quản trị tốt," đã trở thành ở một số khía cạnh một yếu tố bắt buộc của luật doanh nghiệp. Đối với các giao dịch gây tranh cãi, các tòa án Delaware đặt điều kiện áp dụng "quy tắc phán đoán kinh doanh" (business judgment rule) khoan dung của họ đối với hành động của hội đồng quản trị được thực hiện bởi các giám đốc độc lập. Sở Giao dịch Chứng khoán New York yêu cầu hầu hết các công ty niêm yết phải có hội đồng quản trị với đa số giám đốc độc lập và các ủy ban kiểm toán và thù lao chỉ gồm toàn giám đốc độc lập. NASD yêu cầu các giao dịch có xung đột phải được phê duyệt bởi các ủy ban chỉ gồm toàn giám đốc độc lập. Luật liên bang hậu Enron yêu cầu các công ty đại chúng phải có một ủy ban kiểm toán chỉ gồm toàn giám đốc độc lập. Nhưng tại sao phong trào chuyển sang giám đốc độc lập lại rõ rệt đến vậy?</w:t>
      </w:r>
    </w:p>
    <w:p>
      <w:pPr>
        <w:spacing w:after="80"/>
      </w:pPr>
      <w:r>
        <w:rPr>
          <w:b w:val="0"/>
          <w:i w:val="0"/>
        </w:rPr>
        <w:t>Một trong những câu đố hiển nhiên trong tài liệu thực nghiệm về quản trị doanh nghiệp là sự thiếu tương quan giữa sự hiện diện của các giám đốc độc lập và hiệu quả kinh tế của công ty. Nhiều nghiên cứu đã tìm kiếm vô vọng một tác động có ý nghĩa kinh tế đối với hiệu quả tổng thể của công ty. Một số người phủ nhận rằng có một câu đố: lý thuyết sẽ dự đoán rằng các công ty sẽ chọn cấu trúc hội đồng quản trị giúp tăng cơ hội tồn tại và thành công; nếu áp lực thị trường cạnh tranh loại bỏ các mô hình quản trị doanh nghiệp phi cân bằng, thì sự đa dạng còn lại là có chức năng. Những người khác sẽ lưu ý rằng quản trị doanh nghiệp ở Hoa Kỳ vốn đã khá tốt, và do đó những cải thiện biên trong một cơ chế quản trị doanh nghiệp cụ thể được kỳ vọng sẽ có tác động nhỏ, có lẽ không đáng kể.</w:t>
      </w:r>
    </w:p>
    <w:p>
      <w:pPr>
        <w:spacing w:after="80"/>
      </w:pPr>
      <w:r>
        <w:rPr>
          <w:b w:val="0"/>
          <w:i w:val="0"/>
        </w:rPr>
        <w:t>Luận điểm của Bài viết này là sự trỗi dậy của các giám đốc độc lập trong công ty đại chúng có sở hữu phân tán không chỉ được thúc đẩy bởi nhu cầu giải quyết vấn đề đại diện của ban quản lý tại bất kỳ công ty cụ thể nào. "Giám đốc độc lập" là câu trả lời cho một câu hỏi khác: làm thế nào để chúng ta quản trị các công ty nhằm tăng phúc lợi xã hội (được đại diện bởi việc tối đa hóa giá trị cổ đông trên toàn thị trường nói chung)? Việc tối đa hóa giá trị cổ đông này có thể tạo ra những thể chế chưa tối ưu cho các công ty cụ thể nhưng lại tối ưu cho một nền kinh tế gồm những công ty như vậy. Các giám đốc độc lập như được phát triển trong bối cảnh Hoa Kỳ giải quyết ba vấn đề khác nhau: Thứ nhất, họ tăng cường sự trung thành của các nhà quản lý với các mục tiêu của cổ đông, thay vì lợi ích của ban quản lý hay lợi ích của các bên liên quan. Thứ hai, họ tăng cường độ tin cậy của việc công bố thông tin công khai của công ty, điều này làm cho giá cả thị trường chứng khoán trở thành một tín hiệu đáng tin cậy hơn cho việc phân bổ vốn và cho việc giám sát các nhà quản lý tại các công ty khác cũng như tại chính công ty của họ. Thứ ba, và gây tranh cãi hơn, họ cung cấp một cơ chế ràng buộc sự phản hồi của các công ty đối với các tín hiệu thị trường chứng khoán nhưng theo một cách có giới hạn. Việc chuyển sang giám đốc độc lập phục vụ cho quan điểm rằng các tín hiệu thị trường chứng khoán là thước đo đáng tin cậy nhất về hiệu quả của công ty và là hướng dẫn tốt nhất cho việc phân bổ vốn trong nền kinh tế, nhưng cần một "bàn tay hữu hình," cụ thể là hội đồng quản trị độc lập, để cân bằng xu hướng vượt quá đà của thị trường.</w:t>
      </w:r>
    </w:p>
    <w:p>
      <w:pPr>
        <w:spacing w:after="80"/>
      </w:pPr>
      <w:r>
        <w:rPr>
          <w:b w:val="0"/>
          <w:i w:val="0"/>
        </w:rPr>
        <w:t>Các giám đốc độc lập có lợi thế so sánh cho những nhiệm vụ khác nhau này. Họ ít phụ thuộc vào CEO hơn và nhạy cảm hơn với các đánh giá bên ngoài về hiệu quả của họ với tư cách giám đốc; họ ít gắn bó với các báo cáo nội bộ về triển vọng của công ty hơn và ít lo lắng hơn về việc công bố thông tin có thể nhạy cảm về mặt cạnh tranh. Họ cũng có uy tín trong việc "kiểm tra" các tín hiệu thị trường dựa trên các thước đo nội tại về triển vọng của công ty. Nói cách khác, các giám đốc thực sự độc lập có thể tạo ra giá trị đáng kể trong việc phân bổ nguồn lực, không chỉ trong công ty của họ mà còn nói chung khi các công ty khác buộc phải thích nghi với những công ty hoạt động tốt nhất. Do đó, một trong những dấu ấn của giai đoạn [gần đây] là sự phát triển của nhiều cơ chế khác nhau về tính độc lập của giám đốc nhằm tạo ra những giám đốc thực sự độc lập trên thực tế.</w:t>
      </w:r>
    </w:p>
    <w:p>
      <w:pPr>
        <w:spacing w:after="80"/>
      </w:pPr>
      <w:r>
        <w:rPr>
          <w:b w:val="0"/>
          <w:i w:val="0"/>
        </w:rPr>
        <w:t>Trong thời kỳ chủ nghĩa hoạt động cổ đông gia tăng này, một câu hỏi quan trọng là liệu tính độc lập được tăng cường của các giám đốc có tạo ra không gian cho một công ty đại chúng chống lại áp lực thị trường chứng khoán theo đuổi các chiến lược kinh doanh hiện đang bị coi nhẹ hay không (và liệu điều này có đáng mong muốn hay không), hay liệu chính những áp lực làm phát sinh tính độc lập của giám đốc cuối cùng sẽ nhấn chìm khả năng này.</w:t>
      </w:r>
    </w:p>
    <w:p>
      <w:pPr>
        <w:spacing w:after="80"/>
      </w:pPr>
      <w:r>
        <w:rPr>
          <w:b w:val="0"/>
          <w:i w:val="0"/>
        </w:rPr>
        <w:t>Một trong những yếu tố nổi bật của giai đoạn 1950–2005 là sự phát triển của nhiều cơ chế khác nhau để tạo ra và tăng cường tính độc lập của các giám đốc. Nguồn gốc của nhiều cơ chế này là làn sóng cải cách quản trị doanh nghiệp thập niên 1970, vốn cố gắng thiết lập các điều kiện tiên quyết cho hội đồng quản trị giám sát. Thật vậy, "giám đốc độc lập" chỉ gia nhập từ vựng quản trị doanh nghiệp vào thập niên 1970 với tư cách là loại giám đốc có khả năng thực hiện vai trò giám sát. Cho đến lúc đó, hội đồng quản trị được chia thành các giám đốc "nội bộ" và "bên ngoài." Những phát triển tiếp theo ủng hộ tính độc lập của giám đốc diễn ra vào thập niên 1990 như một phần của dàn xếp hậu đấu thầu thù địch giữa các nhà đầu tư tổ chức, các nhà quản lý và các hội đồng quản trị. Làn sóng cuối cùng, sau năm 2002, được thúc đẩy bởi các thất bại của hội đồng quản trị tại Enron, WorldCom và những nơi khác, dẫn đến những nỗ lực mới nhằm tăng cường tính độc lập của giám đốc dựa trên vai trò bổ sung của hội đồng quản trị là giám sát kiểm soát cũng như giám sát hiệu quả hoạt động.</w:t>
      </w:r>
    </w:p>
    <w:p>
      <w:pPr>
        <w:spacing w:after="80"/>
      </w:pPr>
      <w:r>
        <w:rPr>
          <w:b w:val="0"/>
          <w:i w:val="0"/>
        </w:rPr>
        <w:t>Về mặt phân tích, các cơ chế về tính độc lập của giám đốc này có thể được chia thành bốn loại: (1) thắt chặt các tiêu chuẩn và quy tắc về các mối quan hệ bị loại trừ; (2) tăng cường các chế tài tiêu cực và tích cực, như trách nhiệm pháp lý khi vi phạm nghĩa vụ ủy thác, các chế tài về uy tín, và thù lao dựa trên cổ phiếu; (3) phát triển các cấu trúc nội bộ hội đồng quản trị, như các ủy ban chuyên trách theo nhiệm vụ và việc chỉ định một "giám đốc chủ trì"; và (4) giảm ảnh hưởng của CEO trong việc lựa chọn và giữ chân giám đốc bằng cách, ví dụ, thành lập một ủy ban đề cử chỉ gồm toàn giám đốc độc lập. Không cần phải lạc quan kiểu Pangloss, có vẻ như những tác động tích lũy của những thay đổi trong từng cơ chế này, cũng như sự chuyển dịch văn hóa tích lũy được nuôi dưỡng bởi các nỗ lực cải cách liên tiếp, lẽ ra đã làm tăng tính độc lập trên thực tế của các giám đốc trong suốt giai đoạn này.</w:t>
      </w:r>
    </w:p>
    <w:p>
      <w:pPr>
        <w:spacing w:after="80"/>
      </w:pPr>
      <w:r>
        <w:rPr>
          <w:b w:val="0"/>
          <w:i w:val="0"/>
        </w:rPr>
        <w:t>Một cách đơn giản để tăng cường tính độc lập của giám đốc là chọn những ứng viên không có mối quan hệ đang tồn tại (hoặc thậm chí trước đây) với công ty ngoài vai trò giám đốc. Trong giai đoạn 1950–2005, thước đo tính độc lập dựa trên mối quan hệ đã thắt chặt đáng kể. Ban đầu, phép thử về mối quan hệ chỉ tập trung hẹp vào tình trạng việc làm của giám đốc. Những người không phải là quan chức đương nhiệm, theo định nghĩa, là người bên ngoài, bao gồm cả các giám đốc không điều hành nhưng có mối quan hệ trọng yếu mà ngày nay sẽ bị coi là loại trừ—chẳng hạn như việc làm với một nhà cung cấp hoặc khách hàng, hoặc với ngân hàng đầu tư hay công ty luật của công ty. Sự đồng thuận này được phản ánh qua tuyên bố năm 1962 của Sở Giao dịch Chứng khoán New York, vốn chấp nhận mô tả một giám đốc bên ngoài đơn giản chỉ là người không thuộc ban quản lý.</w:t>
      </w:r>
    </w:p>
    <w:p>
      <w:pPr>
        <w:spacing w:after="80"/>
      </w:pPr>
      <w:r>
        <w:rPr>
          <w:b w:val="0"/>
          <w:i w:val="0"/>
        </w:rPr>
        <w:t>Các tiêu chuẩn đã thắt chặt đáng kể sau cuộc khủng hoảng quản trị doanh nghiệp thập niên 1970, lần đầu tiên tạo ra một nhu cầu phối hợp về các giám đốc "độc lập." Những thất bại kinh doanh được công bố rộng rãi trong giai đoạn này dẫn đến việc ngày càng chấp nhận "mô hình giám sát" của hội đồng quản trị, vốn đòi hỏi các giám đốc độc lập. Những tiết lộ cùng thời về nạn hối lộ doanh nghiệp lan rộng và các khoản đóng góp chiến dịch bất hợp pháp trong nước và ngoài nước, cái được gọi là "các khoản thanh toán đáng ngờ," đã thúc đẩy SEC kiên quyết yêu cầu các giám đốc độc lập trong việc dàn xếp nhiều hành động thực thi khác nhau.</w:t>
      </w:r>
    </w:p>
    <w:p>
      <w:pPr>
        <w:spacing w:after="80"/>
      </w:pPr>
      <w:r>
        <w:rPr>
          <w:b w:val="0"/>
          <w:i w:val="0"/>
        </w:rPr>
        <w:t>Câu hỏi chưa được giải đáp là chính xác điều gì tạo thành "tính độc lập"—người ta nên xử lý các lợi ích kinh tế và các mối quan hệ cá nhân có khả năng làm suy yếu tính độc lập như thế nào. Hướng dẫn quy định của liên bang, tiêu chuẩn niêm yết của sở giao dịch chứng khoán, luật ủy thác của tiểu bang, và các tuyên bố về "thông lệ tốt nhất" đều đóng một vai trò trong việc vạch ranh giới.</w:t>
      </w:r>
    </w:p>
    <w:p>
      <w:pPr>
        <w:spacing w:after="80"/>
      </w:pPr>
      <w:r>
        <w:rPr>
          <w:b w:val="0"/>
          <w:i w:val="0"/>
        </w:rPr>
        <w:t>Cuốn Corporate Director's Guidebook năm 1978, một sản phẩm có ảnh hưởng của các luật sư doanh nghiệp chính thống, đã đưa ra sự phân biệt hai cấp độ: trước tiên phân biệt giữa các giám đốc "ban quản lý" và "không thuộc ban quản lý," rồi sau đó giữa các giám đốc không thuộc ban quản lý có liên kết và không liên kết. Một cựu quan chức hoặc nhân viên được coi là giám đốc thuộc ban quản lý. Một giám đốc có các mối quan hệ kinh tế hoặc cá nhân khác "có thể được nhìn nhận là gây trở ngại cho việc thực hiện phán đoán độc lập" là một giám đốc không thuộc ban quản lý có liên kết—ví dụ, "các chủ ngân hàng thương mại, chủ ngân hàng đầu tư, luật sư, và những người khác cung cấp dịch vụ hoặc hàng hóa cho công ty."</w:t>
      </w:r>
    </w:p>
    <w:p>
      <w:pPr>
        <w:spacing w:after="80"/>
      </w:pPr>
      <w:r>
        <w:rPr>
          <w:b w:val="0"/>
          <w:i w:val="0"/>
        </w:rPr>
        <w:t>Năm 1978, SEC thậm chí còn đề xuất quy định công bố thông tin đại diện (proxy disclosure) nhằm phân loại các giám đốc bên ngoài thành “có liên kết” hoặc “độc lập”, với ý đồ rõ ràng là dùng việc công bố thông tin để đạt được mục tiêu của Chủ tịch Harold Williams: các hội đồng quản trị (board) phải có phần lớn, nếu không muốn nói là toàn bộ, thành viên là giám đốc độc lập. Trước phản đối từ phía doanh nghiệp, SEC nhanh chóng rút lại đề xuất, với lời giải thích yếu ớt rằng “khả năng đưa ra phán đoán độc lập không chỉ phụ thuộc vào cái mác gắn cho một giám đốc cụ thể”. Về phía NYSE, tiêu chuẩn niêm yết năm 1977 về ủy ban kiểm toán (audit committee), vốn yêu cầu thành viên là “các giám đốc độc lập với ban điều hành”, đã dung hòa đôi bên: nó cho phép các giám đốc đến từ những tổ chức có “mối quan hệ thương mại, công nghiệp, ngân hàng hoặc bảo lãnh phát hành thông thường với công ty” được phục vụ trong ủy ban kiểm toán, trừ khi hội đồng quản trị xác định rằng những mối quan hệ đó “sẽ cản trở việc thực hiện phán đoán độc lập với tư cách thành viên ủy ban”. Định nghĩa đó giữ nguyên cho đến năm 1999, khi tiêu chí độc lập của ủy ban kiểm toán được siết chặt đáng kể theo sự thúc đẩy của Ủy ban Ruy-băng Xanh về Cải thiện Hiệu quả Ủy ban Kiểm toán (Blue Ribbon Committee on Improving Audit Committee Effectiveness). Các ủy ban kiểm toán được yêu cầu phải gồm ít nhất ba “giám đốc độc lập”, và những mối quan hệ kinh tế “thông thường” của năm 1977 nay đã bị loại trừ đối với thành viên ủy ban.</w:t>
      </w:r>
    </w:p>
    <w:p>
      <w:pPr>
        <w:spacing w:after="80"/>
      </w:pPr>
      <w:r>
        <w:rPr>
          <w:b w:val="0"/>
          <w:i w:val="0"/>
        </w:rPr>
        <w:t>Một đợt siết chặt quy định liên bang khác đối với tiêu chuẩn “độc lập” đến qua các tiêu chí năm 1996 của IRS dành cho các giám đốc “bên ngoài” – những người có thể phê duyệt thù lao dựa trên hiệu suất được miễn trừ khỏi mức trần khấu trừ thuế 1 triệu đô-la đối với thù lao điều hành do mục 162(m) của Bộ luật Thuế vụ Liên bang (Internal Revenue Code) quy định. Những tiêu chí đó loại trừ một cựu cán bộ của công ty và một giám đốc nhận thù lao từ công ty “dù trực tiếp hay gián tiếp, dưới bất kỳ vai trò nào khác ngoài vai trò giám đốc”. Các tiêu chí này cũng đặt ra những giới hạn nghiêm ngặt về mức độ mà giám đốc có thể sở hữu cổ phần trong, hoặc làm việc cho, một thực thể nhận thanh toán từ công ty. Đến lượt mình, các quy định của IRS lại ảnh hưởng đến các quy tắc năm 1996 của SEC, quy định việc giám đốc độc lập phê duyệt một số giao dịch liên quan đến cổ phiếu như một điều kiện để được miễn trừ khỏi các quy định thu hồi lợi nhuận giao dịch ngắn hạn (short-swing profit recapture) của mục 16(b) trong Đạo luật Giao dịch Chứng khoán năm 1934. Định nghĩa về “giám đốc không phải nhân viên” (non-employee director) có quyền phê duyệt như vậy đã bám sát nội dung của quy định IRS. Các phép kiểm tra về khoảng cách kinh tế đối với tính độc lập của giám đốc do hai cơ quan quản lý liên bang quan trọng này thiết lập đã trở thành những chuẩn mực quan trọng.</w:t>
      </w:r>
    </w:p>
    <w:p>
      <w:pPr>
        <w:spacing w:after="80"/>
      </w:pPr>
      <w:r>
        <w:rPr>
          <w:b w:val="0"/>
          <w:i w:val="0"/>
        </w:rPr>
        <w:t xml:space="preserve">Các tòa án tiểu bang, khi vật lộn với quyền của cổ đông (khác với hội đồng quản trị) trong việc duy trì các vụ kiện phái sinh (derivative litigation) cáo buộc hành vi sai trái của công ty, là một nguồn quan trọng khác làm gia tăng các tiêu chuẩn về tính độc lập của giám đốc vào giữa giai đoạn này. Vụ bê bối “thanh toán đáng ngờ” thập niên 1970 đã dẫn đến một loạt vụ kiện phái sinh của cổ đông. Các công ty tìm cách nắm quyền kiểm soát các vụ kiện để tránh những tác động có thể gây rối loạn và để loại bỏ cái gọi là “kiện tụng tống tiền” (strike suits). Trong phán quyết quan trọng </w:t>
      </w:r>
      <w:r>
        <w:rPr>
          <w:b w:val="0"/>
          <w:i/>
        </w:rPr>
        <w:t>Zapata Corp. v. Maldonado</w:t>
      </w:r>
      <w:r>
        <w:rPr>
          <w:b w:val="0"/>
          <w:i w:val="0"/>
        </w:rPr>
        <w:t>, Tòa án Tối cao Delaware đã phán rằng ngay cả đối với một vụ kiện phái sinh được “miễn yêu cầu” (demand-excused), một “ủy ban đặc biệt” (special committee) gồm các giám đốc độc lập vẫn có thể đạt được việc bác bỏ vụ kiện nếu chứng minh được điều đó là vì lợi ích tốt nhất của công ty. Trong yêu cầu bác bỏ, ủy ban đặc biệt phải gánh trách nhiệm chứng minh tính độc lập của mình. Điều này, tất nhiên, làm tăng nhu cầu về những giám đốc có ít mối liên hệ trước đây với công ty và ban điều hành, và góp phần siết chặt tiêu chuẩn độc lập. Hơn nữa, các tiêu chuẩn được phát triển trong các vụ kiện phái sinh thập niên 1970 và đầu thập niên 1980 cũng đặt ra tiêu chí về tính chính danh của các giám đốc – những người cần sự phê chuẩn của tòa án cho việc họ phê duyệt các biện pháp phòng vệ mục tiêu trước một đề nghị thâu tóm thù địch.</w:t>
      </w:r>
    </w:p>
    <w:p>
      <w:pPr>
        <w:spacing w:after="80"/>
      </w:pPr>
      <w:r>
        <w:rPr>
          <w:b w:val="0"/>
          <w:i w:val="0"/>
        </w:rPr>
        <w:t>Suốt thập niên 1980 và 1990, nhiều hội đồng và ủy ban “ruy-băng xanh” đã xây dựng những hướng dẫn “thực hành tốt nhất” có phần ảnh hưởng về các phép kiểm tra mối quan hệ. Trình bày quan trọng nhất là Nguyên tắc Quản trị Công ty năm 1992 của Viện Luật Hoa Kỳ (“ALI”), khuyến nghị rằng hội đồng quản trị của một công ty đại chúng “nên có phần lớn giám đốc không có bất kỳ mối quan hệ trọng yếu nào với các lãnh đạo cấp cao của công ty”. “Mối quan hệ trọng yếu” được định nghĩa theo cách loại trừ nhiều giám đốc có liên kết, cả thông qua các loại trừ dứt khoát liên quan đến hãng luật hoặc ngân hàng đầu tư bên ngoài chính của công ty, lẫn thông qua việc chú ý đến các mối quan hệ khách hàng/nhà cung cấp vượt qua một ngưỡng trọng yếu kinh tế tương đối thấp (200.000 đô-la). Nguyên tắc Quản trị Công ty cũng kêu gọi ủy ban đề cử của công ty thực hiện việc xem xét cá biệt hóa hơn đối với các yếu tố có thể làm suy yếu tính độc lập của từng giám đốc cụ thể. Dự án của ALI đã có ảnh hưởng từ năm 1982 với bản dự thảo đầu tiên tạm thời, mà phép kiểm tra “mối quan hệ trọng yếu” của nó tương tự như phiên bản cuối cùng.</w:t>
      </w:r>
    </w:p>
    <w:p>
      <w:pPr>
        <w:spacing w:after="80"/>
      </w:pPr>
      <w:r>
        <w:rPr>
          <w:b w:val="0"/>
          <w:i w:val="0"/>
        </w:rPr>
        <w:t>Cuối cùng, làn sóng cải cách doanh nghiệp sau vụ Enron vào cuối giai đoạn này đã tạo nên một bước ngoặt lớn. Nhằm tránh phải có luật về quản trị công ty, NYSE vào năm 2002 đã khởi xướng một đợt sửa đổi đáng kể các tiêu chuẩn về thành phần hội đồng quản trị. Phần lớn giám đốc được yêu cầu phải độc lập, và các tiêu chí độc lập nghiêm ngặt áp dụng cho tất cả các giám đốc như vậy, chứ không chỉ thành viên ủy ban kiểm toán. Dưới sức ép từ các nhà đầu tư tổ chức, các tổ chức phát hành và SEC, NYSE đã sửa đổi các đề xuất trong suốt một năm trời, thêm bớt mức độ nghiêm ngặt. Phiên bản năm 2004 (được tinh chỉnh thêm) chứa một tiêu chuẩn chung yêu cầu hội đồng quản trị phải xác định một cách khẳng định rằng một giám đốc được cho là độc lập “không có mối quan hệ trọng yếu nào với công ty niêm yết” (bao gồm “với tư cách đối tác, cổ đông hoặc cán bộ của một tổ chức có quan hệ với công ty”). Nó cũng có một loạt các loại trừ và vùng an toàn (safe harbor) được định nghĩa cẩn thận, bao quát chi tiết ảnh hưởng của việc làm trước đây, quan hệ gia đình, quan hệ tư vấn và quan hệ từ thiện. Và tất nhiên, SEC, thực thi quyền quản lý theo Đạo luật Sarbanes-Oxley, đã quy định vào năm 2003 các điều kiện tối thiểu về tính độc lập của giám đốc đối với những giám đốc phục vụ trong ủy ban kiểm toán.</w:t>
      </w:r>
    </w:p>
    <w:p>
      <w:pPr>
        <w:pStyle w:val="Heading5"/>
      </w:pPr>
      <w:r>
        <w:rPr>
          <w:rFonts w:ascii="Calibri" w:hAnsi="Calibri"/>
          <w:b/>
          <w:i/>
          <w:sz w:val="22"/>
        </w:rPr>
        <w:t>Bình luận và Câu hỏi</w:t>
      </w:r>
    </w:p>
    <w:p>
      <w:pPr>
        <w:spacing w:after="80"/>
      </w:pPr>
      <w:r>
        <w:rPr>
          <w:b w:val="0"/>
          <w:i w:val="0"/>
        </w:rPr>
        <w:t>1. Những người nội bộ chiếm một nửa số ghế trong hội đồng quản trị doanh nghiệp cho đến tận năm 1950. Tuy nhiên, như Giáo sư Gordon chỉ ra, các lãnh đạo điều hành và những người nội bộ khác của công ty không còn chi phối phần lớn hội đồng quản trị của các công ty đại chúng nữa. Ngày nay, số lượng giám đốc được cho là độc lập trên danh nghĩa chiếm phần lớn và thậm chí là đa số áp đảo trong hội đồng quản trị của hầu hết các công ty đại chúng. Giáo sư Gordon ước tính rằng tỷ lệ giám đốc nội bộ đã giảm từ 50 phần trăm năm 1950 xuống khoảng 10 phần trăm năm 2005, trong khi tỷ lệ giám đốc độc lập tăng từ khoảng 20 phần trăm lên khoảng 80 phần trăm.</w:t>
      </w:r>
    </w:p>
    <w:p>
      <w:pPr>
        <w:spacing w:after="80"/>
      </w:pPr>
      <w:r>
        <w:rPr>
          <w:b w:val="0"/>
          <w:i w:val="0"/>
        </w:rPr>
        <w:t>Thật vậy, bất chấp những thất bại trong quản trị công ty bị phát hiện tại Enron, WorldCom và các công ty dính bê bối khác vào năm 2002 và 2003, hầu hết các nhà lập pháp và nhà bình luận vẫn tiếp tục coi hội đồng quản trị và các ủy ban của hội đồng với thành viên là giám đốc độc lập như niềm hy vọng cuối cùng và tốt nhất để ngăn ngừa và phát hiện gian lận, lạm dụng và sự kém cỏi của ban điều hành. Sau khi SOX được ban hành, các sàn giao dịch chứng khoán lớn đã thông qua các quy tắc quản trị mới cho các công ty niêm yết, yêu cầu hội đồng quản trị phải gồm phần lớn giám đốc “độc lập” theo định nghĩa của quy tắc. Các sàn giao dịch cũng bắt buộc rằng chỉ giám đốc độc lập mới được làm thành viên ủy ban kiểm toán của hội đồng. Ngoài ra, NYSE yêu cầu hội đồng quản trị phải thành lập ủy ban đề cử/quản trị công ty và ủy ban thù lao gồm toàn bộ thành viên là giám đốc độc lập. Trong khi các quy tắc của NASDAQ không buộc hội đồng quản trị phải thành lập những ủy ban như vậy cho đến gần đây, NASDAQ bắt buộc rằng ít nhất phần lớn giám đốc độc lập phải quyết định về thù lao điều hành và việc lựa chọn ứng viên giám đốc. Theo Dodd-Frank, SEC vào năm 2013 đã phê duyệt các tiêu chuẩn độc lập mới của NYSE và NASDAQ đối với các ủy ban thù lao và cố vấn của họ, mà chúng ta sẽ xem xét trong Chương 6.</w:t>
      </w:r>
    </w:p>
    <w:p>
      <w:pPr>
        <w:spacing w:after="80"/>
      </w:pPr>
      <w:r>
        <w:rPr>
          <w:b w:val="0"/>
          <w:i w:val="0"/>
        </w:rPr>
        <w:t>Điều quan trọng là, như Giáo sư Gordon chỉ ra, xu hướng chuyển dịch sang tính độc lập của giám đốc đã có trước sự can thiệp của quy định; số lượng giám đốc nội bộ giảm đều đặn từ giữa thập niên 1970 rồi giảm mạnh vào cuối thế kỷ. Cũng không rõ rằng thành phần hội đồng quản trị đã thay đổi đáng kể như một phản ứng cụ thể đối với các yêu cầu cải cách hậu Enron. Tuy vậy, nghiên cứu gần đây cho thấy xu hướng độc lập của hội đồng quản trị vẫn tiếp diễn. Năm 2013, gần 85 phần trăm giám đốc của các công ty trong S&amp;P 500 được coi là độc lập, tăng hơn hai điểm phần trăm kể từ năm 2009. Thật vậy, ở hầu hết các công ty đại chúng lớn, CEO là cán bộ điều hành duy nhất của công ty nắm giữ ghế trong hội đồng quản trị. Các công ty đại chúng quy mô vừa và nhỏ cũng báo cáo những xu hướng tương tự về tính độc lập của giám đốc.</w:t>
      </w:r>
    </w:p>
    <w:p>
      <w:pPr>
        <w:spacing w:after="80"/>
      </w:pPr>
      <w:r>
        <w:rPr>
          <w:b w:val="0"/>
          <w:i w:val="0"/>
        </w:rPr>
        <w:t>2. NYSE và NASDAQ cũng bắt buộc rằng, bất kể giám đốc có đáp ứng các tiêu chuẩn độc lập rõ ràng theo quy định hay không, các công ty niêm yết phải xác định một cách khẳng định liệu mỗi thành viên hội đồng quản trị có thực sự độc lập trên thực tế hay không. Liệu yêu cầu này có phản ánh rằng các tiêu chuẩn độc lập là chưa đủ? Nhiều công ty đại chúng lớn nhất của Hoa Kỳ báo cáo rằng họ đã áp dụng các tiêu chuẩn độc lập cao hơn cho giám đốc của công ty; tức là những tiêu chuẩn độc lập nghiêm ngặt hơn các tiêu chuẩn niêm yết. Tại sao một công ty lại tự nguyện áp dụng các tiêu chuẩn độc lập cao hơn?</w:t>
      </w:r>
    </w:p>
    <w:p>
      <w:pPr>
        <w:spacing w:after="80"/>
      </w:pPr>
      <w:r>
        <w:rPr>
          <w:b w:val="0"/>
          <w:i w:val="0"/>
        </w:rPr>
        <w:t>3. Các nhà nghiên cứu đã cố gắng đưa ra cả hỗ trợ lý thuyết lẫn thực nghiệm cho các luận điểm rằng (1) hội đồng quản trị có phần lớn thành viên độc lập cải thiện hiệu quả hoạt động của công ty, và (2) giám đốc độc lập giám sát ban điều hành một cách hiệu quả nhất vì lợi ích của cổ đông. Mặc dù những nghiên cứu như vậy đã đưa ra bằng chứng trái chiều và kết quả không dứt khoát, như chúng ta sẽ thấy trong Chương 13, vẫn có sự đồng thuận rộng rãi cho luận điểm rằng việc bầu ra các giám đốc độc lập là thiết yếu đối với quản trị công ty tốt. Khi không có bằng chứng thực nghiệm rằng các công ty có hội đồng quản trị độc lập đạt hiệu quả hoạt động vượt trội hoặc thậm chí giám sát ban điều hành tốt hơn, tại sao các cổ đông duy lý vẫn có thể ủng hộ những hội đồng quản trị như vậy?</w:t>
      </w:r>
    </w:p>
    <w:p>
      <w:pPr>
        <w:spacing w:after="80"/>
      </w:pPr>
      <w:r>
        <w:rPr>
          <w:b w:val="0"/>
          <w:i w:val="0"/>
        </w:rPr>
        <w:t>4. Đôi khi, các công ty và những người ủng hộ họ phàn nàn rằng các luật, quy tắc và quy định về tính độc lập của giám đốc đã áp đặt lên các công ty đại chúng một giải pháp “một cỡ vừa cho tất cả” mà trên thực tế có thể không làm giảm chi phí đại diện (agency costs) và không nâng cao hiệu quả tài chính. Đáng chú ý, một số học giả gần đây đã lập luận chống lại việc tiếp tục áp đặt những chỉ thị phổ quát này. Ngoài việc trích dẫn các nghiên cứu ghi nhận mối quan hệ không chắc chắn giữa hiệu quả tài chính của công ty và tính độc lập của giám đốc, những học giả này đưa ra hàng loạt lý do để các nhà hoạch định chính sách xem xét lại việc quy định về thành phần hội đồng quản trị.</w:t>
      </w:r>
    </w:p>
    <w:p>
      <w:pPr>
        <w:spacing w:after="80"/>
      </w:pPr>
      <w:r>
        <w:rPr>
          <w:b w:val="0"/>
          <w:i w:val="0"/>
        </w:rPr>
        <w:t>Tại sao các yêu cầu bắt buộc về tính độc lập của giám đốc có thể tạo ra những hội đồng quản trị doanh nghiệp thiếu chuyên môn cần thiết để hoạt động hiệu quả, dù với vai trò cố vấn hay giám sát? Liệu hội đồng quản trị có nên bao gồm ít nhất một thành viên của đội ngũ lãnh đạo cấp cao (ví dụ, giám đốc tài chính) ngoài CEO của công ty hay không? Tại sao có, tại sao không?</w:t>
      </w:r>
    </w:p>
    <w:p>
      <w:pPr>
        <w:spacing w:after="80"/>
      </w:pPr>
      <w:r>
        <w:rPr>
          <w:b w:val="0"/>
          <w:i w:val="0"/>
        </w:rPr>
        <w:t>5. Bất chấp sự đồng thuận rộng rãi cho luận điểm rằng giám đốc độc lập là không thể thiếu đối với quản trị công ty tốt, thực tế không có một định nghĩa thống nhất về “giám đốc độc lập”. Nói chung, “giám đốc độc lập” chỉ một giám đốc không làm việc cho công ty và, ngoài việc phục vụ trong hội đồng quản trị, không có mối quan hệ kinh tế, gia đình hay cá nhân nào khác với công ty và ban điều hành. Mặc dù cả NYSE và NASDAQ đều yêu cầu các công ty niêm yết có phần lớn “giám đốc độc lập” trong hội đồng quản trị, các quy tắc của sàn giao dịch định nghĩa thuật ngữ này bằng những phép kiểm tra rõ ràng tương tự nhưng không hoàn toàn giống nhau.</w:t>
      </w:r>
    </w:p>
    <w:p>
      <w:pPr>
        <w:spacing w:after="80"/>
      </w:pPr>
      <w:r>
        <w:rPr>
          <w:b w:val="0"/>
          <w:i w:val="0"/>
        </w:rPr>
        <w:t>Ngược lại, luật Delaware không bắt buộc các công ty được thành lập theo luật tiểu bang này phải có bất kỳ giám đốc độc lập nào trong hội đồng quản trị. Tuy nhiên, như chúng ta sẽ thấy trong vài chương tới, các quyết định do giám đốc độc lập đưa ra – được định nghĩa theo ngữ cảnh trong án lệ của Delaware – được các tòa án xét xử dành cho sự tôn trọng lớn hơn. Đâu là lợi ích và chi phí của sự thiếu thống nhất trong lĩnh vực này? Việc phân loại thành viên hội đồng quản trị là độc lập hay không độc lập đòi hỏi sự xem xét kỹ lưỡng. Nói đơn giản nhất, một giám đốc độc lập không có mối liên hệ nào với công ty ngoài ghế của mình trong hội đồng quản trị. Giả sử rằng giám đốc độc lập có những “lợi thế so sánh” trong việc quản trị các công ty đại chúng, như Giáo sư Gordon mô tả, tại sao bạn nghĩ rằng cơ quan lập pháp Delaware đã từ chối bắt buộc việc bầu họ và/hoặc sự tham gia của họ vào một số ủy ban chủ chốt của hội đồng quản trị?</w:t>
      </w:r>
    </w:p>
    <w:p>
      <w:pPr>
        <w:spacing w:after="80"/>
      </w:pPr>
      <w:r>
        <w:rPr>
          <w:b w:val="0"/>
          <w:i w:val="0"/>
        </w:rPr>
        <w:t xml:space="preserve">6. Các nhà bình luận và thậm chí cả các ý kiến tư pháp đôi khi dùng các thuật ngữ “giám đốc độc lập” và “giám đốc không có quyền lợi liên quan” (disinterested director) thay thế cho nhau, nhưng thực ra hai cụm từ này có ý nghĩa khác nhau. Một giám đốc không có quyền lợi liên quan là người không có lợi ích kinh tế hay cá nhân trong một giao dịch hay vấn đề khác đang được hội đồng quản trị đưa ra quyết định. </w:t>
      </w:r>
      <w:r>
        <w:rPr>
          <w:b w:val="0"/>
          <w:i/>
        </w:rPr>
        <w:t>Xem Rales v. Blasband</w:t>
      </w:r>
      <w:r>
        <w:rPr>
          <w:b w:val="0"/>
          <w:i w:val="0"/>
        </w:rPr>
        <w:t>, 634 A.2d 927, 936 (Del. 1993) (một giám đốc là “có quyền lợi liên quan” nếu người đó “sẽ nhận được lợi ích tài chính cá nhân từ [giao dịch] đó mà không được chia sẻ bình đẳng cho các cổ đông”). Việc phê duyệt có đầy đủ thông tin của các giám đốc không có quyền lợi liên quan đối với các giao dịch xung đột lợi ích có thể bảo vệ các nhà quản lý khỏi trách nhiệm pháp lý vì hành vi tự tư tự lợi và các vi phạm khác về lòng trung thành với công ty, như chúng ta sẽ thấy trong Chương 5. Mặc dù giám đốc không có quyền lợi liên quan không nhất thiết phải đủ tiêu chuẩn là giám đốc độc lập, lá phiếu của giám đốc độc lập nên được coi là không có quyền lợi liên quan, ngoại trừ khi giám đốc tự ấn định thù lao cho việc phục vụ trong hội đồng quản trị.</w:t>
      </w:r>
    </w:p>
    <w:p>
      <w:pPr>
        <w:spacing w:after="80"/>
      </w:pPr>
      <w:r>
        <w:rPr>
          <w:b w:val="0"/>
          <w:i w:val="0"/>
        </w:rPr>
        <w:t>7. Như Giáo sư Gordon ghi nhận, “sự trỗi dậy của các giám đốc độc lập” giả định rằng các thành viên hội đồng quản trị không thuộc ban điều hành, không có quan hệ gia đình hay tài chính với công ty, sẽ giám sát các lãnh đạo công ty tích cực hơn vì lợi ích của công ty và các cổ đông. Tại sao giả định này có thể sai lầm? Những động lực/phản động lực nào có thể ảnh hưởng đến cam kết của các giám đốc trong việc chất vấn hay thách thức ban lãnh đạo cấp cao? Bạn có thể nghĩ ra những tình huống có thể làm suy yếu khả năng thực hiện hiệu quả chức năng giám sát của các giám đốc độc lập không? Các CEO có thể gây ảnh hưởng đến các thành viên hội đồng quản trị để họ nới lỏng việc giám sát hoặc tự tách mình khỏi sự giám sát hiệu quả của các giám đốc – những người dù vậy vẫn đáp ứng các tiêu chuẩn độc lập theo quy định – bằng cách nào?</w:t>
      </w:r>
    </w:p>
    <w:p>
      <w:pPr>
        <w:spacing w:after="80"/>
      </w:pPr>
      <w:r>
        <w:rPr>
          <w:b w:val="0"/>
          <w:i w:val="0"/>
        </w:rPr>
        <w:t>8. Giáo sư Donald Langevoort đã lập luận rằng tính độc lập của giám đốc không chỉ nên biểu thị sự vắng mặt của các mối quan hệ tài chính hay quan hệ khác với ban điều hành, mà còn là “sự sẵn sàng mang đến mức độ chặt chẽ và tính khách quan hoài nghi cao trong việc đánh giá ban lãnh đạo công ty cùng các kế hoạch và đề xuất của họ.” Sau hậu quả của các vụ bê bối tại Enron, WorldCom và các công ty khác, các nhà tâm lý học hành vi và xã hội học đã xem xét vai trò của các hội đồng quản trị trong sự sụp đổ của các công ty. Mặc dù hành vi của các giám đốc không thể quan sát trực tiếp, giới học thuật đưa ra giả thuyết rằng “những áp lực nhã nhặn của tình bằng hữu và sự gắn kết cộng đồng giữa [các giám đốc] và các lãnh đạo, . . . có thể có tác động ăn mòn tinh tế lên khả năng giám sát và thực thi quyền giám sát của họ.” Các chuyên gia quản trị doanh nghiệp từ lâu đã nhận ra xu hướng của các giám đốc – giống như những người khác hoạt động trong nhóm – là tạo ra môi trường làm việc hài hòa. Văn hóa phòng họp hội đồng quản trị, do đó, có thể thúc đẩy tinh thần đồng đội và sự đồng thuận với cái giá là tính hoài nghi mang tính xây dựng và sự bất đồng chính kiến. Như nhà sáng lập Home Depot, Kenneth Langone, từng giải thích: “Hầu như không ai muốn trở thành kẻ phá đám trong một bữa tiệc ngoài trời.”</w:t>
      </w:r>
    </w:p>
    <w:p>
      <w:pPr>
        <w:spacing w:after="80"/>
      </w:pPr>
      <w:r>
        <w:rPr>
          <w:b w:val="0"/>
          <w:i w:val="0"/>
        </w:rPr>
        <w:t>Các ủy ban hội đồng quản trị được giao nhiệm vụ đề cử các giám đốc bên ngoài mới có thể đánh giá “sự sẵn sàng” của các ứng viên tiềm năng trong việc giám sát ban điều hành một cách chặt chẽ như thế nào? Liệu có cách nào để các cổ đông đánh giá liệu một giám đốc bên ngoài đang ngồi trong hội đồng quản trị là một “kẻ chỉ biết vâng lời” hay là một người tư duy độc lập, người thực hành “tính khách quan hoài nghi” không?</w:t>
      </w:r>
    </w:p>
    <w:p>
      <w:pPr>
        <w:spacing w:after="80"/>
      </w:pPr>
      <w:r>
        <w:rPr>
          <w:b w:val="0"/>
          <w:i w:val="0"/>
        </w:rPr>
        <w:t xml:space="preserve">9. Mặc dù các án lệ và bình luận về tính độc lập của giám đốc thường tập trung vào các mối quan hệ nghề nghiệp, cá nhân và kinh tế giữa một giám đốc bên ngoài với công ty hoặc các lãnh đạo của công ty, các tòa án Delaware đã công nhận rằng tính độc lập của các giám đốc bên ngoài cũng có thể bị suy yếu thông qua sự kiểm soát hay chi phối bởi một CEO hoặc một bên có quyền lợi liên quan khác, bao gồm cả bằng sức mạnh ý chí. Như Tòa án Tối cao Delaware đã giải thích trong </w:t>
      </w:r>
      <w:r>
        <w:rPr>
          <w:b w:val="0"/>
          <w:i/>
        </w:rPr>
        <w:t>Telxon Corp. v. Meyerson,</w:t>
      </w:r>
      <w:r>
        <w:rPr>
          <w:b w:val="0"/>
          <w:i w:val="0"/>
        </w:rPr>
        <w:t xml:space="preserve"> “‘[c]hính sự cẩn trọng, sự chú tâm và ý thức trách nhiệm cá nhân đối với việc thực hiện nhiệm vụ của mình . . . mới là điều thường liên quan đến tính độc lập’” và “[c]ác giám đốc không chỉ phải độc lập, mà còn phải hành động một cách độc lập” để có thể viện dẫn quy tắc phán đoán kinh doanh (business judgment rule). Hơn nữa, một giám đốc có sức chi phối có thể tạo ra bầu không khí đe dọa làm suy yếu khả năng của các giám đốc khác trong việc bỏ phiếu độc lập về một giao dịch. Dù vậy, các tòa án Delaware “hiếm khi” kết luận rằng một giám đốc bên ngoài đã bị chi phối.</w:t>
      </w:r>
    </w:p>
    <w:p>
      <w:pPr>
        <w:spacing w:after="80"/>
      </w:pPr>
      <w:r>
        <w:rPr>
          <w:b w:val="0"/>
          <w:i w:val="0"/>
        </w:rPr>
        <w:t>10. Bất kể tính khách quan và sự sẵn sàng giám sát của họ, các giám đốc độc lập không thể thực hiện hiệu quả chức năng giám sát của mình nếu họ không hiểu đủ về công ty và ngành của công ty để đặt ra những câu hỏi đúng đắn cho ban điều hành và các cố vấn của công ty. Những người chỉ trích các quy định về tính độc lập của giám đốc bao gồm Warren Buffet, Chủ tịch được kính trọng của Berkshire Hathaway, người đã nổi tiếng nhận xét: “Trong suốt 40 năm, tôi đã tham gia 19 hội đồng quản trị công ty đại chúng và đã tương tác với có lẽ 250 giám đốc. Hầu hết trong số họ đều ‘độc lập’ theo định nghĩa của các quy tắc ngày nay. Nhưng đóng góp của họ cho lợi ích của cổ đông là tối thiểu, nếu không muốn nói là chẳng đáng kể. Những người này đơn giản là không hiểu đủ về hoạt động kinh doanh.”</w:t>
      </w:r>
    </w:p>
    <w:p>
      <w:pPr>
        <w:spacing w:after="80"/>
      </w:pPr>
      <w:r>
        <w:rPr>
          <w:b w:val="0"/>
          <w:i w:val="0"/>
        </w:rPr>
        <w:t xml:space="preserve">Như kinh nghiệm của ông Buffet cho thấy, những người cải cách quản trị doanh nghiệp đã nhấn mạnh tính độc lập của giám đốc trong khi phần lớn bỏ qua chuyên môn của các thành viên hội đồng quản trị. (Sarbanes-Oxley yêu cầu ít nhất một chuyên gia tài chính đủ tiêu chuẩn ngồi trong ủy ban kiểm toán của hội đồng quản trị. </w:t>
      </w:r>
      <w:r>
        <w:rPr>
          <w:b w:val="0"/>
          <w:i/>
        </w:rPr>
        <w:t>Xem</w:t>
      </w:r>
      <w:r>
        <w:rPr>
          <w:b w:val="0"/>
          <w:i w:val="0"/>
        </w:rPr>
        <w:t xml:space="preserve"> 15 U.S.C. § 7265.) Không có yêu cầu nào buộc các giám đốc phải có bất kỳ hiểu biết nào về ngành của công ty, chứ chưa nói đến hoạt động kinh doanh của công ty. Tuy nhiên, nghiên cứu xác nhận rằng các giám đốc bên ngoài đã quen thuộc với ngành mang lại lợi ích cho hội đồng quản trị của họ. Những giám đốc như vậy truyền đạt sự hiểu biết sâu sắc hơn về các rủi ro và cơ hội của công ty trong lĩnh vực kinh tế của mình, cũng như hiểu biết về những nhân vật chủ chốt trong ngành và môi trường pháp lý mà công ty hoạt động.</w:t>
      </w:r>
    </w:p>
    <w:p>
      <w:pPr>
        <w:spacing w:after="80"/>
      </w:pPr>
      <w:r>
        <w:rPr>
          <w:b w:val="0"/>
          <w:i w:val="0"/>
        </w:rPr>
        <w:t>Các nghiên cứu học thuật cũng chỉ ra rằng các giám đốc có kinh nghiệm trong ngành của công ty giám sát các CEO hiệu quả hơn so với các thành viên hội đồng quản trị không có kinh nghiệm đó. Trong một nghiên cứu về các công ty thuộc S&amp;P 1500, các hội đồng quản trị có tỷ lệ giám đốc có kinh nghiệm trong ngành cao hơn có ít trường hợp phải điều chỉnh lại báo cáo thu nhập hơn, nhạy cảm hơn trong việc trả lương CEO dựa trên hiệu suất, và có nhiều khả năng thay thế CEO hơn sau khi công ty hoạt động kém hiệu quả. Liệu các giám đốc bên ngoài có thể đóng góp một cách ý nghĩa cho công việc của hội đồng quản trị mà không có kinh nghiệm trong ngành liên quan hoặc không hiểu biết sâu sắc về hoạt động kinh doanh không?</w:t>
      </w:r>
    </w:p>
    <w:p>
      <w:pPr>
        <w:spacing w:after="80"/>
      </w:pPr>
      <w:r>
        <w:rPr>
          <w:b w:val="0"/>
          <w:i w:val="0"/>
        </w:rPr>
        <w:t>—————</w:t>
      </w:r>
    </w:p>
    <w:p>
      <w:pPr>
        <w:spacing w:after="80"/>
      </w:pPr>
      <w:r>
        <w:rPr>
          <w:b w:val="0"/>
          <w:i w:val="0"/>
        </w:rPr>
        <w:t>Liệu tính độc lập có phải là một chỉ dấu đáng tin cậy cho sự cảnh giác? Hãy xem xét vụ án sau đây do Phó Chánh án Leo Strine – người trở thành Chánh án Tòa án Tối cao Delaware vào năm 2014 – đưa ra phán quyết.</w:t>
      </w:r>
    </w:p>
    <w:p>
      <w:pPr>
        <w:pStyle w:val="Heading4"/>
      </w:pPr>
      <w:r>
        <w:rPr>
          <w:rFonts w:ascii="Calibri" w:hAnsi="Calibri"/>
          <w:b/>
          <w:i w:val="0"/>
          <w:sz w:val="23"/>
        </w:rPr>
        <w:t>Hampshire Group, Ltd. v. Kuttner</w:t>
      </w:r>
    </w:p>
    <w:p>
      <w:pPr>
        <w:spacing w:after="80"/>
      </w:pPr>
      <w:r>
        <w:rPr>
          <w:b w:val="0"/>
          <w:i w:val="0"/>
        </w:rPr>
        <w:t>Tòa án Chancery Delaware</w:t>
      </w:r>
      <w:r>
        <w:br/>
      </w:r>
      <w:r>
        <w:rPr>
          <w:b w:val="0"/>
          <w:i w:val="0"/>
        </w:rPr>
        <w:t xml:space="preserve"> 2010 Del. Ch. LEXIS 144 (2010)</w:t>
      </w:r>
    </w:p>
    <w:p>
      <w:pPr>
        <w:spacing w:after="80"/>
      </w:pPr>
      <w:r>
        <w:rPr>
          <w:b w:val="0"/>
          <w:i w:val="0"/>
        </w:rPr>
        <w:t>STRINE , PHÓ CHÁNH ÁN :</w:t>
      </w:r>
    </w:p>
    <w:p>
      <w:pPr>
        <w:spacing w:after="80"/>
      </w:pPr>
      <w:r>
        <w:rPr>
          <w:b w:val="0"/>
          <w:i w:val="0"/>
        </w:rPr>
        <w:t>Hampshire, một công ty Delaware có trụ sở chính tại Anderson, South Carolina, là nhà cung cấp hàng đầu các loại áo len, vải dệt và hàng dệt kim cho nữ và nam, và là nhà thiết kế và tiếp thị đang phát triển các sản phẩm may mặc có thương hiệu tại Hoa Kỳ. Hampshire hoạt động thông qua ba công ty con sở hữu toàn phần: Hampshire Designers, Inc. và Item-Eyes cho trang phục nữ, và Hampshire Brands cho trang phục nam; tất cả đều cung cấp sản phẩm dưới nhiều tên thương hiệu cũng như nhãn hiệu riêng cho nhiều kênh phân phối, bao gồm các cửa hàng bách hóa quốc gia và khu vực cùng các nhà bán lẻ thị trường đại chúng.</w:t>
      </w:r>
    </w:p>
    <w:p>
      <w:pPr>
        <w:spacing w:after="80"/>
      </w:pPr>
      <w:r>
        <w:rPr>
          <w:b w:val="0"/>
          <w:i w:val="0"/>
        </w:rPr>
        <w:t>Kuttner thành lập Hampshire vào năm 1977, và điều hành công ty với vai trò Chủ tịch Hội đồng quản trị kiêm CEO trong gần ba thập kỷ. Ông và gia đình sở hữu khoảng 30% cổ phiếu đang lưu hành của Hampshire. Nhiệm kỳ CEO kéo dài của Kuttner kết thúc vào tháng 9 năm 2006 khi hội đồng quản trị yêu cầu ông từ chức do các phát hiện sơ bộ từ một cuộc điều tra của Ủy ban Kiểm toán. Theo mọi lời kể, Kuttner là một nhà lãnh đạo hào nhoáng và tràn đầy năng lượng, với hình ảnh công chúng cao và phong cách ăn mặc sặc sỡ.</w:t>
      </w:r>
    </w:p>
    <w:p>
      <w:pPr>
        <w:spacing w:after="80"/>
      </w:pPr>
      <w:r>
        <w:rPr>
          <w:b w:val="0"/>
          <w:i w:val="0"/>
        </w:rPr>
        <w:t>Nhiều giám đốc của Hampshire đã phục vụ trong hội đồng quản trị cùng Kuttner trong nhiều thập kỷ. Ví dụ, Harvey Sperry đã ở trong hội đồng quản trị từ năm 1977, sau khi từng là đối tác tại Willkie Farr &amp; Gallagher LLP trong nhiều năm đó. Willkie Farr, không phải ngẫu nhiên, là cố vấn pháp lý doanh nghiệp bên ngoài của Hampshire suốt thời gian đó và vẫn tiếp tục giữ vai trò này. Michael Jackson, một cựu giám đốc, phục vụ trong hội đồng quản trị từ năm 1986 đến 1996, và từ năm 2001 đến ngày 1 tháng 5 năm 2009. Jackson cũng là thành viên sáng lập của Ironwood Partners, LLC, một công ty đầu tư mạo hiểm được Hampshire thuê làm cố vấn tài chính và là nơi Kuttner đầu tư, đồng thời có liên quan đến vấn đề lương thưởng trả chậm mà Hampshire nêu ra trong vụ kiện này. Joel Goldberg phục vụ trong hội đồng quản trị Hampshire từ năm 1998 đến ngày 26 tháng 3 năm 2009, thời điểm ông từ chức sau khi thừa nhận đã nộp các báo cáo chi phí không hợp lệ cho công ty.</w:t>
      </w:r>
    </w:p>
    <w:p>
      <w:pPr>
        <w:spacing w:after="80"/>
      </w:pPr>
      <w:r>
        <w:rPr>
          <w:b w:val="0"/>
          <w:i w:val="0"/>
        </w:rPr>
        <w:t>Các giám đốc bên ngoài của Hampshire đã nhận thức được những nét kỳ quặc và sở thích sống xa hoa của Kuttner, và họ đã nuông chiều điều đó. Một ví dụ điển hình là việc Kuttner thay chiếc xe công ty của mình, một chiếc Lamborghini, bằng một chiếc xe khiêm tốn khác, một chiếc Ferrari. Như chúng ta sẽ thấy, hội đồng quản trị hoặc không muốn hoặc không thể thực sự chỉ đạo Kuttner ngay cả khi họ muốn làm vậy, và vụ án này phần lớn phát sinh khi hội đồng quản trị bị buộc phải hành động bởi Bản ghi nhớ Đánh giá Nội bộ vào tháng 6 năm 2006 từ các nhân viên tương đối mới.</w:t>
      </w:r>
    </w:p>
    <w:p>
      <w:pPr>
        <w:spacing w:after="80"/>
      </w:pPr>
      <w:r>
        <w:rPr>
          <w:b w:val="0"/>
          <w:i w:val="0"/>
        </w:rPr>
        <w:t>Giống như Sperry và Jackson, bị đơn Clayton là thành viên lâu năm của đội Hampshire, gia nhập Hampshire một năm sau khi Kuttner thành lập công ty, vào năm 1978, với vai trò Phó Chủ tịch Tài chính kiêm Kiểm soát viên (Controller), làm việc tại văn phòng South Carolina của Hampshire. Năm năm sau, vào năm 1983, Kuttner thăng chức Clayton lên CFO. Clayton cũng từng giữ chức Thủ quỹ (Treasurer) của Hampshire và thư ký cho các cuộc họp hội đồng quản trị và Ủy ban Kiểm toán của Hampshire. Clayton giữ vị trí CFO cho đến năm 2000 thì từ bỏ các nhiệm vụ đó. Clayton, hiện khoảng 71 tuổi, chỉ được nghỉ ngơi ngắn ngủi khỏi vai trò CFO. Ông được gọi trở lại vị trí đó vào tháng 11 năm 2003 khi người kế nhiệm rời đi. Clayton giữ chức CFO từ thời điểm đó cho đến ngày 1 tháng 4 năm 2006, và công ty đã tìm kiếm một CFO thường trực trong giai đoạn sau của nhiệm kỳ đó. Giống như Kuttner, Clayton bị hội đồng quản trị sa thải vào tháng 9 năm 2006 do các phát hiện sơ bộ của cuộc điều tra của Ủy ban Kiểm toán. Với vai trò CFO, năm 2005 Clayton kiếm được mức lương 168.000 đô la, cộng thêm 450.000 đô la tiền thưởng và các khoản thù lao khác.</w:t>
      </w:r>
    </w:p>
    <w:p>
      <w:pPr>
        <w:spacing w:after="80"/>
      </w:pPr>
      <w:r>
        <w:rPr>
          <w:b w:val="0"/>
          <w:i w:val="0"/>
        </w:rPr>
        <w:t>Roger Clark bắt đầu làm việc cho Hampshire tại văn phòng South Carolina vào năm 1998, giữ chức Phó Chủ tịch Tài chính và sau đó là Nhân viên Kế toán Chính (Principal Accounting Officer), cho đến khi bị cho nghỉ việc vào tháng 12 năm 2006. Clark báo cáo trực tiếp cho CFO—người giữ vị trí này là William Hodge từ 2001 đến 2003 cho đến khi Clayton tiếp quản lại—và chịu trách nhiệm giám sát các chức năng ghi sổ kế toán của Hampshire, duy trì sổ cái, và lập báo cáo tài chính. Với vai trò Nhân viên Kế toán Chính, năm 2006 Clark kiếm được 104.000 đô la, cộng thêm khoản thưởng khoảng 30.000 đô la.</w:t>
      </w:r>
    </w:p>
    <w:p>
      <w:pPr>
        <w:spacing w:after="80"/>
      </w:pPr>
      <w:r>
        <w:rPr>
          <w:b w:val="0"/>
          <w:i w:val="0"/>
        </w:rPr>
        <w:t>Để có đầy đủ bối cảnh, Clayton và Clark đều có quan hệ kinh doanh với Kuttner trong thời gian làm việc tại Hampshire. Cụ thể, vào năm 2003, Hampshire đã bán Hampshire Investments, Limited (“HIL”), một công ty con hoạt động trong lĩnh vực đầu tư bất động sản. Công ty con đó được Kuttner, Clayton và một nhà đầu tư khác mua lại. Clark đã làm sổ sách cho HIL khi công ty này còn thuộc sở hữu của Hampshire, và tiếp tục thực hiện chức năng đó cho HIL sau khi bán với một khoản phí khiêm tốn. Kuttner cũng giúp Clark, thông qua các khoản vay, để mua 50.000 đô la, tương đương 1% cổ phần, trong cổ phiếu HIL. . . .</w:t>
      </w:r>
    </w:p>
    <w:p>
      <w:pPr>
        <w:spacing w:after="80"/>
      </w:pPr>
      <w:r>
        <w:rPr>
          <w:b w:val="0"/>
          <w:i w:val="0"/>
        </w:rPr>
        <w:t>Sự oán giận trong nhóm Hampshire lâu năm thực sự bắt đầu khi hội đồng quản trị Hampshire nhận được một thông tin liên lạc mà họ không thể bỏ qua. Từ năm 2004 đến 2006, Hampshire đã tuyển dụng một số nhân viên cấp cao mới. Maura McNerney Langley gia nhập vào tháng 4 năm 2004 với vai trò Nhân viên Tuân thủ (Compliance Officer) sau khi làm việc cho cố vấn bên ngoài của Hampshire là Deloitte &amp; Touche LLP về tài khoản Hampshire. Heath Golden, một cựu luật sư của Willkie Farr, gia nhập vào tháng 8 năm 2005 với vai trò Phó Chủ tịch Phát triển Kinh doanh kiêm Trợ lý Thư ký, được thăng chức lên Tổng Cố vấn (General Counsel) vào tháng 5 năm 2006, và cuối cùng trở thành CEO vào tháng 4 năm 2009. Jonathan Norwood gia nhập Hampshire vào tháng 4 năm 2006 với vai trò Phó Chủ tịch kiêm Giám đốc Tài chính, thay thế Clayton, và sau đó đảm nhận vai trò Nhân viên Kế toán Chính của Clark.</w:t>
      </w:r>
    </w:p>
    <w:p>
      <w:pPr>
        <w:spacing w:after="80"/>
      </w:pPr>
      <w:r>
        <w:rPr>
          <w:b w:val="0"/>
          <w:i w:val="0"/>
        </w:rPr>
        <w:t>Trong quá trình làm việc mới, ba người này trở nên lo ngại về các thực hành lỏng lẻo xung quanh Hampshire, mặc dù một vài người trong số họ cũng đã tự mình tham gia vào một số trường hợp thực hành như vậy. Vào tháng 5 năm 2006, những nhân viên này đưa ra thứ mà họ gọi là Bản ghi nhớ Đánh giá Nội bộ (Internal Review Memorandum). Bản ghi nhớ Đánh giá Nội bộ phác thảo những vấn đề mà những nhân viên này nghi ngờ có liên quan đến hoạt động bất hợp pháp hoặc vi phạm chính sách công ty. Các tác giả nghi ngờ rằng có “một lịch sử lâu dài của việc ban lãnh đạo sử dụng tài sản Công ty vì lợi ích cá nhân, nhận thù lao trái phép dưới nhiều hình thức khác nhau, và tham gia vào các giao dịch bên liên quan trái phép và các giao dịch khác nhằm làm giàu bất chính cho bản thân.” Bản ghi nhớ Đánh giá Nội bộ thảo luận về các vấn đề chủ yếu liên quan đến Kuttner, như việc Kuttner tham gia vào một chương trình mua lại cổ phiếu, các vấn đề với báo cáo chi phí không đúng hạn và không có tài liệu chứng minh của Kuttner, việc quản lý sai quỹ thù lao hoãn lại (deferred compensation) của Kuttner và Clayton, và thực tế rằng một số nhân viên Hampshire—bao gồm Clayton và Clark—làm việc cho các công ty khác do Kuttner điều hành. Bản ghi nhớ đề nghị hội đồng quản trị rằng Kuttner, Clayton, Clark và hai thư ký của Kuttner nên được cho nghỉ phép ngay lập tức, bị cấm tiếp cận công ty, và một cuộc điều tra nội bộ nên được tiến hành. Nếu không có “hành động thích hợp của Ủy ban Kiểm toán,” các tác giả Bản ghi nhớ Đánh giá Nội bộ nói rằng họ sẽ “báo cáo [các] phát hiện của [họ] cho SEC, IRS và các cơ quan có thẩm quyền thích hợp khác.”</w:t>
      </w:r>
    </w:p>
    <w:p>
      <w:pPr>
        <w:spacing w:after="80"/>
      </w:pPr>
      <w:r>
        <w:rPr>
          <w:b w:val="0"/>
          <w:i w:val="0"/>
        </w:rPr>
        <w:t>Vào thời điểm này, hội đồng quản trị Hampshire gồm năm thành viên: Kuttner; Joel Goldberg, người giữ chức thành viên Ủy ban Kiểm toán của hội đồng và chủ tịch Ủy ban Thù lao; Harvey Sperry, thành viên Ủy ban Kiểm toán; Irwin Winter, chủ tịch Ủy ban Kiểm toán; và Michael Jackson. Bản ghi nhớ Đánh giá Nội bộ gây chấn động và không thể bỏ qua. Bản ghi nhớ và các phát hiện sơ bộ của nó được trình bày cho Ủy ban Kiểm toán vào ngày 14 tháng 6 năm 2006. Kuttner, cũng như Clark, Clayton và hai trợ lý của Kuttner, bị cho nghỉ phép hành chính vào tuần sau đó vì liên quan đến các vấn đề được nêu trong Bản ghi nhớ. Hội đồng quản trị sau đó khởi động một cuộc điều tra toàn diện, và thuê Navigant Consulting Inc., cùng công ty luật Paul, Weiss, Rifkind, Wharton &amp; Garrison LLP làm cố vấn bên ngoài chính. Hampshire cũng thuê thêm các cố vấn bên ngoài khác, bao gồm Ernst &amp; Young và Dixon Hughes để điều tra và khắc phục các vấn đề cụ thể được nêu trong Bản ghi nhớ.</w:t>
      </w:r>
    </w:p>
    <w:p>
      <w:pPr>
        <w:spacing w:after="80"/>
      </w:pPr>
      <w:r>
        <w:rPr>
          <w:b w:val="0"/>
          <w:i w:val="0"/>
        </w:rPr>
        <w:t>Hội đồng quản trị cũng bổ nhiệm một ủy ban điều hành, gồm tất cả các giám đốc ngoài Kuttner, để chỉ đạo các công việc của công ty. Các cố vấn bên ngoài được trao quyền hạn rộng rãi và ngân sách khổng lồ để điều tra các vấn đề trong Bản ghi nhớ Đánh giá Nội bộ, nhưng không được phép xem xét vai trò của hội đồng quản trị trong các vấn đề được nêu trong Bản ghi nhớ. Nghĩa là, có vẻ như các cố vấn bên ngoài được chỉ thị tập trung vào các nhân viên bị cho nghỉ phép và không khơi dậy các vấn đề có thể liên quan đến hội đồng quản trị hoặc các quan chức khác.</w:t>
      </w:r>
    </w:p>
    <w:p>
      <w:pPr>
        <w:spacing w:after="80"/>
      </w:pPr>
      <w:r>
        <w:rPr>
          <w:b w:val="0"/>
          <w:i w:val="0"/>
        </w:rPr>
        <w:t>Navigant và Paul Weiss đã điều tra tất cả 23 vấn đề được nêu trong Bản ghi nhớ Đánh giá Nội bộ. Cuộc điều tra của họ “bao gồm việc xem xét tài liệu, phỏng vấn nhân viên của tập đoàn Hampshire . . . và tìm kiếm tài liệu điện tử và email. . . .” Đáng chú ý, cuộc điều tra không bao gồm việc phỏng vấn các nhân viên bị cho nghỉ phép—bao gồm Clark, Clayton và Kuttner. Ủy ban Kiểm toán đã nghe các phát hiện sơ bộ của Navigant và Paul Weiss vào ngày 20 tháng 9 năm 2006, và do những phát hiện đó, đã đề nghị hội đồng quản trị chấm dứt hợp đồng với Kuttner và Clayton. Navigant và Paul Weiss phát hiện rằng 16 trong số 23 vấn đề không phải là mối lo ngại có cơ sở, nhưng phát hiện rằng bảy vấn đề thực sự đặt ra các vấn đề tuân thủ quan trọng. Hội đồng quản trị đã bỏ phiếu chấm dứt hợp đồng với Kuttner và Clayton vào ngày 25 tháng 9 năm 2006. Một thông báo công khai về việc chấm dứt của họ được đưa ra cùng ngày hôm đó.</w:t>
      </w:r>
    </w:p>
    <w:p>
      <w:pPr>
        <w:spacing w:after="80"/>
      </w:pPr>
      <w:r>
        <w:rPr>
          <w:b w:val="0"/>
          <w:i w:val="0"/>
        </w:rPr>
        <w:t>Cuộc điều tra của Ủy ban Kiểm toán kết thúc một tháng sau đó vào ngày 25 tháng 10 năm 2006, và hội đồng quản trị phải đối mặt với chi phí điều tra lớn. Hampshire đã chi 2,7 triệu đô la cho phí của Paul Weiss, và thêm 2,2 triệu đô la cho phí của Navigant. Các cố vấn bên ngoài khác mà Hampshire tham khảo trong quá trình điều tra, bao gồm Deloitte, tiêu tốn của Hampshire gần 600.000 đô la.</w:t>
      </w:r>
    </w:p>
    <w:p>
      <w:pPr>
        <w:spacing w:after="80"/>
      </w:pPr>
      <w:r>
        <w:rPr>
          <w:b w:val="0"/>
          <w:i w:val="0"/>
        </w:rPr>
        <w:t>Vào ngày 1 tháng 12 năm 2006, Clark được thông báo rằng việc làm của ông sẽ chấm dứt vào ngày 29 tháng 12 năm 2006. Vào thời điểm đó, Clark được nhắc nhở sử dụng thời gian nghỉ phép còn lại. Mặc dù Clark đã bị điều tra trong cuộc điều tra nội bộ và kết quả của cuộc điều tra liên kết ông với các vấn đề dẫn đến việc Điều chỉnh lại Báo cáo (Restatement), ông không bị chấm dứt chính thức vì lý do chính đáng khi việc chấm dứt của ông được ghi nhận. Thay vào đó, người ta lý giải rằng công việc của ông có thể được thực hiện bởi Langley. Hai tuần sau khi Clark nhận được thông báo chấm dứt, Hampshire thông báo rằng họ sẽ điều chỉnh lại báo cáo tài chính hàng năm và hàng quý cho năm 2003 đến quý tài chính kết thúc ngày 1 tháng 4 năm 2006 dựa trên các phát hiện của cuộc điều tra. Quyết định điều chỉnh lại được đưa ra bất chấp phát hiện của các cố vấn bên ngoài Hampshire rằng “không có bằng chứng về báo cáo tài chính gây hiểu nhầm.” Nghĩa là, cuộc điều tra nội bộ đã không tìm thấy bằng chứng rằng Kuttner, Clayton, Clark hoặc những người khác đã thao túng thu nhập của Hampshire theo bất kỳ cách trọng yếu nào để thổi phồng một cách nhân tạo thu nhập GAAP được báo cáo của công ty. Những vấn đề tồn tại với sổ sách phần lớn là do công ty không có được sự phê duyệt thích hợp cho kế hoạch thù lao điều hành của mình theo yêu cầu của § 162(m) của Bộ luật Thuế vụ (Internal Revenue Code) (“Kế hoạch § 162(m)”). Sau khi cuộc điều tra hoàn tất, Hampshire đã điều chỉnh lại báo cáo tài chính của mình cho năm 2003 đến quý tài chính kết thúc ngày 1 tháng 4 năm 2006 với tổng số tiền gần 7,7 triệu đô la. Hồ sơ cho thấy rằng nếu không vì việc Hampshire không tìm kiếm sự phê duyệt của cổ đông đối với Kế hoạch § 162(m) sau năm 2002, Hampshire có thể đã không điều chỉnh lại báo cáo tài chính của mình vì các vấn đề khác không có quy mô lớn và có thể đã được khắc phục theo những cách không đòi hỏi phải điều chỉnh lại.</w:t>
      </w:r>
    </w:p>
    <w:p>
      <w:pPr>
        <w:spacing w:after="80"/>
      </w:pPr>
      <w:r>
        <w:rPr>
          <w:b w:val="0"/>
          <w:i w:val="0"/>
        </w:rPr>
        <w:t>Nhưng do nhu cầu khắc phục vấn đề Kế hoạch § 162(m) và thực tế rằng công ty cần đảm bảo rằng họ dự phòng cho các hậu quả tài chính tiềm tàng của một số vấn đề được điều tra (ví dụ, các tác động thuế tiềm tàng của thù lao được trao cho các giám đốc điều hành Item-Eyes cho các chi phí cá nhân và các vấn đề thù lao hoãn lại), một cuộc Điều chỉnh lại Báo cáo toàn diện đã được thực hiện.</w:t>
      </w:r>
    </w:p>
    <w:p>
      <w:pPr>
        <w:spacing w:after="80"/>
      </w:pPr>
      <w:r>
        <w:rPr>
          <w:b w:val="0"/>
          <w:i w:val="0"/>
        </w:rPr>
        <w:t>Hampshire cáo buộc Clayton và Clark vi phạm nghĩa vụ ủy thác của họ bằng việc tham gia vào một chương trình theo đó những chiếc áo len không bán được hoặc bị hư hỏng do Hampshire sản xuất được quyên tặng cho các tổ chức từ thiện thay mặt cho nhiều nhân viên Hampshire, những người sau đó lấy các khoản khấu trừ thuế cá nhân. Hampshire không thể yêu cầu khấu trừ thuế cho số áo len tồn kho của mình vì chúng được coi là không có giá trị trên thị trường bán lẻ do những khiếm khuyết của chúng. Do đó, Hampshire đã quyên tặng áo len cho các tổ chức từ thiện khác nhau, và yêu cầu các tổ chức từ thiện gửi thư quà tặng phản ánh rằng khoản quyên tặng được thực hiện bởi một nhân viên Hampshire và gán một giá trị cho những chiếc áo len, mà nhân viên đó sau đó có thể sử dụng để lấy khấu trừ thuế.</w:t>
      </w:r>
    </w:p>
    <w:p>
      <w:pPr>
        <w:spacing w:after="80"/>
      </w:pPr>
      <w:r>
        <w:rPr>
          <w:b w:val="0"/>
          <w:i w:val="0"/>
        </w:rPr>
        <w:t>Vấn đề là nếu chúng không có giá trị khi được Hampshire đóng góp, thì thật khó để thấy làm thế nào chúng có thể có giá trị nếu được quyên tặng cho các tổ chức từ thiện thay mặt cho nhân viên. Cụ thể hơn, người ta thực sự có thể thấy làm thế nào những chiếc áo len tồn kho có thể có giá trị nhân văn thực sự đối với những người cần, vì chúng sẽ giữ ấm cho họ. Điều khó biện minh hơn là làm thế nào chúng có thể có “giá trị thuế” nếu những chiếc áo len không có giá trị thương mại. Những chiếc áo len hoàn hảo cho hoạt động từ thiện chân chính, trong đó người cho không mong đợi gì đáp lại.</w:t>
      </w:r>
    </w:p>
    <w:p>
      <w:pPr>
        <w:spacing w:after="80"/>
      </w:pPr>
      <w:r>
        <w:rPr>
          <w:b w:val="0"/>
          <w:i w:val="0"/>
        </w:rPr>
        <w:t>Nhưng đó không phải là mục đích của chương trình này. Các nhân viên “quyên tặng” áo len được phép hành động như thể họ sở hữu những chiếc áo len và đang tự mình quyên tặng chúng cho các tổ chức từ thiện. Tất nhiên, nếu những chiếc áo len có giá trị và được người sử dụng lao động trao cho nhân viên, thì giá trị đó, người ta nghi ngờ, cũng có thể được IRS coi là thu nhập của nhân viên. Và Hampshire đang giữ quan điểm rằng họ có thể để áo len tồn kho chính xác vì chúng không thể bán được.</w:t>
      </w:r>
    </w:p>
    <w:p>
      <w:pPr>
        <w:spacing w:after="80"/>
      </w:pPr>
      <w:r>
        <w:rPr>
          <w:b w:val="0"/>
          <w:i w:val="0"/>
        </w:rPr>
        <w:t>Lễ hội áo len hàng năm này diễn ra trong một thời gian. Công ty hàng năm để lại một số lượng lớn áo len tồn kho cho các tổ chức từ thiện khác nhau thay mặt cho nhiều nhân viên, quan chức và giám đốc công ty, những người sau đó yêu cầu khấu trừ thuế. Ví dụ, các giám đốc Goldberg và Jackson đều lấy khấu trừ áo len. Culang, người sau này giữ chức CEO của Hampshire, lấy khấu trừ thuế cho các khoản quyên tặng áo len vào năm 2002, 2003 và 2005. Golden, cựu tổng cố vấn, CEO hiện tại và tác giả Bản ghi nhớ Đánh giá Nội bộ, lấy khấu trừ thuế vào năm 2005. Clark chỉ lấy một khoản khấu trừ vào năm 2003 sau khi Kuttner đưa cho ông ba biên lai “quyên tặng” trị giá 4.000 đô la. Clayton cũng cố gắng lấy khấu trừ thuế cho các khoản quyên tặng.</w:t>
      </w:r>
    </w:p>
    <w:p>
      <w:pPr>
        <w:spacing w:after="80"/>
      </w:pPr>
      <w:r>
        <w:rPr>
          <w:b w:val="0"/>
          <w:i w:val="0"/>
        </w:rPr>
        <w:t>Tôi không thể kết luận rằng Clayton luôn biết trò áo len này là không đúng. Tôi không thể kết luận vào bất cứ lúc nào rằng Clark biết. Ngay cả nhiều luật sư được đào tạo, như Golden, và các chuyên gia tài chính, như Clayton và Clark, cũng có thể không hiểu các quy tắc phức tạp điều chỉnh các khoản đóng góp từ thiện bằng hiện vật hữu hình. Với mức độ phổ biến của thực hành này tại Hampshire, tôi thấy khó kết luận rằng chương trình này là sản phẩm của sự thiếu thiện chí hoặc sơ suất nghiêm trọng. Thực tế là những chiếc áo len có lẽ có một số giá trị bán hàng và số tiền trên mỗi chiếc áo len được gán cho thấp hơn nhiều so với mức Hampshire sẽ bán áo len có lãi tại các cửa hàng bán lẻ. Lập kế hoạch thuế sáng tạo là, dù tốt hay xấu, một truyền thống đặc trưng của người Mỹ.</w:t>
      </w:r>
    </w:p>
    <w:p>
      <w:pPr>
        <w:spacing w:after="80"/>
      </w:pPr>
      <w:r>
        <w:rPr>
          <w:b w:val="0"/>
          <w:i w:val="0"/>
        </w:rPr>
        <w:t>Nhưng vấn đề đối với Clayton lại nằm ở những gì ông ta làm sau khi được thông báo rằng chương trình này phải chấm dứt. Vào tháng 12 năm 2004, Ủy ban Kiểm toán (Audit Committee) nhận được một cuộc gọi nặc danh từ người tố giác (whistle blower) báo cáo về chương trình quyên tặng áo len. Ủy ban Kiểm toán đã nói với Clayton, lúc đó là Giám đốc Tài chính (CFO), rằng theo luật thuế thì những chiếc áo len không thể được coi là quà tặng cho nhân viên. Winter, chủ tịch Ủy ban Kiểm toán, nói với Clayton rằng ông vẫn có thể tiếp tục quyên tặng áo len cho tổ chức từ thiện, thậm chí có thể thực hiện việc quyên tặng thay mặt cho một nhân viên, nhưng nhân viên không được hưởng khoản khấu trừ thuế từ việc quyên tặng đó. Clayton xác nhận rằng từ đó trở đi số áo len sẽ "được công ty trao tặng cho tổ chức từ thiện."</w:t>
      </w:r>
    </w:p>
    <w:p>
      <w:pPr>
        <w:spacing w:after="80"/>
      </w:pPr>
      <w:r>
        <w:rPr>
          <w:b w:val="0"/>
          <w:i w:val="0"/>
        </w:rPr>
        <w:t>Nhưng Clayton vẫn tiếp tục kế hoạch quyên tặng áo len suốt năm 2005 và sang tận năm 2006. Clayton đã tự mình khấu trừ thuế vào năm 2005 và 2006 sau khi Ủy ban Kiểm toán đã thông báo cho ông rằng nhân viên không được hưởng quyền khấu trừ cho các khoản quyên tặng, và những người khác, bao gồm Golden, Culang, cùng các thành viên hội đồng quản trị là Jackson và Goldberg, cũng làm điều tương tự. Các bằng chứng thuyết phục tôi rằng Clayton đã lách qua các chỉ thị của Ủy ban Kiểm toán vì ông ta đang soạn thảo các mẫu thư gửi cho các tổ chức từ thiện để họ có thể biến chúng thành thư chính thức và cung cấp cho nhân viên Hampshire tài liệu chứng minh cho các khoản tiền mà họ khai là khấu trừ từ thiện.</w:t>
      </w:r>
    </w:p>
    <w:p>
      <w:pPr>
        <w:spacing w:after="80"/>
      </w:pPr>
      <w:r>
        <w:rPr>
          <w:b w:val="0"/>
          <w:i w:val="0"/>
        </w:rPr>
        <w:t>Đúng là Navigant đã kết luận rằng "[v]ấn đề này [không] có bất kỳ hệ quả tài chính nào đối với công ty, mà chỉ ảnh hưởng đến từng nhân viên cá nhân, những người có thể đã thực hiện các khoản khấu trừ thuế không đúng quy định." Nhưng dù vậy, Clayton vẫn cố ý khiến công ty tham gia vào hoạt động có tính pháp lý đáng ngờ bằng cách tạo điều kiện cho các khoản khấu trừ thuế không đúng quy định của nhân viên, thành viên hội đồng quản trị và các cán bộ của Hampshire. Tôi thấy đây là một sự vi phạm nghĩa vụ trung thành (duty of loyalty).</w:t>
      </w:r>
    </w:p>
    <w:p>
      <w:pPr>
        <w:spacing w:after="80"/>
      </w:pPr>
      <w:r>
        <w:rPr>
          <w:b w:val="0"/>
          <w:i w:val="0"/>
        </w:rPr>
        <w:t>Ngược lại, đối với Clark, tôi không tìm thấy bằng chứng nào cho thấy ông ta đã cố ý làm điều gì không đúng khi thực hiện một khoản khấu trừ thuế duy nhất vào năm 2003, và tôi xin nhắc lại rằng Giám đốc điều hành (CEO) hiện tại của Hampshire, một luật sư được đào tạo bài bản, người đã giữ chức Cố vấn Pháp lý Tổng quát (General Counsel) của Hampshire trong ba năm, cũng đã thực hiện một khoản khấu trừ tương tự.</w:t>
      </w:r>
    </w:p>
    <w:p>
      <w:pPr>
        <w:pStyle w:val="Heading5"/>
      </w:pPr>
      <w:r>
        <w:rPr>
          <w:rFonts w:ascii="Calibri" w:hAnsi="Calibri"/>
          <w:b/>
          <w:i/>
          <w:sz w:val="22"/>
        </w:rPr>
        <w:t>Bình luận và Câu hỏi</w:t>
      </w:r>
    </w:p>
    <w:p>
      <w:pPr>
        <w:spacing w:after="80"/>
      </w:pPr>
      <w:r>
        <w:rPr>
          <w:b w:val="0"/>
          <w:i w:val="0"/>
        </w:rPr>
        <w:t>1. Bạn sẽ đánh giá như thế nào về việc hội đồng quản trị Hampshire thực hiện trách nhiệm giám sát của mình trước khi nhận được Bản ghi nhớ Đánh giá Nội bộ (Internal Review Memorandum)? Tại sao việc hội đồng quản trị biết về và thậm chí còn "nuông chiều" "sở thích sống sang chảnh" của CEO Kuttner (ví dụ, lái xe Lamborghini rồi sau đó là Ferrari làm xe công ty) lại có liên quan? Việc nhận được Bản ghi nhớ Đánh giá Nội bộ đã buộc tay hội đồng quản trị như thế nào? Clayton vẫn tiếp tục chương trình khấu trừ áo len hơn một năm sau khi Ủy ban Kiểm toán chỉ thị ông ta chấm dứt nó. Sự thật này cho chúng ta biết điều gì về việc hội đồng quản trị giám sát các giám đốc cấp cao?</w:t>
      </w:r>
    </w:p>
    <w:p>
      <w:pPr>
        <w:spacing w:after="80"/>
      </w:pPr>
      <w:r>
        <w:rPr>
          <w:b w:val="0"/>
          <w:i w:val="0"/>
        </w:rPr>
        <w:t>2. Bản ý kiến phán quyết lưu ý rằng các công ty luật và kế toán bên ngoài được thuê để điều tra các cáo buộc nêu trong Bản ghi nhớ Đánh giá Nội bộ "không được ủy quyền xem xét vai trò của hội đồng quản trị trong các vấn đề được nêu trong Bản ghi nhớ." Tòa án thậm chí còn phỏng đoán rằng "các cố vấn bên ngoài được chỉ thị tập trung vào các nhân viên bị cho nghỉ việc và không khơi ra những vấn đề có thể liên lụy đến hội đồng quản trị hoặc các cán bộ khác." Lẽ ra Ủy ban Kiểm toán có nên chỉ thị cho các cố vấn bên ngoài của mình điều tra việc hội đồng quản trị giám sát Kuttner và các nhà quản lý khác có liên quan hay không?</w:t>
      </w:r>
    </w:p>
    <w:p>
      <w:pPr>
        <w:spacing w:after="80"/>
      </w:pPr>
      <w:r>
        <w:rPr>
          <w:b w:val="0"/>
          <w:i w:val="0"/>
        </w:rPr>
        <w:t>3. Từ những gì bạn biết về trình độ của họ, các thành viên hội đồng quản trị Hampshire có đủ kỹ năng và chuyên môn để giám sát ban lãnh đạo cấp cao của công ty không? Tại sao có hoặc tại sao không? Trong phạm vi mà hội đồng quản trị Hampshire không hề hay biết về một số hoạt động sai trái nhất định (ví dụ như kế hoạch khấu trừ áo len), sự thiếu hiểu biết của hội đồng quản trị cho thấy điều gì về cam kết giám sát của họ? Sự thiếu hiểu biết của hội đồng quản trị cho thấy điều gì về các quy trình của họ? Bất kể cam kết của họ đối với việc giám sát chủ động, những trở ngại nào có thể cản trở các thành viên hội đồng quản trị độc lập giám sát ban lãnh đạo một cách hiệu quả? Dù có công tâm đến đâu, các thành viên hội đồng quản trị bên ngoài cũng phải có thông tin đầy đủ và khách quan để giám sát các giám đốc điều hành một cách hiệu quả. Các thành viên hội đồng quản trị bên ngoài có khả năng sẽ nhận được thông tin cần thiết để hoàn thành trách nhiệm giám sát của mình như thế nào? Liệu mọi nguồn thông tin có đáng tin cậy như nhau không?</w:t>
      </w:r>
    </w:p>
    <w:p>
      <w:pPr>
        <w:spacing w:after="80"/>
      </w:pPr>
      <w:r>
        <w:rPr>
          <w:b w:val="0"/>
          <w:i w:val="0"/>
        </w:rPr>
        <w:t>4. Các thành viên hội đồng quản trị độc lập, không có quyền lợi liên quan thực hiện một số chức năng then chốt theo luật tiểu bang, như chúng ta sẽ thấy. Ví dụ, họ giám sát các giao dịch của công ty có thể bị vẩn đục bởi lợi ích riêng của ban lãnh đạo, bao gồm cả thù lao của các giám đốc điều hành. Tương tự, các thành viên hội đồng quản trị độc lập, không có quyền lợi liên quan đóng vai trò ra quyết định then chốt trong các giao dịch thay đổi quyền kiểm soát và việc khởi tố các vụ kiện phái sinh (derivative litigation). Các thành viên hội đồng quản trị thường thuê chuyên gia riêng của mình, bao gồm cả cố vấn pháp lý bên ngoài, để hỗ trợ họ hoàn thành những trách nhiệm như vậy. Những chuyên gia này không chỉ đưa ra lời khuyên thực chất về các quyết định trước mắt, mà còn có thể hướng dẫn các thành viên hội đồng quản trị độc lập cách thực hiện nghĩa vụ ủy thác (fiduciary duties) của họ đối với công ty và các cổ đông. Như chúng ta sẽ thấy trong các chương sau, luật tiểu bang quy định rằng các thành viên hội đồng quản trị có thể dựa vào những cố vấn này một cách hợp lý.</w:t>
      </w:r>
    </w:p>
    <w:p>
      <w:pPr>
        <w:spacing w:after="80"/>
      </w:pPr>
      <w:r>
        <w:rPr>
          <w:b w:val="0"/>
          <w:i w:val="0"/>
        </w:rPr>
        <w:t>5. Hóa đơn cho cuộc điều tra bên ngoài do Ủy ban Kiểm toán thực hiện đã vượt quá 4 triệu đô la, một số tiền vượt xa mức trách nhiệm tiềm tàng của Clayton và Clark vì đã vi phạm nghĩa vụ của họ đối với công ty. Liệu một cuộc điều tra bên ngoài tốn kém như vậy có cần thiết không? Tại sao có hoặc tại sao không? Lẽ ra Ủy ban Kiểm toán có thể chỉ đơn giản yêu cầu cố vấn pháp lý tổng quát của công ty điều tra các cáo buộc hay không?</w:t>
      </w:r>
    </w:p>
    <w:p>
      <w:pPr>
        <w:spacing w:after="80"/>
      </w:pPr>
      <w:r>
        <w:rPr>
          <w:b w:val="0"/>
          <w:i w:val="0"/>
        </w:rPr>
        <w:t>6. Tòa án lưu ý rằng nhiều thành viên hội đồng quản trị Hampshire đã phục vụ trong hội đồng quản trị hàng chục năm cùng với Kuttner. Chúng ta sẽ quay lại vấn đề nhiệm kỳ của các thành viên hội đồng quản trị vào cuối chương này. Hơn nữa, ít nhất hai thành viên hội đồng quản trị, một luật sư và một nhà đầu tư mạo hiểm, có quyền sở hữu trong các công ty đã cung cấp các dịch vụ pháp lý và tài chính quan trọng cho Hampshire trong nhiều năm. Những thành viên hội đồng quản trị bên ngoài này thực sự có động lực gì để giám sát Kuttner?</w:t>
      </w:r>
    </w:p>
    <w:p>
      <w:pPr>
        <w:spacing w:after="80"/>
      </w:pPr>
      <w:r>
        <w:rPr>
          <w:b w:val="0"/>
          <w:i w:val="0"/>
        </w:rPr>
        <w:t>—————</w:t>
      </w:r>
    </w:p>
    <w:p>
      <w:pPr>
        <w:spacing w:after="80"/>
      </w:pPr>
      <w:r>
        <w:rPr>
          <w:b w:val="0"/>
          <w:i w:val="0"/>
        </w:rPr>
        <w:t>Mặc dù tính độc lập của thành viên hội đồng quản trị vẫn tiếp tục là tâm điểm cho các cải cách quản trị công ty sau vụ Enron, các tòa án và nhà bình luận ngày càng nhận ra thách thức trong việc định nghĩa tính độc lập. Chúng ta sẽ xem xét các tiêu chuẩn pháp lý và quy định về tính độc lập và tính không có quyền lợi liên quan trong vài chương tiếp theo.</w:t>
      </w:r>
    </w:p>
    <w:p>
      <w:pPr>
        <w:spacing w:after="80"/>
      </w:pPr>
      <w:r>
        <w:rPr>
          <w:b w:val="0"/>
          <w:i w:val="0"/>
        </w:rPr>
        <w:t xml:space="preserve">Tất nhiên, tính độc lập—bất kể được định nghĩa như thế nào—không đảm bảo rằng các thành viên hội đồng quản trị có đủ chuyên môn và khả năng tiếp cận cần thiết để giám sát tận tâm các công việc của công ty. Việc phơi bày các vụ gian lận báo cáo tài chính kéo dài nhiều năm và những tiết lộ về hành vi tự tư tự lợi trắng trợn của các CEO và các giám đốc cấp cao khác trong những năm đầu của thế kỷ mới đã nhấn mạnh lỗ hổng này. Những người chỉ trích các cải cách quản trị công ty sau Enron còn lập luận rằng việc quá bận tâm đến tính độc lập của thành viên hội đồng quản trị khiến các hội đồng quản trị công ty mất đi sự phục vụ của những cá nhân có trình độ, kinh nghiệm và kỹ năng thiết yếu. Một thành viên hội đồng quản trị không có mối liên hệ nào với ban lãnh đạo hay công ty có thể không có kiến thức cần thiết để đánh giá hành vi sai trái của ban lãnh đạo, chứ chưa nói đến kỹ năng để truy tìm gian lận và hành vi tự tư tự lợi. Thật vậy, các thành viên hội đồng quản trị bên ngoài phụ thuộc phần lớn vào ban lãnh đạo để có thông tin quan trọng. Ngay cả khi họ khá quen thuộc với công ty và ngành của nó, các thành viên hội đồng quản trị bên ngoài gần như chắc chắn thiếu cả thời gian lẫn thông tin đặc thù về công ty để giám sát chặt chẽ các giám đốc điều hành. Hơn nữa, sự bất cân xứng thông tin có thể làm suy yếu quyền ra quyết định của các thành viên hội đồng quản trị. Ngoài ra, các thành viên hội đồng quản trị bên ngoài cũng có thể thiếu động lực để giám sát ban lãnh đạo một cách mạnh mẽ. "[C]ác thành viên hội đồng quản trị độc lập có thể không thực sự độc lập, bởi vì dù quy trình chính thức có thế nào đi nữa, họ vẫn được ban lãnh đạo chọn lựa trên thực tế </w:t>
      </w:r>
      <w:r>
        <w:rPr>
          <w:b w:val="0"/>
          <w:i/>
        </w:rPr>
        <w:t>de facto</w:t>
      </w:r>
      <w:r>
        <w:rPr>
          <w:b w:val="0"/>
          <w:i w:val="0"/>
        </w:rPr>
        <w:t>, và họ không có đủ động lực cá nhân để hành động thực sự độc lập." Những thành viên hội đồng quản trị đặt câu hỏi về các đề xuất của giám đốc điều hành hoặc thách thức ban lãnh đạo theo cách khác có thể phải chịu những chế tài xã hội từ CEO và các thành viên hội đồng quản trị khác. Chúng ta sẽ xem xét những kỳ vọng ngày càng cao đặt lên các thành viên hội đồng quản trị độc lập—cũng như khả năng và thiện chí của họ trong việc đáp ứng những kỳ vọng đó—bắt đầu từ Chương 4.</w:t>
      </w:r>
    </w:p>
    <w:p>
      <w:pPr>
        <w:pStyle w:val="Heading2"/>
      </w:pPr>
      <w:r>
        <w:rPr>
          <w:rFonts w:ascii="Calibri" w:hAnsi="Calibri"/>
          <w:b/>
          <w:i w:val="0"/>
          <w:sz w:val="32"/>
        </w:rPr>
        <w:t>IV. Quy mô, Cơ cấu và Ban lãnh đạo của Hội đồng quản trị</w:t>
      </w:r>
    </w:p>
    <w:p>
      <w:pPr>
        <w:spacing w:after="80"/>
      </w:pPr>
      <w:r>
        <w:rPr>
          <w:b w:val="0"/>
          <w:i w:val="0"/>
        </w:rPr>
        <w:t>Các thành viên hội đồng quản trị được cổ đông và cơ quan quản lý giao trách nhiệm thiết lập và duy trì các hệ thống quản trị hiệu quả. Trong vài thập kỷ qua, khi các thành viên hội đồng quản trị đảm nhận trách nhiệm pháp lý lớn hơn đối với việc giám sát ban lãnh đạo, quy mô, cơ cấu và ban lãnh đạo của các hội đồng quản trị công ty đại chúng đã biến đổi.</w:t>
      </w:r>
    </w:p>
    <w:p>
      <w:pPr>
        <w:spacing w:after="80"/>
      </w:pPr>
      <w:r>
        <w:rPr>
          <w:b w:val="0"/>
          <w:i w:val="0"/>
        </w:rPr>
        <w:t>Trung bình, mười hai giám đốc phục vụ trong hội đồng quản trị của các công ty đại chúng lớn nhất nước Mỹ. Sau khi tăng trưởng trong những năm sau khi đạo luật Sarbanes-Oxley được ban hành, các hội đồng quản trị của công ty đại chúng lớn đã thu gọn quy mô trong vài năm qua. Heidrick &amp; Struggles, một công ty săn đầu người cấp cao, phát hiện rằng số ghế trong hội đồng quản trị tại các công ty thuộc Fortune 500 đã giảm từ 5267 vào năm 2009 xuống còn 4637 vào năm 2013. Xu hướng này được củng cố bởi nghiên cứu gần đây cho thấy các công ty có ít thành viên hội đồng quản trị hơn hoạt động tốt hơn so với các đối thủ cùng ngành. Một nghiên cứu về các tập đoàn có vốn hóa thị trường ít nhất 10 tỷ đô la phát hiện rằng các công ty có hội đồng quản trị nhỏ hơn có xu hướng hoạt động tốt hơn so với các công ty cùng ngành có hội đồng quản trị lớn hơn. Các chuyên gia quản trị cho rằng hội đồng quản trị nhỏ hơn có thể họp thường xuyên hơn, tham gia vào các cuộc tranh luận sôi nổi hơn và đưa ra quyết định kịp thời hơn. Họ gợi ý rằng các giám đốc trong hội đồng quản trị nhỏ phải chịu trách nhiệm nhiều hơn đối với công việc của hội đồng. Hơn nữa, hội đồng quản trị có ít thành viên hơn có thể giám sát ban điều hành hiệu quả hơn so với hội đồng quản trị lớn hơn vì các giám đốc không thể dễ dàng trốn tránh nhiệm vụ giám sát của mình, cũng không thể đơn thuần ăn theo nỗ lực kiểm soát của đồng nghiệp. Hội đồng quản trị nhỏ không chỉ giám sát hiệu suất của các giám đốc điều hành chặt chẽ hơn mà còn có nhiều khả năng đánh giá hiệu suất của chính mình một cách thường xuyên hơn. Mặt khác, vì có ít thành viên hơn để thực hiện công việc của hội đồng, các giám đốc trong hội đồng quản trị nhỏ đương nhiên phải gánh khối lượng công việc lớn hơn. Do đó, trong khi hội đồng quản trị lớn hơn gặp khó khăn trong việc phối hợp và giao tiếp, lại có nhiều thành viên hơn để phân chia công việc. Hội đồng quản trị lớn hơn cũng tạo điều kiện thuận lợi cho sự đa dạng, kết nối mạng lưới và thu thập thông tin.</w:t>
      </w:r>
    </w:p>
    <w:p>
      <w:pPr>
        <w:spacing w:after="80"/>
      </w:pPr>
      <w:r>
        <w:rPr>
          <w:b w:val="0"/>
          <w:i w:val="0"/>
        </w:rPr>
        <w:t>Vai trò lãnh đạo hội đồng quản trị cũng đã tạo ra tranh luận trong ít nhất bốn thập kỷ. Không giống như các đối tác nước ngoài ở Vương quốc Anh, Canada và hầu hết các nước châu Âu, các CEO của các công ty Mỹ theo truyền thống đã chủ trì hội đồng quản trị của tập đoàn. Các giám đốc giữ vai trò chủ tịch hội đồng quản trị không chỉ chủ trì các cuộc họp hội đồng mà còn thiết lập chương trình nghị sự cho mỗi phiên họp, quyết định các vấn đề sẽ được toàn thể hội đồng xem xét. Do đó, chủ tịch hội đồng đảm bảo việc xem xét và thực hiện các nghị quyết và chính sách của hội đồng quản trị đã được thông qua. Cuối cùng, tại nhiều công ty, chủ tịch hội đồng phân công các ủy ban và do đó xác định các giám đốc chịu trách nhiệm về các vấn đề khác nhau. Được thúc đẩy bởi những tiết lộ rằng các CEO thống trị các quy trình quản trị doanh nghiệp tại các tập đoàn bị tổn hại bởi gian lận và bê bối, các nhà quản lý và học giả đã kêu gọi các công ty tách biệt vai trò CEO và chủ tịch hội đồng quản trị kể từ những năm 1970. Các nhà hoạt động cổ đông ngày càng vận động chống lại cấu trúc lãnh đạo hợp nhất.</w:t>
      </w:r>
    </w:p>
    <w:p>
      <w:pPr>
        <w:spacing w:after="80"/>
      </w:pPr>
      <w:r>
        <w:rPr>
          <w:b w:val="0"/>
          <w:i w:val="0"/>
        </w:rPr>
        <w:t>Những người ủng hộ cải cách cho rằng hội đồng quản trị không thể thực hiện chức năng giám sát của mình một cách hiệu quả nếu không có sự lãnh đạo của một giám đốc độc lập. Trong khi các cấu trúc lãnh đạo hợp nhất cho phép CEO kiểm soát dòng chảy thông tin đến các giám đốc bên ngoài, việc bổ nhiệm một chủ tịch hội đồng độc lập làm giảm chi phí thu thập thông tin cho các giám đốc bên ngoài, tăng cường tính minh bạch và cải thiện khả năng giám sát CEO và đội ngũ điều hành cấp cao của các giám đốc bên ngoài. Vì sự thống nhất trong chỉ huy cũng có thể tạo ra một môi trường phòng họp hội đồng ngăn chặn việc đặt câu hỏi và bất đồng quan điểm, việc tách biệt vai trò lãnh đạo có thể thúc đẩy sự tham gia của các giám đốc bên ngoài. Các vấn đề đặc biệt nhạy cảm với CEO (những diễn biến có thể mô tả CEO hoặc đội ngũ điều hành cấp cao theo cách tiêu cực) có nhiều khả năng được đưa ra trước các giám đốc sớm hơn. Các giám đốc bên ngoài có thể đánh giá việc quản lý và các quyết định của CEO với sự thẳng thắn và khách quan hơn, tăng cường trách nhiệm giải trình của CEO, nếu không nói là cải thiện hiệu suất công việc. Việc tách biệt các chức năng lãnh đạo cũng mang lại lợi ích cho công ty bằng cách tập trung CEO vào các hoạt động và chiến lược hàng ngày của công ty. Cuối cùng, nghiên cứu chỉ ra rằng chi phí trả thù lao cho một cá nhân với vai trò CEO kiêm chủ tịch cao hơn đáng kể so với chi phí trả cho hai cá nhân để thực hiện các trách nhiệm quản lý đó.</w:t>
      </w:r>
    </w:p>
    <w:p>
      <w:pPr>
        <w:spacing w:after="80"/>
      </w:pPr>
      <w:r>
        <w:rPr>
          <w:b w:val="0"/>
          <w:i w:val="0"/>
        </w:rPr>
        <w:t>Các nhà lãnh đạo doanh nghiệp và các hiệp hội nghề nghiệp của họ (như National Association of Corporate Directors) đã công kích các quy định "một khuôn mẫu cho tất cả" về quản trị tốt, lập luận rằng các công ty nên áp dụng bất kỳ cấu trúc lãnh đạo nào phù hợp nhất với tổ chức của họ. Các hội đồng quản trị hài lòng với chỉ huy hợp nhất lập luận rằng có rất ít, nếu có, bằng chứng cho thấy việc tách biệt vai trò chủ tịch và CEO cải thiện hiệu suất doanh nghiệp dài hạn. Ngay cả khi CEO/chủ tịch thực sự gây ảnh hưởng nặng nề đối với các quyết định của công ty, điều đó không có nghĩa là việc buộc phải tách biệt sẽ cải thiện hiệu suất doanh nghiệp. Theo các công ty có CEO kiêm chủ tịch, lãnh đạo hợp nhất mang lại trách nhiệm giải trình rõ ràng và cung cấp lợi ích từ kinh nghiệm vận hành và ngành sâu rộng. Hơn nữa, vì việc tập trung quyền lực tối cao vào một cá nhân là điều thiết yếu để quản lý hiệu quả nhiều doanh nghiệp lớn, các chủ tịch hội đồng không điều hành thực sự có thể không (và không thể) hoạt động độc lập với CEO. Tóm lại, việc kiêm nhiệm cho phép ra quyết định kịp thời và hiệu quả hơn.</w:t>
      </w:r>
    </w:p>
    <w:p>
      <w:pPr>
        <w:spacing w:after="80"/>
      </w:pPr>
      <w:r>
        <w:rPr>
          <w:b w:val="0"/>
          <w:i w:val="0"/>
        </w:rPr>
        <w:t>Các giám đốc chính bên ngoài và chủ tịch không điều hành chủ trì nhiều hội đồng quản trị doanh nghiệp ngày nay hơn so với đầu thiên niên kỷ. Theo các nghiên cứu, tỷ lệ các tập đoàn thuộc S&amp;P 500 có cấu trúc lãnh đạo phân tách đã tăng từ 25 lên 43 phần trăm trong thập kỷ sau khi Quốc hội ban hành Sarbanes-Oxley, và nhiều công ty Mỹ đã tách biệt vai trò chủ tịch hội đồng và CEO trong những năm gần đây nhất. Tuy nhiên, nhiều tập đoàn hàng đầu của quốc gia vẫn chống lại áp lực cải cách cấu trúc chỉ huy của họ. Tính đến năm 2015, các CEO vẫn tiếp tục giữ vai trò chủ tịch hội đồng cho gần hai phần ba các công ty đại chúng lớn nhất nước Mỹ. Thay vì bổ nhiệm người không điều hành làm chủ tịch, các công ty này đã tăng cường vai trò lãnh đạo của hội đồng bằng cách bổ nhiệm các giám đốc độc lập làm giám đốc chính.</w:t>
      </w:r>
    </w:p>
    <w:p>
      <w:pPr>
        <w:spacing w:after="80"/>
      </w:pPr>
      <w:r>
        <w:rPr>
          <w:b w:val="0"/>
          <w:i w:val="0"/>
        </w:rPr>
        <w:t>Nói chung, các giám đốc chính (đôi khi được gọi là giám đốc chủ trì) không đảm nhận các nhiệm vụ chính thức của chủ tịch hội đồng; thay vào đó, các giám đốc chính chủ trì các cuộc họp của toàn thể hội đồng chỉ khi chủ tịch vắng mặt hoặc khi có nhu cầu khác phát sinh. Tuy nhiên, các giám đốc chính thực sự chủ trì các phiên họp điều hành hoặc các cuộc họp khác của các giám đốc không thuộc ban điều hành. Giám đốc chính cũng có thể đóng góp vào chương trình nghị sự của hội đồng (do đó phá vỡ sự độc quyền của CEO trong việc thiết lập chương trình nghị sự), làm cầu nối giữa chủ tịch hội đồng và các giám đốc bên ngoài, và cung cấp vai trò lãnh đạo cho các giám đốc bên ngoài, khuyến khích tiếng nói mạnh mẽ hơn. Cuối cùng, các giám đốc chính có thể có trách nhiệm đặc biệt trong việc đánh giá hiệu suất và thù lao của chủ tịch/CEO.</w:t>
      </w:r>
    </w:p>
    <w:p>
      <w:pPr>
        <w:spacing w:after="80"/>
      </w:pPr>
      <w:r>
        <w:rPr>
          <w:b w:val="0"/>
          <w:i w:val="0"/>
        </w:rPr>
        <w:t>Không có gì trong luật liên bang hoặc tiểu bang hoặc quy định của sở giao dịch chứng khoán yêu cầu các công ty phải tách biệt các vị trí CEO và chủ tịch hội đồng. Tuy nhiên, với việc các cổ đông hoạt động tập trung sự chú ý nhiều hơn vào vai trò lãnh đạo hội đồng quản trị, SEC và các sở giao dịch chứng khoán đã xem xét các lập luận ủng hộ và phản đối cải cách quy định. Như với các sáng kiến quản trị doanh nghiệp khác, SEC bắt đầu giải quyết mối quan tâm của nhà đầu tư bằng cách yêu cầu các công ty đại chúng tiết lộ cho cổ đông nhiều thông tin hơn về cấu trúc lãnh đạo hội đồng quản trị của công ty.</w:t>
      </w:r>
    </w:p>
    <w:p>
      <w:pPr>
        <w:pStyle w:val="Heading4"/>
      </w:pPr>
      <w:r>
        <w:rPr>
          <w:rFonts w:ascii="Calibri" w:hAnsi="Calibri"/>
          <w:b/>
          <w:i w:val="0"/>
          <w:sz w:val="23"/>
        </w:rPr>
        <w:t>Tăng cường Tiết lộ qua Ủy quyền</w:t>
      </w:r>
    </w:p>
    <w:p>
      <w:pPr>
        <w:spacing w:after="80"/>
      </w:pPr>
      <w:r>
        <w:rPr>
          <w:b w:val="0"/>
          <w:i w:val="0"/>
        </w:rPr>
        <w:t>Exchange Act Release No. 61175 (ngày 16 tháng 12 năm 2009)</w:t>
      </w:r>
    </w:p>
    <w:p>
      <w:pPr>
        <w:spacing w:after="80"/>
      </w:pPr>
      <w:r>
        <w:rPr>
          <w:b w:val="0"/>
          <w:i w:val="0"/>
        </w:rPr>
        <w:t>Tiết lộ Mới về Cấu trúc Lãnh đạo Hội đồng Quản trị và</w:t>
      </w:r>
      <w:r>
        <w:br/>
      </w:r>
      <w:r>
        <w:rPr>
          <w:b w:val="0"/>
          <w:i w:val="0"/>
        </w:rPr>
        <w:t xml:space="preserve"> Vai trò của Hội đồng trong Giám sát Rủi ro</w:t>
      </w:r>
    </w:p>
    <w:p>
      <w:pPr>
        <w:spacing w:after="80"/>
      </w:pPr>
      <w:r>
        <w:rPr>
          <w:b w:val="0"/>
          <w:i w:val="0"/>
        </w:rPr>
        <w:t>Chúng tôi đã đề xuất một yêu cầu tiết lộ mới đối với Mục 407 của Regulation S-K và một sửa đổi tương ứng đối với Mục 7 của Schedule 14A để yêu cầu tiết lộ cấu trúc lãnh đạo của công ty và lý do công ty tin rằng đó là cấu trúc phù hợp nhất cho mình tại thời điểm nộp hồ sơ. . . .</w:t>
      </w:r>
    </w:p>
    <w:p>
      <w:pPr>
        <w:spacing w:after="80"/>
      </w:pPr>
      <w:r>
        <w:rPr>
          <w:b w:val="0"/>
          <w:i w:val="0"/>
        </w:rPr>
        <w:t>1. Các Sửa đổi Đề xuất</w:t>
      </w:r>
    </w:p>
    <w:p>
      <w:pPr>
        <w:spacing w:after="80"/>
      </w:pPr>
      <w:r>
        <w:rPr>
          <w:b w:val="0"/>
          <w:i w:val="0"/>
        </w:rPr>
        <w:t>Theo các sửa đổi được đề xuất, các công ty sẽ được yêu cầu tiết lộ cấu trúc lãnh đạo của họ và lý do họ tin rằng đó là cấu trúc phù hợp cho công ty. Là một phần của việc tiết lộ được đề xuất này, các công ty sẽ được yêu cầu tiết lộ liệu và tại sao họ đã chọn kết hợp hoặc tách biệt các vị trí giám đốc điều hành chính và chủ tịch hội đồng. Ngoài ra, tại một số công ty, vai trò giám đốc điều hành chính và chủ tịch hội đồng được kết hợp, và một giám đốc độc lập chính được chỉ định để chủ trì các cuộc họp của các giám đốc độc lập. Đối với những công ty này, các sửa đổi được đề xuất sẽ yêu cầu tiết lộ liệu và tại sao công ty có một giám đốc độc lập chính, cũng như vai trò cụ thể mà giám đốc độc lập chính đảm nhận trong vai trò lãnh đạo của công ty. Khi đề xuất yêu cầu này, chúng tôi lưu ý rằng các cấu trúc lãnh đạo khác nhau có thể phù hợp với các công ty khác nhau tùy thuộc vào các yếu tố như quy mô công ty, bản chất hoạt động kinh doanh của công ty, hoặc các cân nhắc về kiểm soát nội bộ, cùng nhiều yếu tố khác. Bất kể loại cấu trúc lãnh đạo mà một công ty lựa chọn, các yêu cầu được đề xuất nhằm cung cấp cho nhà đầu tư những hiểu biết về lý do công ty đã chọn cấu trúc lãnh đạo cụ thể đó.</w:t>
      </w:r>
    </w:p>
    <w:p>
      <w:pPr>
        <w:spacing w:after="80"/>
      </w:pPr>
      <w:r>
        <w:rPr>
          <w:b w:val="0"/>
          <w:i w:val="0"/>
        </w:rPr>
        <w:t>2. Ý kiến về các Sửa đổi Đề xuất</w:t>
      </w:r>
    </w:p>
    <w:p>
      <w:pPr>
        <w:spacing w:after="80"/>
      </w:pPr>
      <w:r>
        <w:rPr>
          <w:b w:val="0"/>
          <w:i w:val="0"/>
        </w:rPr>
        <w:t>Các ý kiến chủ yếu ủng hộ các đề xuất. Những người bình luận tin rằng việc tiết lộ về cấu trúc lãnh đạo của công ty . . . sẽ cung cấp thông tin hữu ích cho nhà đầu tư . . . Một số người bình luận phản đối việc tiết lộ. Nhiều người trong số này tin rằng các sửa đổi được đề xuất quá mơ hồ và có khả năng sẽ tạo ra những mô tả khuôn mẫu về hệ thống phân cấp quản lý của công ty . . . sẽ không cung cấp hiểu biết hoặc ý nghĩa đáng kể cho nhà đầu tư.</w:t>
      </w:r>
    </w:p>
    <w:p>
      <w:pPr>
        <w:spacing w:after="80"/>
      </w:pPr>
      <w:r>
        <w:rPr>
          <w:b w:val="0"/>
          <w:i w:val="0"/>
        </w:rPr>
        <w:t>3. Quy định Cuối cùng</w:t>
      </w:r>
    </w:p>
    <w:p>
      <w:pPr>
        <w:spacing w:after="80"/>
      </w:pPr>
      <w:r>
        <w:rPr>
          <w:b w:val="0"/>
          <w:i w:val="0"/>
        </w:rPr>
        <w:t>Sau khi xem xét các ý kiến đóng góp, chúng tôi chấp nhận các đề xuất về cơ bản như đã trình bày, với một vài chỉnh sửa kỹ thuật để đáp lại các ý kiến. Chúng tôi tin rằng, khi đưa ra quyết định bỏ phiếu và đầu tư, nhà đầu tư nên được cung cấp thông tin có ý nghĩa về các thông lệ quản trị công ty của doanh nghiệp. Như chúng tôi đã lưu ý trong Proposing Release (Văn bản Đề xuất), một khía cạnh quan trọng trong thông lệ quản trị công ty của một doanh nghiệp là cấu trúc lãnh đạo của hội đồng quản trị. Việc công bố cấu trúc lãnh đạo hội đồng quản trị của doanh nghiệp và lý do doanh nghiệp cho rằng cấu trúc lãnh đạo hội đồng quản trị đó là phù hợp sẽ giúp tăng tính minh bạch cho nhà đầu tư về cách hội đồng quản trị vận hành.</w:t>
      </w:r>
    </w:p>
    <w:p>
      <w:pPr>
        <w:pStyle w:val="Heading5"/>
      </w:pPr>
      <w:r>
        <w:rPr>
          <w:rFonts w:ascii="Calibri" w:hAnsi="Calibri"/>
          <w:b/>
          <w:i/>
          <w:sz w:val="22"/>
        </w:rPr>
        <w:t>Ý kiến đóng góp và Câu hỏi</w:t>
      </w:r>
    </w:p>
    <w:p>
      <w:pPr>
        <w:spacing w:after="80"/>
      </w:pPr>
      <w:r>
        <w:rPr>
          <w:b w:val="0"/>
          <w:i w:val="0"/>
        </w:rPr>
        <w:t>1. Chuẩn mực quốc tế về lãnh đạo hội đồng quản trị là tách biệt vị trí chủ tịch hội đồng và CEO. Tuy nhiên, ở Hoa Kỳ, chuẩn mực này lại ngược lại. Các nhà hoạt động quản trị và nhiều cổ đông tổ chức coi việc tách biệt hai vai trò này là thông lệ tốt nhất. Ưu và nhược điểm của mỗi cấu trúc là gì? Cách sắp xếp nào phù hợp nhất với mô hình hội đồng quản trị giám sát trong quản trị công ty?</w:t>
      </w:r>
    </w:p>
    <w:p>
      <w:pPr>
        <w:spacing w:after="80"/>
      </w:pPr>
      <w:r>
        <w:rPr>
          <w:b w:val="0"/>
          <w:i w:val="0"/>
        </w:rPr>
        <w:t>2. Việc có nên tách biệt vị trí CEO và chủ tịch hội đồng quản trị hay không đã trở thành một vấn đề được tranh luận sôi nổi trong quản trị công ty. Các nhà hoạt động cổ đông tiếp tục gây áp lực lên các doanh nghiệp để bổ nhiệm chủ tịch hội đồng độc lập, với lập luận rằng các CEO kiêm nhiệm hai chức danh sẽ gây ảnh hưởng quá mức lên các giám đốc bên ngoài, và hội đồng quản trị do CEO làm chủ tịch không thể thực hiện một cách hợp lý trách nhiệm giám sát của mình. Trong thập kỷ qua, các công ty thuộc S&amp;P 500 đã nhận được hơn 300 đề xuất ủy quyền từ cổ đông yêu cầu hội đồng quản trị tước bỏ vai trò chủ tịch của CEO. Năm 2015, hơn một phần ba các công ty đại chúng lớn nhất Hoa Kỳ có CEO kiêm chủ tịch đã nhận được đề xuất của cổ đông yêu cầu cải cách.</w:t>
      </w:r>
    </w:p>
    <w:p>
      <w:pPr>
        <w:spacing w:after="80"/>
      </w:pPr>
      <w:r>
        <w:rPr>
          <w:b w:val="0"/>
          <w:i w:val="0"/>
        </w:rPr>
        <w:t>3. Vì các giám đốc độc lập ngày nay nắm giữ phần lớn ghế trong hội đồng quản trị của các công ty đại chúng lớn, nên CEO — người cũng có thể giữ vai trò chủ tịch hội đồng — thường là giám đốc điều hành duy nhất của doanh nghiệp đồng thời là một trong các giám đốc của công ty. Bạn có thể nghĩ ra những thách thức đặc biệt nào đối với các CEO làm chủ tịch hội đồng quản trị hoạt động với đa số áp đảo là các giám đốc không thuộc ban điều hành không?</w:t>
      </w:r>
    </w:p>
    <w:p>
      <w:pPr>
        <w:spacing w:after="80"/>
      </w:pPr>
      <w:r>
        <w:rPr>
          <w:b w:val="0"/>
          <w:i w:val="0"/>
        </w:rPr>
        <w:t>4. Việc công bố bắt buộc về cấu trúc lãnh đạo của hội đồng quản trị đã trở thành luật liên bang khi Quốc hội thông qua Dodd-Frank Act (Đạo luật Dodd-Frank) vào năm 2010. Mục 972 của Dodd-Frank Act yêu cầu các công ty đại chúng công bố liệu vị trí chủ tịch hội đồng và CEO có do cùng một người nắm giữ hay không và lý do cho cấu trúc đó. Bạn nghĩ tại sao Quốc hội lại ban hành một đạo luật về cơ bản trùng lặp với quy định của SEC năm 2009? Liệu luật liên bang có khả năng làm hài lòng các cổ đông quan ngại về việc CEO kiểm soát hội đồng quản trị doanh nghiệp hay không? Bất kể yêu cầu công bố đến từ Quốc hội hay SEC, tại sao việc công bố lại có thể thay đổi thông lệ phổ biến là kết hợp hai vị trí này?</w:t>
      </w:r>
    </w:p>
    <w:p>
      <w:pPr>
        <w:spacing w:after="80"/>
      </w:pPr>
      <w:r>
        <w:rPr>
          <w:b w:val="0"/>
          <w:i w:val="0"/>
        </w:rPr>
        <w:t>5. Các khảo sát cho thấy việc kết hợp vai trò CEO và chủ tịch hội đồng vẫn còn phổ biến ở các công ty đại chúng lớn. Năm 2015, 48 phần trăm các công ty thuộc S&amp;P 500 đã tách biệt vai trò chủ tịch hội đồng và CEO cho hai cá nhân khác nhau. Tuy nhiên, mười năm trước đó, chỉ 29 phần trăm các công ty S&amp;P 500 vào năm 2005 tách biệt các vị trí này. Việc một doanh nghiệp Hoa Kỳ có chủ tịch hội đồng độc lập hay không có thể liên quan đến quy mô của công ty. Các công ty nhỏ hơn có xu hướng tách biệt vai trò chủ tịch hội đồng và CEO nhiều hơn. Bạn có thể nghĩ ra lời giải thích nào cho sự khác biệt trong thông lệ giữa các công ty đại chúng có quy mô khác nhau không? Các công ty đã tách biệt các vị trí này thường thực hiện chuyển đổi trong quá trình kế nhiệm CEO hoặc một thay đổi kinh doanh quan trọng khác. Bạn nghĩ tại sao các công ty lại thích chờ đợi một sự kiện chuyển đổi nào đó để thay đổi cấu trúc lãnh đạo hội đồng quản trị của mình?</w:t>
      </w:r>
    </w:p>
    <w:p>
      <w:pPr>
        <w:spacing w:after="80"/>
      </w:pPr>
      <w:r>
        <w:rPr>
          <w:b w:val="0"/>
          <w:i w:val="0"/>
        </w:rPr>
        <w:t>6. Các đề xuất của cổ đông nhằm tách biệt vai trò CEO và chủ tịch hội đồng thường không giành được sự ủng hộ đa số. Ví dụ, chủ tịch kiêm CEO của JP Morgan Chase là Jamie Dimon đã giữ cả hai chức danh của mình vào năm 2013, đây là năm thứ hai liên tiếp các cổ đông hoạt động không giành được sự ủng hộ đa số cho việc bổ nhiệm một chủ tịch hội đồng độc lập. Trên thực tế, chưa đến một phần ba cổ đông bỏ phiếu ủng hộ đề xuất này (giảm từ 40 phần trăm của năm trước) sau khi Dimon đe dọa từ chức nếu biện pháp này được thông qua. Trong những năm gần đây, các công ty nổi tiếng khác, như Bank of America và Disney, đã tái kết hợp vai trò CEO và chủ tịch hội đồng. Các công ty này nhấn mạnh sự thiếu vắng nghiên cứu chứng minh rằng việc bổ nhiệm chủ tịch hội đồng độc lập giúp cải thiện hiệu quả tài chính của công ty.</w:t>
      </w:r>
    </w:p>
    <w:p>
      <w:pPr>
        <w:spacing w:after="80"/>
      </w:pPr>
      <w:r>
        <w:rPr>
          <w:b w:val="0"/>
          <w:i w:val="0"/>
        </w:rPr>
        <w:t>7. Như tại JP Morgan Chase, các công ty kết hợp vị trí chủ tịch hội đồng và CEO vẫn bổ nhiệm một thành viên hội đồng độc lập, không thuộc ban điều hành, để làm giám đốc chính (lead director). Thật vậy, một khảo sát gần đây báo cáo rằng chỉ có tám doanh nghiệp S&amp;P 500 thiếu một hình thức lãnh đạo hội đồng độc lập nào đó, hoặc là chủ tịch hội đồng độc lập hoặc là giám đốc chính độc lập. Một số ưu điểm và nhược điểm của cấu trúc giám đốc chính là gì? Liệu sự phổ biến của các giám đốc chính có thể làm giảm áp lực buộc các công ty đại chúng phải tách biệt vai trò CEO và chủ tịch hội đồng hay không?</w:t>
      </w:r>
    </w:p>
    <w:p>
      <w:pPr>
        <w:spacing w:after="80"/>
      </w:pPr>
      <w:r>
        <w:rPr>
          <w:b w:val="0"/>
          <w:i w:val="0"/>
        </w:rPr>
        <w:t>8. Nếu một công ty niêm yết chỉ định một giám đốc chính, các quy định của NYSE yêu cầu công bố tên của người đó trong bản tuyên bố ủy quyền thường niên của công ty niêm yết. Ngoài ra, doanh nghiệp có thể công bố quy trình lựa chọn giám đốc chủ tọa cho mỗi phiên họp điều hành. Đối với các công ty có chủ tịch hội đồng kiêm CEO, việc bổ nhiệm một giám đốc chính giúp tuân thủ quy định của NYSE yêu cầu các phiên họp điều hành định kỳ của các giám đốc không thuộc ban điều hành mà không có sự hiện diện của ban điều hành. Mặc dù không yêu cầu các công ty niêm yết của mình phải bổ nhiệm một giám đốc chính độc lập, bạn có thấy được cách các quy định của NYSE đã khuyến khích các công ty làm điều đó không?</w:t>
      </w:r>
    </w:p>
    <w:p>
      <w:pPr>
        <w:spacing w:after="80"/>
      </w:pPr>
      <w:r>
        <w:rPr>
          <w:b w:val="0"/>
          <w:i w:val="0"/>
        </w:rPr>
        <w:t>Các tiêu chuẩn niêm yết còn quy định rằng các công ty nên tổ chức một phiên họp điều hành, chỉ bao gồm các giám đốc độc lập, ít nhất mỗi năm một lần. Mục đích của việc bắt buộc các cuộc họp bổ sung này là “trao quyền cho các giám đốc không thuộc ban điều hành để họ trở thành một cơ chế kiểm soát hiệu quả hơn đối với ban điều hành.” Làm thế nào các giám đốc không thuộc ban điều hành có thể thực hiện trách nhiệm giám sát của mình một cách khác biệt khi không có sự hiện diện của CEO hoặc các giám đốc điều hành cấp cao khác? Hơn nữa, NYSE đặc biệt chỉ thị rằng “một giám đốc độc lập phải chủ tọa mỗi phiên họp điều hành của các giám đốc độc lập. . . .” Các chuyên gia quản trị công ty khuyên rằng điều lệ công ty nên mô tả quy trình triệu tập cả các phiên họp điều hành theo lịch trình và đột xuất. Tại sao các chuyên gia quản trị lại khuyên hội đồng quản trị tổ chức các phiên họp điều hành theo định kỳ, có lịch trình — thay vì theo kiểu “khi cần thiết”?</w:t>
      </w:r>
    </w:p>
    <w:p>
      <w:pPr>
        <w:spacing w:after="80"/>
      </w:pPr>
      <w:r>
        <w:rPr>
          <w:b w:val="0"/>
          <w:i w:val="0"/>
        </w:rPr>
        <w:t>9. Các câu hỏi lặp đi lặp lại đã nảy sinh về việc lựa chọn, chức năng và thẩm quyền của các giám đốc chính. Thông thường nhất, các giám đốc độc lập bổ nhiệm một cá nhân từ trong hàng ngũ của mình để làm giám đốc chính với nhiệm kỳ không xác định hoặc nhiệm kỳ một năm. Các khảo sát gần đây cho thấy các giám đốc chính thường đã phục vụ trong hội đồng quản trị từ năm năm trở lên. Ngoài việc chủ tọa các phiên họp điều hành của các giám đốc độc lập đồng nghiệp, các giám đốc chính không có nhiệm vụ được quy định cụ thể, và trách nhiệm của họ thay đổi tùy theo từng công ty. Một số công ty giao cho giám đốc chính thẩm quyền triệu tập các cuộc họp hội đồng quản trị, và giám đốc chính cũng có thể tham gia vào việc thiết lập chương trình nghị sự của cuộc họp hội đồng quản trị. Giám đốc chính nên đóng vai trò gì trong quản trị công ty? Liệu pháp luật có nên quy định tính chuẩn hóa cao hơn về vấn đề này không?</w:t>
      </w:r>
    </w:p>
    <w:p>
      <w:pPr>
        <w:pStyle w:val="Heading2"/>
      </w:pPr>
      <w:r>
        <w:rPr>
          <w:rFonts w:ascii="Calibri" w:hAnsi="Calibri"/>
          <w:b/>
          <w:i w:val="0"/>
          <w:sz w:val="32"/>
        </w:rPr>
        <w:t>V. Các Ủy ban của Hội đồng quản trị</w:t>
      </w:r>
    </w:p>
    <w:p>
      <w:pPr>
        <w:spacing w:after="80"/>
      </w:pPr>
      <w:r>
        <w:rPr>
          <w:b w:val="0"/>
          <w:i w:val="0"/>
        </w:rPr>
        <w:t>Mặc dù thường nói về các quyết định của hội đồng quản trị (và các giám đốc chỉ có thể hành động tập thể để ràng buộc công ty), hội đồng quản trị thường thực hiện trách nhiệm quản trị của mình thông qua các ủy ban. Luật Doanh nghiệp Tổng hợp của Delaware trao quyền cho hội đồng quản trị bổ nhiệm các ủy ban và giao phó cho họ một loạt trách nhiệm rộng rãi. Del. Gen. Corp. L. § 141. Ngày nay, hội đồng quản trị của các công ty đại chúng dựa rất nhiều vào công việc của các ủy ban. Thật vậy, trong số những đổi mới quan trọng nhất trong quản trị hội đồng quản trị là (1) việc thiết lập các ủy ban thường trực của hội đồng quản trị được giao các chức năng cụ thể, và (2) việc bổ nhiệm các ủy ban đặc biệt của hội đồng quản trị được giao nhiệm vụ điều tra và quyết định các câu hỏi pháp lý hoặc giao dịch cụ thể.</w:t>
      </w:r>
    </w:p>
    <w:p>
      <w:pPr>
        <w:spacing w:after="80"/>
      </w:pPr>
      <w:r>
        <w:rPr>
          <w:b w:val="0"/>
          <w:i w:val="0"/>
        </w:rPr>
        <w:t>Ngoài ủy ban điều hành, các ủy ban thường trực chính của hội đồng quản trị bao gồm ủy ban kiểm toán, ủy ban lương thưởng, và ủy ban đề cử/quản trị. Hội đồng quản trị của hầu hết các tổ chức tài chính cũng sử dụng các ủy ban đánh giá rủi ro. Phần lớn công việc giám sát của hội đồng quản trị diễn ra thông qua các ủy ban thường trực của mình, và các giám đốc bên ngoài thường ngồi trong ít nhất một ủy ban như vậy. Theo các thông lệ tốt nhất, mỗi ủy ban thường trực do một giám đốc không thuộc ban điều hành làm chủ tịch và có đội ngũ là các giám đốc không thuộc ban điều hành (độc lập). Nếu ủy ban bao gồm các giám đốc thuộc ban điều hành, các giám đốc không thuộc ban điều hành có thể họp trong các phiên họp ủy ban điều hành để tạo cơ hội thảo luận thẳng thắn về những vấn đề (như hiệu quả hoạt động của CEO) mà sự hiện diện của ban điều hành nếu không sẽ cản trở.</w:t>
      </w:r>
    </w:p>
    <w:p>
      <w:pPr>
        <w:spacing w:after="80"/>
      </w:pPr>
      <w:r>
        <w:rPr>
          <w:b w:val="0"/>
          <w:i w:val="0"/>
        </w:rPr>
        <w:t>Sau Enron, các ủy ban của hội đồng quản trị và các quy trình liên quan ngày càng bị soi xét kỹ lưỡng. Các doanh nghiệp đã thuê các chuyên gia quản trị để hướng dẫn các thành viên hội đồng quản trị cách thực hiện tốt hơn trách nhiệm của ủy ban mình. Các hội đồng quản trị đã thông qua điều lệ cho mỗi ủy ban thường trực, xác định vai trò, trách nhiệm và thông lệ của ủy ban, và các công ty đại chúng ngày nay thường công khai điều lệ ủy ban hội đồng quản trị của mình. Các giám đốc bên ngoài có thể chia sẻ các thông lệ ủy ban tốt nhất từ hội đồng quản trị này sang hội đồng quản trị khác, truyền đạt thông tin và chuẩn mực từ công ty này sang công ty khác. Về lý thuyết, chức năng kết nối mạng lưới này cải thiện việc quản trị của các công ty đại chúng.</w:t>
      </w:r>
    </w:p>
    <w:p>
      <w:pPr>
        <w:spacing w:after="80"/>
      </w:pPr>
      <w:r>
        <w:rPr>
          <w:b w:val="0"/>
          <w:i w:val="0"/>
        </w:rPr>
        <w:t>Ủy ban thường trực được thành lập sớm nhất—và cũng là ủy ban cấp hội đồng quản trị chịu sự điều chỉnh nhiều nhất—chính là ủy ban kiểm toán. Ủy ban kiểm toán có những trách nhiệm đặc biệt trong việc giám sát độ tin cậy của báo cáo tài chính doanh nghiệp và hoạt động kiểm toán. Các cơ quan quản lý đã cân nhắc đề xuất bắt buộc thành lập ủy ban kiểm toán từ tận năm 1939. Năm 1974, SEC ban hành quy định yêu cầu các công ty đại chúng phải công bố liệu hội đồng quản trị có thành lập ủy ban kiểm toán hay không. Bốn năm sau, Ủy ban này công bố hướng dẫn về chức năng của ủy ban kiểm toán. NYSE bắt đầu yêu cầu thành lập ủy ban kiểm toán vào năm 1977. Thật vậy, đến năm 1979, gần như tất cả các công ty niêm yết trên NYSE đều có ủy ban kiểm toán, và với 92 phần trăm số công ty, thành viên ủy ban kiểm toán là các giám đốc không thuộc ban điều hành. Đến cuối thập niên 1980, NASDAQ và Amex cũng đưa ra các yêu cầu về ủy ban kiểm toán.</w:t>
      </w:r>
    </w:p>
    <w:p>
      <w:pPr>
        <w:spacing w:after="80"/>
      </w:pPr>
      <w:r>
        <w:rPr>
          <w:b w:val="0"/>
          <w:i w:val="0"/>
        </w:rPr>
        <w:t>Năm 2002, tính thống nhất và tính độc lập cao hơn được áp đặt bằng sắc lệnh lập pháp liên bang. SOX yêu cầu các công ty đại chúng phải thành lập ủy ban kiểm toán như một điều kiện để niêm yết trên sàn chứng khoán. Ủy ban kiểm toán phải bao gồm hoàn toàn các giám đốc độc lập. Hơn nữa, SOX yêu cầu các công ty phải đưa vào ủy ban kiểm toán một hoặc nhiều giám đốc có chuyên môn tài chính. SOX cũng quy định rằng ủy ban kiểm toán phải đảm nhận toàn bộ trách nhiệm về mối quan hệ của công ty với kiểm toán viên bên ngoài và các chính sách kiểm toán của công ty. Ở các công ty niêm yết, chính ủy ban kiểm toán có thẩm quyền thuê, trả thù lao, giám sát và sa thải kiểm toán viên bên ngoài. Ngoài ra, ủy ban kiểm toán có thể xem xét các thông lệ quản lý rủi ro, việc tuân thủ luật pháp và quy định, cùng các chức năng kiểm toán về an toàn và môi trường.</w:t>
      </w:r>
    </w:p>
    <w:p>
      <w:pPr>
        <w:spacing w:after="80"/>
      </w:pPr>
      <w:r>
        <w:rPr>
          <w:b w:val="0"/>
          <w:i w:val="0"/>
        </w:rPr>
        <w:t>Các ủy ban thù lao cũng đã trở nên được sử dụng rộng rãi trong hai thập kỷ qua. SEC không yêu cầu công bố thông tin về ủy ban thù lao hay thành viên của nó cho đến năm 1992. Trước đó, việc các giám đốc thuộc ban điều hành ngồi trong ủy ban thù lao là chuyện phổ biến, mặc dù các giám đốc bên ngoài thường chiếm đa số trong ủy ban. Tuy nhiên, sau vụ Enron, các sàn chứng khoán đã buộc các công ty niêm yết phải bố trí ủy ban thù lao chỉ gồm các giám đốc độc lập. Đạo luật Dodd-Frank khẳng định sự đồng thuận của Quốc hội với yêu cầu này đối với hầu hết các công ty đại chúng.</w:t>
      </w:r>
    </w:p>
    <w:p>
      <w:pPr>
        <w:spacing w:after="80"/>
      </w:pPr>
      <w:r>
        <w:rPr>
          <w:b w:val="0"/>
          <w:i w:val="0"/>
        </w:rPr>
        <w:t>Ủy ban thù lao nghiên cứu, thảo luận và đưa ra khuyến nghị cho toàn thể hội đồng quản trị về cách thức và mức độ trả thù lao cho CEO, các giám đốc điều hành doanh nghiệp và các thành viên khác trong đội ngũ điều hành cấp cao của CEO. Ủy ban cũng thiết lập các hướng dẫn về hiệu suất cho CEO rồi đánh giá hiệu suất của CEO dựa trên các tiêu chuẩn này. Cuối cùng, ủy ban thù lao sẽ đưa ra khuyến nghị cho hội đồng quản trị về thù lao của các giám đốc bên ngoài.</w:t>
      </w:r>
    </w:p>
    <w:p>
      <w:pPr>
        <w:spacing w:after="80"/>
      </w:pPr>
      <w:r>
        <w:rPr>
          <w:b w:val="0"/>
          <w:i w:val="0"/>
        </w:rPr>
        <w:t>Vay mượn từ mô hình luật định được SOX áp dụng cho các ủy ban kiểm toán, Dodd-Frank cho phép các ủy ban thù lao được lựa chọn và giữ lại bất kỳ chuyên gia tư vấn nào được dùng để cố vấn cho họ trong việc xác định thù lao điều hành. Quốc hội muốn các ủy ban thù lao cấp hội đồng quản trị nhận được lời khuyên khách quan từ các chuyên gia độc lập với ban điều hành.</w:t>
      </w:r>
    </w:p>
    <w:p>
      <w:pPr>
        <w:spacing w:after="80"/>
      </w:pPr>
      <w:r>
        <w:rPr>
          <w:b w:val="0"/>
          <w:i w:val="0"/>
        </w:rPr>
        <w:t>Để đáp lại áp lực từ cổ đông đòi có tiếng nói nhiều hơn trong việc bầu chọn giám đốc, các ủy ban đề cử cấp hội đồng quản trị (sẽ được thảo luận riêng bên dưới) đã ngày càng trở nên phổ biến trong hai thập kỷ qua. Các công ty niêm yết trên NYSE phải thành lập một ủy ban đề cử bao gồm hoàn toàn các giám đốc độc lập. Các quy định của Nasdaq không bắt buộc phải có ủy ban đề cử, nhưng nếu một công ty niêm yết trên Nasdaq không thành lập ủy ban như vậy, thì các giám đốc độc lập chiếm đa số trong số các giám đốc độc lập của hội đồng quản trị phải lựa chọn hoặc đề xuất ứng viên cho hội đồng quản trị. Mỗi công ty cũng phải có một điều lệ chính thức bằng văn bản hoặc các nghị quyết của hội đồng quản trị đề cập đến quy trình đề cử.</w:t>
      </w:r>
    </w:p>
    <w:p>
      <w:pPr>
        <w:spacing w:after="80"/>
      </w:pPr>
      <w:r>
        <w:rPr>
          <w:b w:val="0"/>
          <w:i w:val="0"/>
        </w:rPr>
        <w:t>Ủy ban đề cử xác định, phỏng vấn, tuyển mộ và đề cử các thành viên mới cho hội đồng quản trị. Giống như ủy ban kiểm toán và ủy ban thù lao, ủy ban đề cử sẽ tham khảo ý kiến các chuyên gia bên ngoài (các công ty săn đầu người) để được tư vấn. Các ủy ban đề cử thường đảm nhận thêm các trách nhiệm quản trị; ủy ban đề cử và quản trị doanh nghiệp hiện nay thường đảm nhận vai trò chủ đạo trong một loạt các vấn đề quản trị doanh nghiệp, bao gồm việc xây dựng và triển khai các hướng dẫn quản trị doanh nghiệp, thiết lập tiêu chí giám đốc và xem xét ứng viên, đánh giá hiệu suất của chính hội đồng quản trị và các ủy ban của nó, xem xét các đề xuất của cổ đông và, trong một số trường hợp, lập kế hoạch kế nhiệm ban điều hành. Họ xây dựng các nguyên tắc quản trị doanh nghiệp, đề xuất phân công các ủy ban cấp hội đồng quản trị và giám sát việc đánh giá giám đốc. Ủy ban đề cử/quản trị doanh nghiệp có thể quyết định thù lao của giám đốc bên ngoài, nhưng ở một số công ty, ủy ban thù lao chịu trách nhiệm về lĩnh vực đó.</w:t>
      </w:r>
    </w:p>
    <w:p>
      <w:pPr>
        <w:spacing w:after="80"/>
      </w:pPr>
      <w:r>
        <w:rPr>
          <w:b w:val="0"/>
          <w:i w:val="0"/>
        </w:rPr>
        <w:t>NYSE và NASDAQ yêu cầu các công ty niêm yết phải thông qua và công bố các quy tắc ứng xử và đạo đức kinh doanh cho giám đốc, cán bộ điều hành và nhân viên. Ngoài ra, các công ty niêm yết trên NYSE phải thông qua và công bố các hướng dẫn quản trị doanh nghiệp đề cập đến các tiêu chuẩn về trình độ giám đốc, trách nhiệm, quyền tiếp cận ban điều hành và (khi thích hợp) các cố vấn độc lập, thù lao, việc định hướng và đào tạo liên tục cho giám đốc, đánh giá hiệu suất hội đồng quản trị hằng năm, và kế nhiệm. Các tiêu chuẩn niêm yết của NASDAQ không đề cập gì đến các hướng dẫn quản trị doanh nghiệp.</w:t>
      </w:r>
    </w:p>
    <w:p>
      <w:pPr>
        <w:spacing w:after="80"/>
      </w:pPr>
      <w:r>
        <w:rPr>
          <w:b w:val="0"/>
          <w:i w:val="0"/>
        </w:rPr>
        <w:t>Hình mẫu cho ủy ban cấp hội đồng quản trị hoàn toàn độc lập là “ủy ban đặc biệt”, một ủy ban được thành lập trong những tình huống mà lợi ích của ban điều hành xung đột trực tiếp nhất với lợi ích của công ty và các cổ đông. Bắt đầu từ thập niên 1970, sáng kiến về cơ cấu này đã được các giám đốc sử dụng rộng rãi khi quyết định hai loại vấn đề. Thứ nhất, các hội đồng quản trị thành lập ủy ban đặc biệt để xem xét một số giao dịch thay đổi quyền kiểm soát nhất định. Những giao dịch này bao gồm các thương vụ mua lại bởi ban điều hành, trong đó ban điều hành là một phần của nhóm tìm cách mua lại phần vốn cổ phần của các cổ đông đại chúng; hoặc một thương vụ sáp nhập giữa công ty mẹ và công ty con, trong đó người ta giả định rằng lòng trung thành của ban điều hành mục tiêu có khả năng hướng về phía cổ đông kiểm soát, người đã bổ nhiệm họ. Một trường hợp khác là vụ kiện của cổ đông (shareholder derivative suit), trong đó các cán bộ điều hành và giám đốc bị cáo buộc vi phạm nghĩa vụ ủy thác đối với công ty.</w:t>
      </w:r>
    </w:p>
    <w:p>
      <w:pPr>
        <w:spacing w:after="80"/>
      </w:pPr>
      <w:r>
        <w:rPr>
          <w:b w:val="0"/>
          <w:i w:val="0"/>
        </w:rPr>
        <w:t>Tính độc lập trên danh nghĩa của các ủy ban đặc biệt được củng cố bằng việc họ giữ lại các cố vấn độc lập, đặc biệt là cố vấn pháp lý độc lập. Những cố vấn độc lập như vậy, với lòng trung thành hướng về ủy ban đặc biệt chứ không phải ban điều hành, có thể dẫn dắt quy trình và thúc đẩy ý thức độc lập cao hơn nơi các thành viên ủy ban đặc biệt. Tuy nhiên, các quy trình mà ủy ban đặc biệt sử dụng, chẳng hạn như thẩm quyền của ủy ban trong việc giữ lại các cố vấn chuyên môn của riêng mình, dường như ít có tác động đến thông lệ hội đồng quản trị đang diễn ra. Thông thường nhất, các ủy ban đặc biệt được thành lập và triệu tập trong các tình huống “giai đoạn cuối”, sau đó ủy ban đặc biệt bị giải thể. Hơn nữa, quyền lực tiềm tàng được thực thi bởi một ủy ban đặc biệt được cố vấn bởi các chuyên gia bên ngoài của riêng mình đã được ban điều hành doanh nghiệp hiểu rõ và, trong một số trường hợp, bị phản đối mạnh mẽ. Tuy vậy, những bài học rút ra từ các ủy ban đặc biệt là nền tảng cho các thông lệ tốt nhất đương đại cũng như một số quy định đương đại nhất định, chẳng hạn như những quy định trao cho ủy ban kiểm toán quyền kiểm soát việc làm của kiểm toán viên và trao cho ủy ban kiểm toán quyền thuê cố vấn riêng và các cố vấn khác.</w:t>
      </w:r>
    </w:p>
    <w:p>
      <w:pPr>
        <w:pStyle w:val="Heading2"/>
      </w:pPr>
      <w:r>
        <w:rPr>
          <w:rFonts w:ascii="Calibri" w:hAnsi="Calibri"/>
          <w:b/>
          <w:i w:val="0"/>
          <w:sz w:val="32"/>
        </w:rPr>
        <w:t>VI. Lựa chọn giám đốc</w:t>
      </w:r>
    </w:p>
    <w:p>
      <w:pPr>
        <w:spacing w:after="80"/>
      </w:pPr>
      <w:r>
        <w:rPr>
          <w:b w:val="0"/>
          <w:i w:val="0"/>
        </w:rPr>
        <w:t>Mặc dù cổ đông bầu chọn giám đốc (và các bộ luật công ty của tiểu bang quy định quyền biểu quyết của cổ phần), cả Luật Công ty Đại cương Delaware lẫn Đạo luật Công ty Kinh doanh Mẫu đều không đề cập rõ ràng đến quyền đề cử. Sự thiếu sót này là quan trọng ở chỗ các giám đốc được chọn để phục vụ chắc chắn có ảnh hưởng đến hiệu suất của hội đồng quản trị. Trên thực tế, hội đồng quản trị thực thi quyền kiểm soát đáng kể đối với các cuộc bầu cử hội đồng quản trị bằng cách đề cử danh sách ứng viên để cổ đông xem xét và phê duyệt tại đại hội thường niên của họ. Hầu hết các danh sách do các hội đồng quản trị đương nhiệm đề cử đều tranh cử mà không có đối thủ. Hơn nữa, các CEO của công ty đại chúng có ảnh hưởng—nếu không muốn nói là quyết định hoàn toàn—đối với những cá nhân được đề cử vào ghế hội đồng quản trị.</w:t>
      </w:r>
    </w:p>
    <w:p>
      <w:pPr>
        <w:spacing w:after="80"/>
      </w:pPr>
      <w:r>
        <w:rPr>
          <w:b w:val="0"/>
          <w:i w:val="0"/>
        </w:rPr>
        <w:t>Do đó, những người chỉ trích từ lâu đã đặt câu hỏi liệu các giám đốc được lựa chọn bởi các hội đồng quản trị gồm các giám đốc đương nhiệm có hành động như những người giám sát và đánh giá hiệu quả đối với các CEO và đội ngũ điều hành của họ hay không. Ở chừng mực mà CEO quyết định, hoặc ít nhất là gây ảnh hưởng đến việc giữ lại các thành viên hội đồng quản trị, thì lý trí cho thấy rằng sự tham gia của các CEO vào quy trình lựa chọn sẽ định hình hành vi của các giám đốc. Những giám đốc về cơ bản được CEO chọn lựa kỹ càng có thể cảm thấy chút lòng trung thành, thậm chí lòng biết ơn, đối với người đã hậu thuẫn mình và, liên quan đến điều đó, một nghĩa vụ phải ủng hộ ông ta. Cảm giác trung thành của các giám đốc, khi đó, có thể làm suy yếu việc giám sát và kỷ luật của họ đối với CEO. Ở chừng mực mà thù lao, địa vị và các lợi ích khác của việc phục vụ trong hội đồng quản trị thúc đẩy các giám đốc tìm kiếm việc tái bổ nhiệm cho các nhiệm kỳ bổ sung, họ có thêm động lực để đáp đền. Cuối cùng, các giám đốc bên ngoài đương nhiên có thể trở nên trung thành hơn với CEO theo thời gian. Mặt khác, một giám đốc mà việc thực thi phán đoán “độc lập” đã làm CEO bực bội có thể nhận được một lời đề nghị lịch sự rút lui khỏi việc tái bầu cử. Nói đơn giản, các giám đốc có thể kiềm chế không phản đối hoặc không làm xa cách CEO vì sợ rằng họ sẽ không được tái bổ nhiệm.</w:t>
      </w:r>
    </w:p>
    <w:p>
      <w:pPr>
        <w:spacing w:after="80"/>
      </w:pPr>
      <w:r>
        <w:rPr>
          <w:b w:val="0"/>
          <w:i w:val="0"/>
        </w:rPr>
        <w:t>Trong hơn 50 năm, ban điều hành đã thành công trong việc chống lại các cải cách có ý nghĩa được thiết kế để tăng ảnh hưởng của cổ đông đối với việc lựa chọn giám đốc. Cụ thể, ban điều hành đã kịch liệt phản đối các đề xuất trao cho các cổ đông bất đồng chính kiến “quyền truy cập proxy” (proxy access), nghĩa là quyền đưa vào tài liệu proxy của công ty một danh sách ứng viên giám đốc thay thế để cổ đông xem xét. Mặc dù việc trao cho cổ đông quyền trình bày các ứng viên của riêng họ trên proxy của công ty rẻ hơn đáng kể so với việc tiến hành (hoặc phòng thủ trước) một cuộc tranh giành proxy, các cán bộ điều hành và giám đốc của các công ty đại chúng đã hai lần thuyết phục được SEC, lần đầu vào giữa thế kỷ XX và lần nữa vào thập niên 2000, cấm cổ đông truy cập proxy của công ty. Tuy nhiên, về cơ bản, trừ khi công ty cung cấp cho cổ đông quyền truy cập theo cách khác, những người bất đồng chính kiến phải tiến hành một cuộc tranh giành proxy nếu họ muốn đề cử ứng viên để bầu vào hội đồng quản trị của công ty. Chúng ta sẽ xem xét quyền truy cập proxy và các cuộc tranh cử một cách khá sâu trong Chương 8.</w:t>
      </w:r>
    </w:p>
    <w:p>
      <w:pPr>
        <w:spacing w:after="80"/>
      </w:pPr>
      <w:r>
        <w:rPr>
          <w:b w:val="0"/>
          <w:i w:val="0"/>
        </w:rPr>
        <w:t>Chi phí và rủi ro pháp lý gắn liền với các cuộc tranh giành proxy ngăn cản hầu hết cổ đông thách thức các cuộc bầu cử giám đốc. Trở ngại đáng kể nhất đối với những người bất đồng chính kiến là chi phí—bao gồm chi phí tuân thủ các quy tắc proxy của SEC và đặc biệt là chi phí in ấn, gửi thư và quảng bá—để tiến hành một cuộc tranh cử tại một công ty thuộc sở hữu đại chúng. Các quy tắc tài chính tranh cử ban đầu được ban hành vào thập niên 1950 vẫn ủng hộ mạnh mẽ những người đương nhiệm thuộc ban điều hành: các cổ đông bất đồng chính kiến phải tự bỏ tiền túi để tài trợ cho chiến dịch của mình, trong khi những người đương nhiệm thuộc ban điều hành thực tế có quyền truy cập không giới hạn vào ngân quỹ công ty. Trên thực tế, những người bất đồng chính kiến sẽ chỉ được hoàn trả chi phí nếu họ giành được quyền kiểm soát hội đồng quản trị. Các đề xuất sau đó về việc hoàn trả có điều kiện (ví dụ, dựa trên tỷ lệ phiếu bầu mà người bất đồng chính kiến nhận được) cũng đã thất bại. Những người thách thức cũng phải đối mặt với trách nhiệm pháp lý đối với bất kỳ tuyên bố sai lệch hoặc gây nhầm lẫn nào trong tài liệu proxy. Vì những lý do này, cùng những lý do khác được khám phá trong các chương sau, các danh sách do các hội đồng quản trị đương nhiệm đề cử thường tranh cử mà không có đối thủ.</w:t>
      </w:r>
    </w:p>
    <w:p>
      <w:pPr>
        <w:spacing w:after="80"/>
      </w:pPr>
      <w:r>
        <w:rPr>
          <w:b w:val="0"/>
          <w:i w:val="0"/>
        </w:rPr>
        <w:t>Mặt khác, việc sử dụng ngày càng nhiều các ủy ban đề cử cấp hội đồng quản trị, và thông lệ ngày càng phổ biến là chỉ bố trí các giám đốc không thuộc ban điều hành vào những ủy ban đó, có thể đã cải thiện quy trình lựa chọn. Năm 1979, chỉ 19 phần trăm số công ty được lấy mẫu trong một nghiên cứu của SEC có ủy ban đề cử cấp hội đồng quản trị thường trực; một nghiên cứu tiếp theo của SEC cho thấy con số tăng lên 30 phần trăm hai năm sau đó; năm 1989, một nghiên cứu của Korn/Ferry báo cáo rằng 57 phần trăm số công ty trả lời có ủy ban đề cử. Tính đến năm 1992, khi ALI công bố Nguyên tắc Quản trị Doanh nghiệp của mình, thông lệ tốt nhất đòi hỏi phải bổ nhiệm các ủy ban đề cử chỉ gồm các giám đốc không thuộc ban điều hành.</w:t>
      </w:r>
    </w:p>
    <w:p>
      <w:pPr>
        <w:spacing w:after="80"/>
      </w:pPr>
      <w:r>
        <w:rPr>
          <w:b w:val="0"/>
          <w:i w:val="0"/>
        </w:rPr>
        <w:t>Trong hơn một thập kỷ nay, NYSE đã yêu cầu hội đồng quản trị của các công ty đại chúng niêm yết phải sử dụng các ủy ban đề cử (nominating committees), với thành viên hoàn toàn là các giám đốc độc lập, để lựa chọn giám đốc. Định nghĩa về tính độc lập của NYSE không chỉ loại trừ các cán bộ điều hành mà còn loại trừ hầu hết các giám đốc có liên kết với công ty. Ngoài ra, các quy định được SEC ban hành năm 2004 yêu cầu các công ty đại chúng phải công bố các thông lệ của ủy ban đề cử, bao gồm những phẩm chất mà ủy ban đề cử coi là thiết yếu và quy trình mà ủy ban sử dụng để tìm kiếm và thẩm định các ứng viên cho hội đồng quản trị. Bằng cách biết được các thủ tục này, cổ đông có thể tham gia nhiều hơn vào việc đề xuất ứng viên giám đốc, và CEO có thể ít gây ảnh hưởng hơn đến quy trình này. Cổ đông có thể đề xuất các ứng viên tiềm năng cho ủy ban đề cử, xác định những ứng viên chính danh tiềm năng cho ủy ban. Bằng cách này, ủy ban đề cử có thể biết đến những cá nhân khác có đủ năng lực và cam kết phục vụ lợi ích tốt nhất của công ty và cổ đông.</w:t>
      </w:r>
    </w:p>
    <w:p>
      <w:pPr>
        <w:spacing w:after="80"/>
      </w:pPr>
      <w:r>
        <w:rPr>
          <w:b w:val="0"/>
          <w:i w:val="0"/>
        </w:rPr>
        <w:t>Tuy nhiên, không rõ rằng các ủy ban đề cử gồm các giám đốc bên ngoài đã làm giảm ảnh hưởng của ban điều hành đối với việc lựa chọn ứng viên hay chưa. Không có điều gì trong các tiêu chuẩn niêm yết yêu cầu hội đồng quản trị phải loại ban điều hành khỏi việc tham gia vào quy trình lựa chọn. Các ủy ban đề cử có thể tham vấn và chấp nhận người được đề cử từ các CEO. Các CEO có khả năng vẫn tích cực trong việc đề xuất cá nhân cho các vị trí giám đốc còn trống, thẩm định các giám đốc tiềm năng với ủy ban đề cử, và chiêu mộ những ứng viên ưa thích của họ tham gia vào hội đồng quản trị "của họ". Các CEO cũng có thể tham gia vào việc thuê các công ty săn đầu người điều hành để xác định và chiêu mộ ứng viên thay mặt cho ủy ban đề cử. Mặt khác, các ủy ban đề cử có thể nỗ lực ngăn chặn các CEO trả đũa những người không tuân theo khuôn khổ.</w:t>
      </w:r>
    </w:p>
    <w:p>
      <w:pPr>
        <w:spacing w:after="80"/>
      </w:pPr>
      <w:r>
        <w:rPr>
          <w:b w:val="0"/>
          <w:i w:val="0"/>
        </w:rPr>
        <w:t>Hơn nữa, bất chấp việc phản đối các đề xuất cải cách lẽ ra đã cho phép cổ đông tiếp cận tài liệu ủy quyền (proxy) của công ty, một số công ty đại chúng đã tự nguyện áp dụng các tiêu chuẩn bỏ phiếu đa số cho việc bầu cử giám đốc, tăng cường khả năng của cổ đông trong việc loại bỏ những giám đốc không đáp ứng yêu cầu hoặc kém năng lực. Các công ty cũng đã phản hồi lại các cổ đông hoạt động (activist shareholders) và những người chỉ trích khác bằng cách sửa đổi điều lệ của họ để thực hiện các tiêu chuẩn bỏ phiếu đa số cho các cuộc bầu cử không cạnh tranh. Cuối cùng, các công ty có thể yêu cầu giám đốc nộp đơn từ chức nếu họ nhận được nhiều phiếu "giữ lại" (withheld) hoặc "chống" (against) hơn phiếu "thuận" (for) trong các cuộc bầu cử không cạnh tranh. Những giải pháp tự sắp xếp này và các phát triển liên quan, bao gồm các cải cách luật tiểu bang quan trọng cho phép cổ đông tiếp cận nếu điều lệ công ty quy định như vậy, được thảo luận chi tiết hơn trong Chương 7 và 8.</w:t>
      </w:r>
    </w:p>
    <w:p>
      <w:pPr>
        <w:pStyle w:val="Heading4"/>
      </w:pPr>
      <w:r>
        <w:rPr>
          <w:rFonts w:ascii="Calibri" w:hAnsi="Calibri"/>
          <w:b/>
          <w:i w:val="0"/>
          <w:sz w:val="23"/>
        </w:rPr>
        <w:t xml:space="preserve">Michael E. Murphy, </w:t>
      </w:r>
      <w:r>
        <w:rPr>
          <w:rFonts w:ascii="Calibri" w:hAnsi="Calibri"/>
          <w:b/>
          <w:i/>
          <w:sz w:val="23"/>
        </w:rPr>
        <w:t>The Nominating Process for Corporate</w:t>
      </w:r>
      <w:r>
        <w:br/>
      </w:r>
      <w:r>
        <w:rPr>
          <w:rFonts w:ascii="Calibri" w:hAnsi="Calibri"/>
          <w:b/>
          <w:i/>
          <w:sz w:val="23"/>
        </w:rPr>
        <w:t xml:space="preserve"> Boards of Directors: A Decision-Making Analysis</w:t>
      </w:r>
    </w:p>
    <w:p>
      <w:pPr>
        <w:spacing w:after="80"/>
      </w:pPr>
      <w:r>
        <w:rPr>
          <w:b w:val="0"/>
          <w:i w:val="0"/>
        </w:rPr>
        <w:t>5 Berkeley Bus. L.J. 131 (2008)</w:t>
      </w:r>
    </w:p>
    <w:p>
      <w:pPr>
        <w:spacing w:after="80"/>
      </w:pPr>
      <w:r>
        <w:rPr>
          <w:b w:val="0"/>
          <w:i w:val="0"/>
        </w:rPr>
        <w:t>Cho đến cuối những năm 1970, tương đối ít công ty có bất kỳ thủ tục chính thức nào để lựa chọn ứng viên cho hội đồng quản trị. Trong khi các cuộc bầu cử giám đốc phải tuân theo các thủ tục phức tạp do SEC và luật tiểu bang quy định, việc đề cử danh sách ứng viên được coi là đặc quyền cá nhân của CEO. Dựa trên các cuộc phỏng vấn vào cuối những năm 1960, Mace nhận xét: "Hầu hết các cán bộ điều hành được phỏng vấn đều xác nhận rằng việc lựa chọn giám đốc mới do chủ tịch kiểm soát và quyết định." Lý thuyết phổ biến thời đó là CEO cần xây dựng một đội ngũ hiệu quả và việc lựa chọn giám đốc là một phần của nhiệm vụ đó. Hai mươi năm sau, Lorsch và MacIver vẫn thấy nhiều CEO gọi hội đồng quản trị công ty là "các giám đốc của tôi".</w:t>
      </w:r>
    </w:p>
    <w:p>
      <w:pPr>
        <w:spacing w:after="80"/>
      </w:pPr>
      <w:r>
        <w:rPr>
          <w:b w:val="0"/>
          <w:i w:val="0"/>
        </w:rPr>
        <w:t>Ủy ban đề cử nổi lên như một đặc điểm phổ biến của quản trị công ty vào cuối những năm 1970, phần lớn là để phản ứng lại cuộc điều tra của SEC về sự tham gia của cổ đông vào quy trình bầu cử công ty. Các quy định ban hành năm 1978 yêu cầu công bố liệu một công ty có ủy ban đề cử hay không, liệu các thành viên của nó có độc lập với ban điều hành hay không, và liệu ủy ban có xem xét các đề xuất của cổ đông về giám đốc hay không, và nếu có thì các thủ tục cần tuân theo khi đưa ra những đề xuất như vậy. Khi đề xuất các quy định này, Ủy ban tuyên bố rằng họ tin "rằng việc thiết lập các ủy ban đề cử có thể đại diện cho một bước tiến quan trọng trong việc tăng cường sự tham gia của cổ đông vào quy trình bầu cử công ty."</w:t>
      </w:r>
    </w:p>
    <w:p>
      <w:pPr>
        <w:spacing w:after="80"/>
      </w:pPr>
      <w:r>
        <w:rPr>
          <w:b w:val="0"/>
          <w:i w:val="0"/>
        </w:rPr>
        <w:t>Theo các khảo sát của Conference Board [một tổ chức nghiên cứu về công ty cung cấp thông tin kinh tế và kinh doanh cho các thành viên], tỷ lệ công ty có ủy ban đề cử chỉ ở mức tám phần trăm vào năm 1971, tăng lên mười lăm phần trăm vào năm 1977, và tăng gần gấp đôi trong hai năm tiếp theo. Đến năm 1980, ba mươi hai phần trăm các công ty được khảo sát báo cáo có ủy ban đề cử. Nghiên cứu của Conference Board lưu ý rằng ban điều hành coi ủy ban đề cử là lựa chọn tốt hơn nhiều so với phương án cho cổ đông tiếp cận trực tiếp bộ máy ủy quyền. Về phía mình, SEC coi "việc sử dụng các ủy ban đề cử như một phương tiện để cổ đông tham gia" vào việc đề cử giám đốc. Như chúng ta đã thấy, báo cáo của nhân viên năm 1980 về sự tham gia của cổ đông vào quy trình bầu cử công ty đã hoãn việc xem xét đề cử giám đốc trực tiếp của cổ đông cho đến khi có nghiên cứu về "mức độ mà các ủy ban [đề cử] này đang xem xét các đề cử của cổ đông" — một nghiên cứu chưa bao giờ thành hiện thực.</w:t>
      </w:r>
    </w:p>
    <w:p>
      <w:pPr>
        <w:spacing w:after="80"/>
      </w:pPr>
      <w:r>
        <w:rPr>
          <w:b w:val="0"/>
          <w:i w:val="0"/>
        </w:rPr>
        <w:t>Một cuốn Cẩm nang dành cho Giám đốc Công ty (Corporate Director's Guidebook) do Ủy ban về Luật Công ty của ABA ban hành năm 1976 đã mô tả ủy ban đề cử là "kênh tiềm năng quan trọng nhất để cải thiện quản trị công ty." Bằng cách cung cấp một diễn đàn để cổ đông gửi đề xuất về giám đốc, ủy ban đề cử sẽ mang lại "một phương pháp hiệu quả và khả thi hơn để cho các cổ đông cá nhân tiếp cận quy trình đề cử so với một 'quyền' đề cử trực tiếp trong tài liệu ủy quyền của công ty." Viện Luật Hoa Kỳ (ALI) đã ban hành năm 1982 Dự thảo Tạm thời số 1 của Nguyên tắc Quản trị Công ty (Principles of Corporate Governance), ủng hộ lời kêu gọi của ABA về các ủy ban đề cử chỉ gồm các giám đốc không phải là cán bộ điều hành trong các công ty đại chúng lớn. Sử dụng thuật ngữ chính trị, một cố vấn của ALI, Joseph Hinsey, coi ủy ban đề cử như một cơ chế sàng lọc tương đương với đại cử tri đoàn (electoral college) như những người cha sáng lập ban đầu hình dung. Ông lập luận "rằng khái niệm ủy ban đề cử độc lập cung cấp một phản hồi hiệu quả cho cái được cho là sự xói mòn của cái gọi là dân chủ cổ đông mà các nhà cải cách công ty từ lâu đã than phiền." Ủy ban "cung cấp mối liên kết thiết yếu cho cả sự tham gia hiệu quả nhưng thiết thực của cổ đông vào quy trình bầu cử công ty và chức năng xem xét độc lập hiệu quả vốn là trọng tâm trong vai trò giám sát của hội đồng quản trị."</w:t>
      </w:r>
    </w:p>
    <w:p>
      <w:pPr>
        <w:spacing w:after="80"/>
      </w:pPr>
      <w:r>
        <w:rPr>
          <w:b w:val="0"/>
          <w:i w:val="0"/>
        </w:rPr>
        <w:t>Ủy ban đề cử trở nên phổ biến trong những năm 1980, mặc dù nó còn kém xa tầm nhìn được phản ánh trong các tuyên bố của ABA và ALI. Đến năm 1992, sáu mươi tư phần trăm các công ty được Conference Board khảo sát có ủy ban đề cử, nhưng ủy ban chỉ họp trung bình hai lần một năm ở các công ty lớn và thường chỉ một lần ở các công ty nhỏ hơn. Các ủy ban ngày càng gồm nhiều giám đốc độc lập, mặc dù CEO hoặc một cán bộ điều hành khác đôi khi là thành viên ủy ban. Dù sao đi nữa, như một cán bộ điều hành nhận xét, việc CEO là thành viên ủy ban phần lớn chỉ là vấn đề "hình thức" vì ông ấy làm việc chặt chẽ với các thành viên ủy ban trong việc xác định và phê duyệt ứng viên dù có là thành viên chính thức hay không.</w:t>
      </w:r>
    </w:p>
    <w:p>
      <w:pPr>
        <w:spacing w:after="80"/>
      </w:pPr>
      <w:r>
        <w:rPr>
          <w:b w:val="0"/>
          <w:i w:val="0"/>
        </w:rPr>
        <w:t>Nhưng tầm nhìn về ủy ban đề cử như một phương tiện để cổ đông tham gia vào quy trình đề cử chưa bao giờ trở thành hiện thực. Các nhà đầu tư tổ chức hiếm khi có đại diện trong hội đồng quản trị công ty trong những năm 1980. Khảo sát năm 1992 của Conference Board báo cáo rằng chỉ ba phần trăm các công ty đã nhận được đề xuất liên quan đến ứng viên giám đốc từ các nhà đầu tư tổ chức, và "chỉ một công ty tuyên bố rằng họ đã chấp thuận yêu cầu của một cổ đông lớn rằng một giám đốc bên ngoài được đưa vào hội đồng quản trị." Sau khi thực hiện khoảng 80 cuộc phỏng vấn với các giám đốc công ty vào cuối những năm 1980, Lorsch và MacIvery kết luận rằng "cổ đông rõ ràng không tham gia [vào việc lựa chọn giám đốc] cho đến giai đoạn bầu cử, và ngay cả ở giai đoạn này, tác động của họ là không đáng kể."</w:t>
      </w:r>
    </w:p>
    <w:p>
      <w:pPr>
        <w:spacing w:after="80"/>
      </w:pPr>
      <w:r>
        <w:rPr>
          <w:b w:val="0"/>
          <w:i w:val="0"/>
        </w:rPr>
        <w:t>Sự lan rộng của ủy ban đề cử không làm thay đổi vai trò chi phối của CEO trong quy trình đề cử. Ủy ban khó có thể đề xuất một ứng viên với hội đồng quản trị nếu CEO phản đối, và theo hầu hết các tường thuật đáng tin cậy, CEO vẫn là nguồn ý tưởng chính cho các ứng viên vào vị trí giám đốc trong suốt những năm 1980. Lorsch và MacIver báo cáo: "Bất chấp những thay đổi này [liên quan đến ủy ban đề cử], ảnh hưởng của các giám đốc vẫn còn hạn chế so với CEO. Phần lớn, có sự phân chia trách nhiệm giữa CEO, người xác định ứng viên mới, và ủy ban đề cử hoặc toàn bộ hội đồng quản trị, những người đánh giá và chính thức đề cử ứng viên."</w:t>
      </w:r>
    </w:p>
    <w:p>
      <w:pPr>
        <w:spacing w:after="80"/>
      </w:pPr>
      <w:r>
        <w:rPr>
          <w:b w:val="0"/>
          <w:i w:val="0"/>
        </w:rPr>
        <w:t>Gần đây hơn, vào khoảng 10 hoặc 15 năm trở lại đây, ủy ban đề cử dường như đã có một bước chuyển mình lớn để trở thành một đơn vị làm việc chính thức của hội đồng quản trị. Năm 2006, nó được tìm thấy ở chín mươi chín phần trăm các công ty trong S&amp;P 500, theo một khảo sát của Spencer Stuart. Ủy ban họp trung bình 3.9 lần một năm và các cuộc họp thường kéo dài gần hai giờ; nó hầu như luôn hoạt động theo một điều lệ bằng văn bản xác định trách nhiệm của mình; và các thành viên ủy ban thường tự bầu chủ tịch của họ. Ngày nay, một bài bình luận trong Sổ tay Công ty Niêm yết của Sở Giao dịch Chứng khoán New York (NYSE) mô tả ủy ban đề cử là "trung tâm cho hoạt động hiệu quả của hội đồng quản trị."</w:t>
      </w:r>
    </w:p>
    <w:p>
      <w:pPr>
        <w:spacing w:after="80"/>
      </w:pPr>
      <w:r>
        <w:rPr>
          <w:b w:val="0"/>
          <w:i w:val="0"/>
        </w:rPr>
        <w:t>Tầm quan trọng của ủy ban đề cử hiện nay gắn chặt với vai trò của các giám đốc độc lập. Sau khi Đạo luật Sarbanes-Oxley được thông qua, cả Sở Giao dịch Chứng khoán New York và Sở Giao dịch NASDAQ đều yêu cầu các công ty niêm yết bổ nhiệm các giám đốc độc lập, theo định nghĩa của quy định Sở Giao dịch, vào đa số vị trí trong hội đồng quản trị của họ. Trung bình bảy mươi tư phần trăm thành viên hội đồng quản trị trong các công ty có doanh thu trên 10 tỷ đô la là giám đốc độc lập trong một khảo sát năm 2004. Tăng cường các yêu cầu này, các Sở Giao dịch đã mở rộng chính sách độc lập của giám đốc sang các ủy ban đề cử. Các quy định của NYSE hiện yêu cầu ủy ban đề cử phải gồm hoàn toàn các giám đốc độc lập. Sở Giao dịch NASDAQ đã thông qua một quy định có hiệu lực tương tự, mặc dù nó có các ngoại lệ ít quan trọng.</w:t>
      </w:r>
    </w:p>
    <w:p>
      <w:pPr>
        <w:spacing w:after="80"/>
      </w:pPr>
      <w:r>
        <w:rPr>
          <w:b w:val="0"/>
          <w:i w:val="0"/>
        </w:rPr>
        <w:t>Ảnh hưởng đương thời của CEO trong quy trình đề cử rất khó đánh giá khi thiếu các nghiên cứu tương đương với những nghiên cứu được thực hiện vào cuối những năm 1980, nhưng rõ ràng là các CEO có thể có tiếng nói chi phối trong quy trình đề cử ngay cả khi không được bao gồm trong thành phần của một ủy ban đề cử gồm các giám đốc độc lập. Nguyên tắc Quản trị Công ty của ALI, được thông qua năm 1994, lưu ý rằng "giám đốc điều hành có thể được kỳ vọng sẽ rất tích cực trong việc đề xuất và thảo luận ứng viên với ủy ban và trong việc chiêu mộ ứng viên cho hội đồng quản trị," và nói thêm rằng sự tham gia như vậy của CEO vào quy trình đề cử có thể đạt được "mà không cần biến CEO thành thành viên của ủy ban." Một cuốn sổ tay của Hiệp hội Giám đốc Công ty Quốc gia (NACD) gợi ý rằng những thông lệ này vẫn còn phổ biến. "Hầu hết các giám đốc," cuốn sổ tay báo cáo, "nhận ra sự cần thiết phải có CEO gắn bó chặt chẽ với quy trình lựa chọn giám đốc mới. Một số công ty đã nhận thấy từ kinh nghiệm cá nhân rằng việc trao cho CEO quyền phủ quyết có thể là một giải pháp trung dung hợp lý." Một mẫu điều lệ ủy ban đính kèm cuốn sổ tay tuyên bố rõ ràng rằng ủy ban nên chọn người được đề cử "với sự đóng góp trực tiếp từ CEO."</w:t>
      </w:r>
    </w:p>
    <w:p>
      <w:pPr>
        <w:spacing w:after="80"/>
      </w:pPr>
      <w:r>
        <w:rPr>
          <w:b w:val="0"/>
          <w:i w:val="0"/>
        </w:rPr>
        <w:t>Ở một số ít công ty, phong trào tách vị trí CEO và Chủ tịch Hội đồng Quản trị đang dần phát triển có thể đã tạo ra những mô hình tương tác phức tạp hơn giữa ủy ban đề cử và ban điều hành, và thông lệ hiện nay là bổ nhiệm một "giám đốc chủ trì" (lead director) để chủ trì các phiên họp điều hành của các giám đốc độc lập có thể đã có tác động phần nào tương tự. Tuy nhiên, thiếu bằng chứng thực nghiệm về việc những thông lệ này ảnh hưởng đến quy trình đề cử như thế nào.</w:t>
      </w:r>
    </w:p>
    <w:p>
      <w:pPr>
        <w:spacing w:after="80"/>
      </w:pPr>
      <w:r>
        <w:rPr>
          <w:b w:val="0"/>
          <w:i w:val="0"/>
        </w:rPr>
        <w:t>Về mặt thực tiễn, các nhà đầu tư tổ chức và các cổ đông khác vẫn tiếp tục bị loại khỏi quy trình đề cử. Các khảo sát cho thấy đại diện của các nhà đầu tư tổ chức không nằm trong nhóm đối tượng mà từ đó các giám đốc được chọn ra. Theo giám đốc điều hành của Hội đồng Nhà đầu tư Tổ chức (Council of Institutional Investors), “Cảm nhận của các thành viên chúng tôi là các ứng viên do cổ đông đề xuất—dù có được trình lên các ủy ban đề cử hoàn toàn độc lập hay không—hiếm khi được xem xét nghiêm túc.” Cũng với hàm ý tương tự, báo cáo năm 2003 của nhân viên SEC về quy trình đề cử nhận xét: “Mặc dù nhìn chung cổ đông có thể đề xuất ứng viên cho ủy ban đề cử của công ty hoặc nhóm giám đốc đảm nhận vai trò này, cổ đông đã cho biết điều này không hiệu quả, vì các công ty hiếm khi đề cử các ứng viên do cổ đông đề xuất.”</w:t>
      </w:r>
    </w:p>
    <w:p>
      <w:pPr>
        <w:spacing w:after="80"/>
      </w:pPr>
      <w:r>
        <w:rPr>
          <w:b w:val="0"/>
          <w:i w:val="0"/>
        </w:rPr>
        <w:t>Tuy nhiên, SEC vẫn thông qua các quy định công bố thông tin còn phức tạp hơn vào năm 2003 với mục tiêu khuyến khích các ủy ban đề cử xem xét các đề xuất của cổ đông. Các quy định sửa đổi yêu cầu, trong số những điều khác: công bố chính sách của ủy ban liên quan đến các đề xuất của cổ đông về ứng viên giám đốc, mô tả các thủ tục mà cổ đông phải tuân theo khi gửi các đề xuất đó, liệu ủy ban có nhận được ứng viên được đề xuất từ một cổ đông hoặc nhóm cổ đông nắm giữ năm phần trăm cổ phần của công ty trong vòng 120 ngày kể từ ngày của bản tuyên bố ủy quyền (proxy statement) hay không, và liệu ủy ban có chọn đề cử ứng viên đó hay không. Tuy nhiên, một khảo sát năm 2006 của Spencer Stuart ghi nhận không có đề cử nào từ cổ đông ba năm sau ngày các quy định công bố thông tin có hiệu lực.</w:t>
      </w:r>
    </w:p>
    <w:p>
      <w:pPr>
        <w:spacing w:after="80"/>
      </w:pPr>
      <w:r>
        <w:rPr>
          <w:b w:val="0"/>
          <w:i w:val="0"/>
        </w:rPr>
        <w:t>Như hiện trạng ngày nay, mục đích ban đầu của ủy ban đề cử với vai trò một kênh để cổ đông tham gia vào việc lựa chọn giám đốc vẫn chưa được thực hiện, nhưng ủy ban này lại xuất hiện trong một bộ “thông lệ tốt nhất” (best practices) được các tiếng nói có uy tín trong ngành công nghiệp Hoa Kỳ nêu ra. “The Corporate Handbook 2005” của Conference Board, dưới tiêu đề “Setting a New Standard for Corporate Governance,” lưu ý rằng “Vụ phá sản Enron, cùng với các vụ bê bối doanh nghiệp khác và phản ứng quản lý đi kèm, đã gây ra một sự thay đổi lớn trong mức độ chú ý dành cho quản trị doanh nghiệp và trong cách công chúng, cổ đông, nhân viên và tòa án nhìn nhận các giám đốc.” Các chức năng của ủy ban đề cử tạo thành một trong những chương chính trong phần mô tả của Handbook về các thông lệ quản trị doanh nghiệp tốt nhất. Tương tự, trong “Principles of Corporate Governance,” Business Roundtable tuyên bố rằng “Hoa Kỳ có hệ thống quản trị doanh nghiệp, báo cáo tài chính và thị trường chứng khoán tốt nhất thế giới. Các hệ thống này vận hành được là nhờ việc áp dụng các thông lệ tốt nhất của các công ty đại chúng trong khuôn khổ luật pháp và quy định.” Một tuyên bố riêng về các nguyên tắc đưa ra các thông lệ được khuyến nghị cho các ủy ban đề cử.</w:t>
      </w:r>
    </w:p>
    <w:p>
      <w:pPr>
        <w:spacing w:after="80"/>
      </w:pPr>
      <w:r>
        <w:rPr>
          <w:b w:val="0"/>
          <w:i w:val="0"/>
        </w:rPr>
        <w:t>Các thông lệ của ủy ban đề cử được The Conference Board và Business Roundtable ủng hộ đáng chú ý ở hai điểm: chúng phản hồi lại sự chỉ trích của công chúng đối với các doanh nghiệp bằng cách kêu gọi các ủy ban đề cử tuân theo các thông lệ mong muốn trong việc lựa chọn các thành viên hội đồng quản trị độc lập và đủ năng lực, và ngoài ra, chúng ủng hộ một điều lệ trách nhiệm rộng rãi cho các ủy ban này, mà ngày nay thường được gọi là các ủy ban quản trị doanh nghiệp. Ngoài việc xác định và đánh giá các ứng viên cho hội đồng quản trị, các hiệp hội khuyến nghị rằng các ủy ban đề cử nên xem xét cơ cấu ủy ban, đề xuất ứng viên cho tư cách thành viên của các ủy ban, giám sát hoạt động hiệu quả của hội đồng quản trị, đánh giá hàng năm hiệu suất của hội đồng quản trị và các ủy ban, đề xuất các nguyên tắc doanh nghiệp, và giám sát việc lập kế hoạch kế nhiệm cho CEO và các vị trí quản lý cấp cao khác.</w:t>
      </w:r>
    </w:p>
    <w:p>
      <w:pPr>
        <w:pStyle w:val="Heading5"/>
      </w:pPr>
      <w:r>
        <w:rPr>
          <w:rFonts w:ascii="Calibri" w:hAnsi="Calibri"/>
          <w:b/>
          <w:i/>
          <w:sz w:val="22"/>
        </w:rPr>
        <w:t>Bình luận và Câu hỏi</w:t>
      </w:r>
    </w:p>
    <w:p>
      <w:pPr>
        <w:spacing w:after="80"/>
      </w:pPr>
      <w:r>
        <w:rPr>
          <w:b w:val="0"/>
          <w:i w:val="0"/>
        </w:rPr>
        <w:t>1. Liệu một hệ thống quyền bầu cử doanh nghiệp công bằng có phải mang lại cho cổ đông tiếng nói trong việc đề cử giám đốc hay không? Những bước nào đã được thực hiện để tăng tiếng nói của cổ đông và giảm ảnh hưởng của CEO đối với việc lựa chọn thành viên hội đồng quản trị? (Các) cải cách nào bạn nghĩ có khả năng thành công nhất? Bạn có thể nghĩ ra những cải cách tiềm năng khác không?</w:t>
      </w:r>
    </w:p>
    <w:p>
      <w:pPr>
        <w:spacing w:after="80"/>
      </w:pPr>
      <w:r>
        <w:rPr>
          <w:b w:val="0"/>
          <w:i w:val="0"/>
        </w:rPr>
        <w:t>2. Đặc biệt trong thập niên 1990, những người ủng hộ cải cách quản trị đã hình dung rằng các ủy ban đề cử sẽ trở thành một kênh để cổ đông tham gia tích cực hơn vào việc lựa chọn giám đốc. SEC yêu cầu các công ty công bố liệu họ có bất kỳ thủ tục nào cho việc cổ đông gửi đề cử hay không và thậm chí yêu cầu nêu rõ bất kỳ ứng viên nào do một cổ đông nắm 5 phần trăm đề xuất và “liệu ủy ban đề cử có chọn đề cử ứng viên đó hay không.” Mục 407(c) của Regulation S-K, 17 CFR § 229.407(c). Tuy nhiên, như bài viết lưu ý, “[V]ề mặt thực tiễn, các nhà đầu tư tổ chức và các cổ đông khác vẫn tiếp tục bị loại khỏi quy trình đề cử.” Điều gì giải thích sự kháng cự này?</w:t>
      </w:r>
    </w:p>
    <w:p>
      <w:pPr>
        <w:spacing w:after="80"/>
      </w:pPr>
      <w:r>
        <w:rPr>
          <w:b w:val="0"/>
          <w:i w:val="0"/>
        </w:rPr>
        <w:t>3. Các tiêu chuẩn niêm yết của sở giao dịch chứng khoán áp dụng cho các ủy ban đề cử của hội đồng quản trị không khắt khe bằng các tiêu chuẩn áp dụng cho các ủy ban kiểm toán và thù lao. Tuy nhiên, các cố vấn ủy quyền (proxy advisor) như Institutional Shareholder Services (ISS) và các cổ đông tổ chức lớn gây ảnh hưởng quan trọng đến các chính sách và thông lệ của các ủy ban đề cử. Các ủy ban đề cử có thể cấu trúc các chính sách và thông lệ của mình như thế nào để trở thành những phương tiện đáng tin cậy cho các cổ đông đang tìm kiếm chút tiếng nói trong việc lựa chọn giám đốc?</w:t>
      </w:r>
    </w:p>
    <w:p>
      <w:pPr>
        <w:spacing w:after="80"/>
      </w:pPr>
      <w:r>
        <w:rPr>
          <w:b w:val="0"/>
          <w:i w:val="0"/>
        </w:rPr>
        <w:t xml:space="preserve">4. Bất chấp những cải cách được mô tả trong bài viết của Tiến sĩ Murphy, các CEO vẫn tiếp tục có tiếng nói, thậm chí có thể là tiếng nói chi phối, trong việc lựa chọn giám đốc. Họ không cần phải ngồi với tư cách thành viên có quyền biểu quyết của các ủy ban đề cử của hội đồng quản trị để làm điều đó. Ví dụ, Hewlett-Packard tiết lộ trong tuyên bố ủy quyền năm 2011 rằng năm ứng viên giám đốc mới được hội đồng quản trị đề cử đã được xác định và thẩm tra không phải bởi Ủy ban Đề cử và Quản trị thường trực của mình mà thay vào đó là bởi một ủy ban </w:t>
      </w:r>
      <w:r>
        <w:rPr>
          <w:b w:val="0"/>
          <w:i/>
        </w:rPr>
        <w:t>đặc biệt</w:t>
      </w:r>
      <w:r>
        <w:rPr>
          <w:b w:val="0"/>
          <w:i w:val="0"/>
        </w:rPr>
        <w:t xml:space="preserve"> (ad hoc) riêng gồm các giám đốc do giám đốc độc lập Raymond Lane, Chủ tịch Hội đồng Quản trị của H-P, bổ nhiệm (và bao gồm cả ông). Lane, người trước đây điều hành Oracle Corporation với tư cách Chủ tịch và Giám đốc Điều hành, đã thành lập ủy ban </w:t>
      </w:r>
      <w:r>
        <w:rPr>
          <w:b w:val="0"/>
          <w:i/>
        </w:rPr>
        <w:t>đặc biệt</w:t>
      </w:r>
      <w:r>
        <w:rPr>
          <w:b w:val="0"/>
          <w:i w:val="0"/>
        </w:rPr>
        <w:t xml:space="preserve"> “để hỗ trợ việc xác định các ứng viên giám đốc mới và tạo thuận lợi cho quá trình đánh giá những ứng viên đó như các giám đốc tiềm năng.” Công ty không tiết lộ lý do tại sao Lane thành lập một ủy ban </w:t>
      </w:r>
      <w:r>
        <w:rPr>
          <w:b w:val="0"/>
          <w:i/>
        </w:rPr>
        <w:t>đặc biệt</w:t>
      </w:r>
      <w:r>
        <w:rPr>
          <w:b w:val="0"/>
          <w:i w:val="0"/>
        </w:rPr>
        <w:t xml:space="preserve"> riêng, giao cho nó những trách nhiệm tương tự mà hội đồng quản trị đã giao cho ủy ban thường trực theo điều lệ của mình. Tuyên bố ủy quyền cũng không nêu tên các thành viên của ủy ban </w:t>
      </w:r>
      <w:r>
        <w:rPr>
          <w:b w:val="0"/>
          <w:i/>
        </w:rPr>
        <w:t>đặc biệt</w:t>
      </w:r>
      <w:r>
        <w:rPr>
          <w:b w:val="0"/>
          <w:i w:val="0"/>
        </w:rPr>
        <w:t xml:space="preserve">. Tuy nhiên, để phản hồi các chất vấn của ISS và báo chí tài chính, H-P tiết lộ rằng Lane chỉ bổ nhiệm một giám đốc từ Ủy ban Đề cử và Quản trị vào ủy ban </w:t>
      </w:r>
      <w:r>
        <w:rPr>
          <w:b w:val="0"/>
          <w:i/>
        </w:rPr>
        <w:t>đặc biệt</w:t>
      </w:r>
      <w:r>
        <w:rPr>
          <w:b w:val="0"/>
          <w:i w:val="0"/>
        </w:rPr>
        <w:t xml:space="preserve">. Ủy ban </w:t>
      </w:r>
      <w:r>
        <w:rPr>
          <w:b w:val="0"/>
          <w:i/>
        </w:rPr>
        <w:t>đặc biệt</w:t>
      </w:r>
      <w:r>
        <w:rPr>
          <w:b w:val="0"/>
          <w:i w:val="0"/>
        </w:rPr>
        <w:t xml:space="preserve"> cũng bao gồm CEO mới của công ty, Leo Apotheker. Bảo vệ sự tham gia trực tiếp của Apotheker vào việc lựa chọn năm giám đốc mới của H-P, dường như trái với điều lệ của Ủy ban Đề cử và Quản trị, Lane khẳng định trong một lá thư gửi cổ đông rằng sự tham gia của CEO là phổ biến ở Corporate America. “[H]ầu hết, nếu không muốn nói là tất cả, các công ty khác, lớn và nhỏ, công và tư, đều đưa CEO vào quá trình xác định và thẩm tra các ứng viên giám đốc mới.”</w:t>
      </w:r>
    </w:p>
    <w:p>
      <w:pPr>
        <w:spacing w:after="80"/>
      </w:pPr>
      <w:r>
        <w:rPr>
          <w:b w:val="0"/>
          <w:i w:val="0"/>
        </w:rPr>
        <w:t>a. Lý lẽ “công ty nào cũng làm vậy” của Chủ tịch Lane đã không làm ISS hài lòng. Cố vấn ủy quyền này khuyến nghị cổ đông H-P bỏ phiếu chống tái bầu các thành viên của Ủy ban Đề cử và Quản trị vì đã cho phép CEO tham gia trực tiếp vào việc bổ nhiệm năm giám đốc mới. Bạn có đồng ý với khuyến nghị của ISS không?</w:t>
      </w:r>
    </w:p>
    <w:p>
      <w:pPr>
        <w:spacing w:after="80"/>
      </w:pPr>
      <w:r>
        <w:rPr>
          <w:b w:val="0"/>
          <w:i w:val="0"/>
        </w:rPr>
        <w:t>b. Không ngạc nhiên, CEO Apotheker có các mối quan hệ kinh doanh với một số ứng viên giám đốc được đề cử vào hội đồng quản trị của H-P. Trong một cuộc phỏng vấn với CNBC, Lane thẳng thắn thừa nhận rằng ông và Apotheker có “rất nhiều kinh nghiệm với những [giám đốc mới] này.” Lane cũng giải thích rằng ưu tiên hàng đầu của hội đồng quản trị là “hỗ trợ Leo [Apotheker], hỗ trợ Leo trong việc hình thành ban lãnh đạo, chiến lược của anh ấy cho công ty, nên hiện tại là hỗ trợ Leo.” Liệu ưu tiên hàng đầu của hội đồng quản trị, như được chủ tịch của nó mô tả, có thể dung hòa với trách nhiệm giám sát ban điều hành của nó không?</w:t>
      </w:r>
    </w:p>
    <w:p>
      <w:pPr>
        <w:spacing w:after="80"/>
      </w:pPr>
      <w:r>
        <w:rPr>
          <w:b w:val="0"/>
          <w:i w:val="0"/>
        </w:rPr>
        <w:t>5. Không có luật, quy tắc hay quy định nào giới hạn, chứ chưa nói đến cấm, các CEO đề xuất ứng viên giám đốc cho các ủy ban đề cử hoặc toàn thể hội đồng quản trị. Liệu có hợp lý không khi ủy ban đề cử hoàn thành trách nhiệm của mình mà không nhận được lời khuyên hay ý kiến từ CEO, ít nhất là cho đến khi ủy ban trình các ứng viên tiềm năng lên toàn thể hội đồng quản trị để phê duyệt? Ảnh hưởng tiếp diễn của các CEO trong việc lựa chọn giám đốc cho thấy điều gì về xuất thân, triết lý và động cơ của các giám đốc bên ngoài phục vụ trong các ủy ban đề cử?</w:t>
      </w:r>
    </w:p>
    <w:p>
      <w:pPr>
        <w:spacing w:after="80"/>
      </w:pPr>
      <w:r>
        <w:rPr>
          <w:b w:val="0"/>
          <w:i w:val="0"/>
        </w:rPr>
        <w:t xml:space="preserve">6. Nhiều lập luận ủng hộ sự tham gia của CEO vào việc lựa chọn hội đồng quản trị nhấn mạnh tầm quan trọng của tính đồng nghiệp (collegiality) trong hội đồng quản trị. Harvey Pitt, cựu chủ tịch SEC và là một luật sư doanh nghiệp được kính trọng, đã viết: “Các hội đồng quản trị nên phấn đấu vì tính đồng nghiệp và được tổ chức để đạt được kết quả đó. Suy cho cùng, các quyết định quan trọng của hội đồng quản trị được trao vào tay một nhóm, chứ không phải một người ra quyết định duy nhất. Do đó, hệ thống chỉ có thể vận hành nếu tính đồng nghiệp được nuôi dưỡng và thực sự đạt được. . . . Mặc dù xuất thân và sự gần gũi với nhóm cử tri là hữu ích, điều quan trọng nhất là chọn những người biết chơi đẹp với nhau.” Harvey L. Pitt, </w:t>
      </w:r>
      <w:r>
        <w:rPr>
          <w:b w:val="0"/>
          <w:i/>
        </w:rPr>
        <w:t>Learning the Lessons of Hewlett-Packard</w:t>
      </w:r>
      <w:r>
        <w:rPr>
          <w:b w:val="0"/>
          <w:i w:val="0"/>
        </w:rPr>
        <w:t xml:space="preserve"> , Compliance Week (ngày 31 tháng 10 năm 2006). Bạn có đồng ý không? Tại sao có hoặc tại sao không?</w:t>
      </w:r>
    </w:p>
    <w:p>
      <w:pPr>
        <w:spacing w:after="80"/>
      </w:pPr>
      <w:r>
        <w:rPr>
          <w:b w:val="0"/>
          <w:i w:val="0"/>
        </w:rPr>
        <w:t xml:space="preserve">7. Có một số bằng chứng cho thấy việc giảm ảnh hưởng của CEO đối với quá trình lựa chọn giám đốc dẫn đến giá trị gia tăng cho cổ đông. </w:t>
      </w:r>
      <w:r>
        <w:rPr>
          <w:b w:val="0"/>
          <w:i/>
        </w:rPr>
        <w:t>Xem</w:t>
      </w:r>
      <w:r>
        <w:rPr>
          <w:b w:val="0"/>
          <w:i w:val="0"/>
        </w:rPr>
        <w:t xml:space="preserve"> Steven A. Ramirez, </w:t>
      </w:r>
      <w:r>
        <w:rPr>
          <w:b w:val="0"/>
          <w:i/>
        </w:rPr>
        <w:t>Lessons from the Subprime Debacle: Stress Testing CEO Autonomy</w:t>
      </w:r>
      <w:r>
        <w:rPr>
          <w:b w:val="0"/>
          <w:i w:val="0"/>
        </w:rPr>
        <w:t xml:space="preserve"> , 54 St. Louis L.J. 1 (2009) (“Tuy nhiên, bằng chứng ủng hộ quan điểm rằng các hội đồng quản trị được lựa chọn mà không có sự tham gia của CEO sẽ nâng cao giá trị doanh nghiệp.”). Giả sử phát hiện này là chính xác, tại sao thị trường không vận hành để khiến các công ty giảm ảnh hưởng của CEO nhằm tối đa hóa lợi nhuận cho nhà đầu tư?</w:t>
      </w:r>
    </w:p>
    <w:p>
      <w:pPr>
        <w:spacing w:after="80"/>
      </w:pPr>
      <w:r>
        <w:rPr>
          <w:b w:val="0"/>
          <w:i w:val="0"/>
        </w:rPr>
        <w:t>—————</w:t>
      </w:r>
    </w:p>
    <w:p>
      <w:pPr>
        <w:spacing w:after="80"/>
      </w:pPr>
      <w:r>
        <w:rPr>
          <w:b w:val="0"/>
          <w:i w:val="0"/>
        </w:rPr>
        <w:t>Luật tiểu bang cho phép cổ đông đề cử ứng viên của riêng mình vào hội đồng quản trị, bỏ qua ban điều hành. Tuy nhiên, một cổ đông muốn đề cử ứng viên giám đốc của riêng mình không chỉ phải tuân thủ luật công ty áp dụng của tiểu bang và điều lệ, quy chế của công ty, mà cổ đông đề cử còn phải tự chuẩn bị tuyên bố ủy quyền và thẻ ủy quyền của riêng mình và vận động ủy quyền cho các giám đốc của mình. Các cổ đông đề cử một danh sách cạnh tranh phải gánh chịu chi phí đáng kể, bao gồm phí người vận động, chi phí in ấn và gửi thư cần thiết để phát hành tuyên bố ủy quyền cũng như phí luật sư và chi phí phát sinh để chống lại những thách thức tại tòa án không thể tránh khỏi của công ty đối với việc vận động ủy quyền. Để tránh chi phí này, cổ đông có thể thay vào đó tìm cách đưa các ứng viên của mình vào tuyên bố ủy quyền của công ty theo quy định đề xuất của cổ đông liên bang, Rule 14a-8, được ban hành theo Mục 14(a) của Securities Exchange Act năm 1934. Năm 2010, Quốc hội ban hành Mục 971 của Dodd-Frank Act để trao cho SEC thẩm quyền rõ ràng nhằm thông qua thêm các quy định “tiếp cận ủy quyền” (proxy access) cho phép các cổ đông đủ điều kiện đưa ứng viên giám đốc vào lá phiếu ủy quyền của công ty. Chương 8 mô tả và đánh giá các nỗ lực cho phép cổ đông tiếp cận tài liệu ủy quyền của công ty nhằm mục đích bầu ra các giám đốc không do hội đồng quản trị đề cử.</w:t>
      </w:r>
    </w:p>
    <w:p>
      <w:pPr>
        <w:pStyle w:val="Heading2"/>
      </w:pPr>
      <w:r>
        <w:rPr>
          <w:rFonts w:ascii="Calibri" w:hAnsi="Calibri"/>
          <w:b/>
          <w:i w:val="0"/>
          <w:sz w:val="32"/>
        </w:rPr>
        <w:t>VII. Thù lao của thành viên hội đồng quản trị</w:t>
      </w:r>
    </w:p>
    <w:p>
      <w:pPr>
        <w:spacing w:after="80"/>
      </w:pPr>
      <w:r>
        <w:rPr>
          <w:b w:val="0"/>
          <w:i w:val="0"/>
        </w:rPr>
        <w:t>Như chúng ta đã thấy, những kỳ vọng về ảnh hưởng và mức độ tham gia của các thành viên hội đồng quản trị vào việc quản trị công ty đại chúng—và cụ thể hơn là việc giám sát ban điều hành công ty—đã tăng lên đáng kể trong những năm gần đây. Làm thế nào để cổ đông đảm bảo rằng các thành viên hội đồng quản trị sẽ hành động vì lợi ích của họ, tối đa hóa giá trị của công ty và do đó tối đa hóa tài sản của cổ đông? Giả sử rằng hội đồng quản trị kiểm soát công ty, thì các thành viên hội đồng quản trị phải có đủ động lực để thực hiện chức năng giám sát và tư vấn của mình mà không cần phải bị giám sát chính họ.</w:t>
      </w:r>
    </w:p>
    <w:p>
      <w:pPr>
        <w:spacing w:after="80"/>
      </w:pPr>
      <w:r>
        <w:rPr>
          <w:b w:val="0"/>
          <w:i w:val="0"/>
        </w:rPr>
        <w:t>Cho đến quý cuối cùng của thế kỷ 20, thù lao của thành viên hội đồng quản trị bên ngoài vẫn còn tương đối thấp. Thực tế, một số thành viên hội đồng quản trị còn phục vụ mà không nhận bất kỳ khoản thù lao nào. Quay trở lại thế kỷ 19, các công ty thường trả một khoản phí danh nghĩa hoặc không trả gì cho các thành viên hội đồng quản trị, phù hợp với quan điểm rằng cơ hội được tham gia vào việc quản trị công ty đã là phần thưởng đủ rồi, đặc biệt là đối với các cổ đông lớn. Tuy nhiên, khi các công ty đại chúng triển khai mô hình hội đồng quản trị giám sát, những người từ bên ngoài được tuyển vào hội đồng quản trị đã yêu cầu và nhận được mức thù lao cao hơn cho thời gian và công sức của họ.</w:t>
      </w:r>
    </w:p>
    <w:p>
      <w:pPr>
        <w:spacing w:after="80"/>
      </w:pPr>
      <w:r>
        <w:rPr>
          <w:b w:val="0"/>
          <w:i w:val="0"/>
        </w:rPr>
        <w:t>Sau khi bước sang thiên niên kỷ mới, các cải cách quản trị công ty không chỉ mở rộng trách nhiệm của các thành viên hội đồng quản trị và làm tăng khối lượng công việc của họ, mà các luật và quy định mới còn tạo ra nhu cầu về các thành viên hội đồng quản trị bên ngoài có chuyên môn cụ thể (ví dụ: về tài chính). Những phát triển này, cùng với những lo ngại ngày càng tăng về nhiệm kỳ của thành viên hội đồng quản trị và tính đa dạng của hội đồng quản trị, có thể nói đã thu hẹp nguồn ứng viên phù hợp, khiến các công ty phải tăng thù lao cho thành viên hội đồng quản trị để thu hút và giữ chân các thành viên hội đồng quản trị đủ năng lực. Tổng thù lao cho các thành viên hội đồng quản trị của công ty đại chúng đã tăng đáng kể qua từng năm trong thập kỷ qua.</w:t>
      </w:r>
    </w:p>
    <w:p>
      <w:pPr>
        <w:spacing w:after="80"/>
      </w:pPr>
      <w:r>
        <w:rPr>
          <w:b w:val="0"/>
          <w:i w:val="0"/>
        </w:rPr>
        <w:t>Khi thù lao của thành viên hội đồng quản trị tăng lên, các chuyên gia quản trị công ty đã tập trung nhiều hơn vào việc tìm hiểu các quy trình của hội đồng quản trị để đưa ra quyết định tự trả thù lao cho chính mình, cũng như cách các lực lượng thị trường và chuẩn mực xã hội ảnh hưởng đến những quyết định thù lao này. Các học giả và các nhà nghiên cứu khác cũng đã bắt đầu nghiên cứu tác động của thù lao thành viên hội đồng quản trị bên ngoài đối với động lực và hành vi của họ. Một giả thuyết cho rằng thù lao hào phóng làm suy yếu tính độc lập của thành viên hội đồng quản trị bên ngoài. Ví dụ, các thành viên hội đồng quản trị nhận khoản phí tiền mặt lớn có thể trở nên, giống như nhân viên hưởng lương, phụ thuộc vào ban điều hành, đặc biệt nếu CEO có ảnh hưởng đáng kể đối với việc đề cử thành viên hội đồng quản trị. Đặc biệt khi thị trường chứng khoán tăng vọt vào những năm 1990, nhiều công ty quyết định trả thù lao cho thành viên hội đồng quản trị bên ngoài bằng cổ phần, bề ngoài là để tăng cường sự gắn kết lợi ích giữa thành viên hội đồng quản trị và cổ đông.</w:t>
      </w:r>
    </w:p>
    <w:p>
      <w:pPr>
        <w:spacing w:after="80"/>
      </w:pPr>
      <w:r>
        <w:rPr>
          <w:b w:val="0"/>
          <w:i w:val="0"/>
        </w:rPr>
        <w:t>Mặc dù có một số bằng chứng cho thấy mối liên hệ giữa thù lao thành viên hội đồng quản trị dựa trên cổ phiếu và việc cải thiện quản trị, thù lao bằng cổ phần đã không chứng minh được là một liều thuốc vạn năng. Các thành viên hội đồng quản trị thường có được phần cổ phần của mình thông qua thù lao dựa trên cổ phiếu hàng năm thay vì thông qua một khoản trợ cấp ban đầu bằng quyền chọn cổ phiếu hoặc cổ phiếu hạn chế. Nhiều công ty đại chúng yêu cầu các thành viên hội đồng quản trị duy trì mức sở hữu tối thiểu đối với cổ phần công ty. Theo thời gian, phần sở hữu của một thành viên hội đồng quản trị có thể tích lũy dần. Tuy nhiên, nhiều thành viên hội đồng quản trị bên ngoài sẽ không có được lợi ích đủ lớn trong công ty để tạo ra hiệu ứng động lực mạnh mẽ. Hơn nữa, việc tăng phần sở hữu cổ phần thực sự có thể làm suy yếu tính độc lập của thành viên hội đồng quản trị, khiến lợi ích của thành viên hội đồng quản trị gắn chặt hơn với lợi ích của ban điều hành. (Phí của thành viên hội đồng quản trị không được xem xét khi xác định tính độc lập theo các tiêu chuẩn quản lý.) Ngoài ra, thù lao dựa trên cổ phần có thể tạo ra những động lực có vấn đề cho các thành viên hội đồng quản trị. Lo ngại về hiệu suất cổ phiếu ngắn hạn, các thành viên hội đồng quản trị ngại rủi ro có thể né tránh các dự án nghiên cứu và phát triển hoặc các khoản đầu tư vốn khác có lợi nhuận dài hạn. Thay vì chất vấn ban điều hành về các thực hành kế toán hung hăng, việc báo cáo tài chính sai lệch, hoặc việc chấp nhận rủi ro quá mức, các thành viên hội đồng quản trị bị tổn hại lợi ích với lượng cổ phần nắm giữ đáng kể hoặc quyền chọn có giá trị nội tại (in-the-money) có thể chấp nhận các lựa chọn của ban điều hành. Các nghiên cứu học thuật đã đưa ra những kết luận khác nhau về việc liệu trả thù lao cho thành viên hội đồng quản trị bằng cổ phần có cải thiện hiệu suất công ty hay không.</w:t>
      </w:r>
    </w:p>
    <w:p>
      <w:pPr>
        <w:spacing w:after="80"/>
      </w:pPr>
      <w:r>
        <w:rPr>
          <w:b w:val="0"/>
          <w:i w:val="0"/>
        </w:rPr>
        <w:t>Dù sao đi nữa, cổ đông không thể nhất thiết xác định được thù lao của thành viên hội đồng quản trị cho đến năm 2006. Mặc dù SEC yêu cầu công bố các khoản tiền trả cho thành viên hội đồng quản trị, các công ty thường làm điều đó dưới dạng tường thuật và không cung cấp một con số đô-la duy nhất về tổng số thù lao được trả. Tuy nhiên, vào năm 2006, Mục 402 của Quy định S-K đã được sửa đổi để yêu cầu các công ty tiết lộ tổng thù lao cho thành viên hội đồng quản trị. Những thay đổi này đã làm cho thù lao của thành viên hội đồng quản trị trở nên minh bạch hơn.</w:t>
      </w:r>
    </w:p>
    <w:p>
      <w:pPr>
        <w:spacing w:after="80"/>
      </w:pPr>
      <w:r>
        <w:rPr>
          <w:b w:val="0"/>
          <w:i w:val="0"/>
        </w:rPr>
        <w:t>Việc công bố thông tin trong thư ủy quyền (proxy) sau năm 2006 cho thấy rằng tại nhiều công ty đại chúng, các thành viên hội đồng quản trị được trả thù lao hậu hĩnh. Một số thành viên hội đồng quản trị được trả thù lao cao nhất ngồi trong hội đồng quản trị của các tập đoàn lớn nhất. Tổng thù lao trong một số trường hợp vượt quá 1 triệu đô-la. Hơn nữa, không phải tất cả thành viên hội đồng quản trị đều nhận được mức trả như nhau. Ngày càng nhiều, những cá nhân giữ vai trò thành viên hội đồng quản trị chủ trì (lead director) và chủ tịch hội đồng quản trị không điều hành (non-executive board chair), cũng như các thành viên hội đồng quản trị chủ trì các ủy ban của hội đồng quản trị, đặc biệt là ủy ban kiểm toán và ủy ban thù lao, nhận được thêm các khoản tiền bổ sung.</w:t>
      </w:r>
    </w:p>
    <w:p>
      <w:pPr>
        <w:spacing w:after="80"/>
      </w:pPr>
      <w:r>
        <w:rPr>
          <w:b w:val="0"/>
          <w:i w:val="0"/>
        </w:rPr>
        <w:t>Mặc dù mức trả thực tế nói chung liên quan đến quy mô của công ty (các công ty đại chúng có doanh thu cao nhất thưởng cho thành viên hội đồng quản trị của họ mức trả cao nhất), thù lao thành viên hội đồng quản trị đã tăng trên khắp các công ty sau khi Quốc hội thông qua Sarbanes-Oxley vào năm 2002 và một lần nữa, gần tám năm sau, sau khi ban hành Dodd-Frank vào năm 2010. Các cải cách quản trị công ty được bao gồm trong cả hai đạo luật đã làm tăng yêu cầu giám sát đối với hội đồng quản trị, đòi hỏi các thành viên hội đồng quản trị phải dành nhiều thời gian hơn cho trách nhiệm của mình trong hội đồng quản trị. Theo đó, để thu hút các ứng viên đủ năng lực và giữ chân cũng như tạo động lực cho các thành viên hội đồng quản trị bên ngoài đang đối mặt với khối lượng công việc mở rộng, các công ty đã đưa ra các gói thù lao hấp dẫn hơn.</w:t>
      </w:r>
    </w:p>
    <w:p>
      <w:pPr>
        <w:spacing w:after="80"/>
      </w:pPr>
      <w:r>
        <w:rPr>
          <w:b w:val="0"/>
          <w:i w:val="0"/>
        </w:rPr>
        <w:t>Đồng thời, các công ty đã thay đổi cơ cấu thù lao thành viên hội đồng quản trị, chuyển từ việc trả thù lao cho thành viên hội đồng quản trị thông qua phí theo cuộc họp sang việc trả các khoản thù lao thường niên (retainer) cho thành viên hội đồng quản trị như thù lao cơ bản. Những thỏa thuận này đơn giản hóa việc chi trả và khuyến khích thành viên hội đồng quản trị sử dụng truyền thông điện tử và công nghệ mới (tức là các cuộc họp qua điện thoại hoặc hội nghị trực tuyến thường xuyên hơn nhưng ngắn hơn) thay cho các cuộc họp trực tiếp. Trong những năm gần đây, thù lao của thành viên hội đồng quản trị đã trở nên ngày càng giống về cơ cấu với thù lao của ban điều hành.</w:t>
      </w:r>
    </w:p>
    <w:p>
      <w:pPr>
        <w:spacing w:after="80"/>
      </w:pPr>
      <w:r>
        <w:rPr>
          <w:b w:val="0"/>
          <w:i w:val="0"/>
        </w:rPr>
        <w:t>Luật Delaware làm rõ rằng các thành viên hội đồng quản trị có thẩm quyền tự ấn định mức trả cho chính mình. 8 DGCL § 141(h). Các quy tắc quản trị của NYSE cũng giả định rằng hội đồng quản trị sẽ thiết lập thù lao cho thành viên hội đồng quản trị. Tuy nhiên, những quyết định như vậy tạo ra những xung đột lợi ích hóc búa. Các chuyên gia quản trị công ty khuyên rằng các thành viên hội đồng quản trị không có lợi ích liên quan nên xác định thù lao cho các thành viên hội đồng quản trị khác, và cổ đông nên phê chuẩn các kế hoạch thù lao. Tuy nhiên, lợi ích cá nhân của thành viên hội đồng quản trị không thể bị loại bỏ hoàn toàn, và gần đây, cổ đông đã bắt đầu thách thức các quyết định tự trả thù lao của thành viên hội đồng quản trị.</w:t>
      </w:r>
    </w:p>
    <w:p>
      <w:pPr>
        <w:pStyle w:val="Heading5"/>
      </w:pPr>
      <w:r>
        <w:rPr>
          <w:rFonts w:ascii="Calibri" w:hAnsi="Calibri"/>
          <w:b/>
          <w:i/>
          <w:sz w:val="22"/>
        </w:rPr>
        <w:t>Bình luận và Câu hỏi</w:t>
      </w:r>
    </w:p>
    <w:p>
      <w:pPr>
        <w:spacing w:after="80"/>
      </w:pPr>
      <w:r>
        <w:rPr>
          <w:b w:val="0"/>
          <w:i w:val="0"/>
        </w:rPr>
        <w:t>1. Các quyết định tự trả thù lao của thành viên hội đồng quản trị làm dấy lên những xung đột lợi ích rõ ràng, cố hữu. Tuy nhiên, các thẩm phán Delaware trong lịch sử đã áp dụng một tiêu chuẩn xem xét mang tính tôn trọng (deferential standard of review) đối với các khoản thưởng do thành viên hội đồng quản trị trao cho thành viên hội đồng quản trị theo các kế hoạch thù lao khuyến khích đã được cổ đông phê duyệt. Áp dụng quy tắc phán đoán kinh doanh mang tính tôn trọng (deferential business judgment rule), các tòa án Delaware đã giữ nguyên các quyết định bị thách thức trừ khi chúng cấu thành việc lãng phí tài sản công ty (corporate waste); nghĩa là, công ty không nhận được lợi ích hay giá trị nào từ các thành viên hội đồng quản trị được trả thù lao để đổi lấy dịch vụ của họ. Việc cổ đông phê duyệt kế hoạch đã loại bỏ nhu cầu các bị đơn là thành viên hội đồng quản trị phải chứng minh, và tòa án phải xác định, tính công bằng toàn diện (entire fairness) của các khoản thưởng được trao cho thành viên hội đồng quản trị (tức là liệu quyết định có được đưa ra dựa trên giao dịch công bằng và ở mức giá công bằng hay không).</w:t>
      </w:r>
    </w:p>
    <w:p>
      <w:pPr>
        <w:spacing w:after="80"/>
      </w:pPr>
      <w:r>
        <w:rPr>
          <w:b w:val="0"/>
          <w:i w:val="0"/>
        </w:rPr>
        <w:t xml:space="preserve">Tuy nhiên, như chúng ta sẽ thấy trong Chương 6, một phán quyết năm 2015 của Tòa án Chancery Delaware đã làm rõ rằng việc cổ đông phê duyệt trước các kế hoạch thù lao có thể không đủ để bảo vệ các khoản thưởng thù lao cho thành viên hội đồng quản trị không phải là nhân viên khỏi việc xem xét theo tiêu chuẩn công bằng toàn diện. Trong </w:t>
      </w:r>
      <w:r>
        <w:rPr>
          <w:b w:val="0"/>
          <w:i/>
        </w:rPr>
        <w:t>Calma v. Templeton</w:t>
      </w:r>
      <w:r>
        <w:rPr>
          <w:b w:val="0"/>
          <w:i w:val="0"/>
        </w:rPr>
        <w:t xml:space="preserve"> , 2015 WL 1951930 (Del. Ch. Apr. 30, 2015), cổ đông đã đệ trình một vụ kiện phái sinh (derivative suit) đòi bồi thường thiệt hại chống lại hội đồng quản trị của Citrix Systems. Đơn kiện thách thức các khoản thưởng đơn vị cổ phiếu hạn chế (restricted stock units - RSU) được trao cho tám thành viên hội đồng quản trị không phải là nhân viên trong ba năm, theo một kế hoạch thù lao khuyến khích bằng cổ phần đã được cổ đông phê duyệt. Mặc dù kế hoạch quy định rằng "không người thụ hưởng nào có thể nhận được hơn một triệu cổ phiếu (hoặc RSU) mỗi năm dương lịch", nhưng nó không quy định bất kỳ số tiền thưởng cụ thể nào cho thành viên hội đồng quản trị, cũng như kế hoạch không đưa ra bất kỳ giới hạn trên cụ thể nào dành riêng cho thành viên hội đồng quản trị đối với các khoản thưởng trong tương lai được trao cho họ. Dựa trên giá cổ phiếu của Citrix tại thời điểm nguyên đơn đệ trình đơn kiện, một thành viên hội đồng quản trị có thể đã nhận được các khoản trợ cấp trị giá 55 triệu đô-la. Vì kế hoạch được cổ đông phê duyệt không đặt ra "giới hạn có ý nghĩa" (meaningful limits) nào đối với các khoản thưởng được trao cho thành viên hội đồng quản trị, tòa án đã phán quyết rằng lá phiếu của cổ đông không có tác dụng như một sự phê chuẩn đối với các khoản thưởng đang tranh chấp. Do đó, các tòa án Delaware có khả năng sẽ xem xét tính công bằng toàn diện của các khoản thưởng thù lao cho thành viên hội đồng quản trị trừ khi cổ đông đã phê duyệt các khoản thưởng cụ thể được trao hoặc đã phê duyệt các kế hoạch bao gồm "giới hạn có ý nghĩa" cụ thể đối với quy mô hoặc mức độ của các khoản thưởng thù lao thành viên hội đồng quản trị trong tương lai.</w:t>
      </w:r>
    </w:p>
    <w:p>
      <w:pPr>
        <w:spacing w:after="80"/>
      </w:pPr>
      <w:r>
        <w:rPr>
          <w:b w:val="0"/>
          <w:i w:val="0"/>
        </w:rPr>
        <w:t>Bạn có mong đợi phán quyết này sẽ dẫn đến việc đệ trình nhiều vụ kiện phái sinh của cổ đông thách thức thù lao của thành viên hội đồng quản trị hay không? Tại sao có hoặc tại sao không? Bạn sẽ đưa ra lời khuyên gì cho một hội đồng quản trị công ty đang tìm cách giảm thiểu rủi ro kiện tụng của mình?</w:t>
      </w:r>
    </w:p>
    <w:p>
      <w:pPr>
        <w:spacing w:after="80"/>
      </w:pPr>
      <w:r>
        <w:rPr>
          <w:b w:val="0"/>
          <w:i w:val="0"/>
        </w:rPr>
        <w:t>2. Luật công ty của Nevada có cách tiếp cận khác. Mục 78.140(5) của luật Nevada quy định:</w:t>
      </w:r>
    </w:p>
    <w:p>
      <w:pPr>
        <w:spacing w:after="80"/>
      </w:pPr>
      <w:r>
        <w:rPr>
          <w:b w:val="0"/>
          <w:i w:val="0"/>
        </w:rPr>
        <w:t>Trừ khi có quy định khác trong điều lệ thành lập hoặc quy chế nội bộ, hội đồng quản trị, không xét đến lợi ích cá nhân, có thể ấn định thù lao cho các giám đốc cho các dịch vụ dưới bất kỳ vai trò nào. Nếu hội đồng quản trị ấn định thù lao cho các giám đốc theo khoản này, thù lao đó được suy đoán là công bằng đối với công ty trừ khi được chứng minh là không công bằng bằng sự vượt trội của bằng chứng.</w:t>
      </w:r>
    </w:p>
    <w:p>
      <w:pPr>
        <w:spacing w:after="80"/>
      </w:pPr>
      <w:r>
        <w:rPr>
          <w:b w:val="0"/>
          <w:i w:val="0"/>
        </w:rPr>
        <w:t>Đối mặt với khiếu nại vi phạm nghĩa vụ tín thác (fiduciary duty) của cổ đông về việc tự trả thù lao quá mức, liệu các giám đốc bị đơn sẽ thích tranh tụng theo luật Delaware hay luật Nevada hơn?</w:t>
      </w:r>
    </w:p>
    <w:p>
      <w:pPr>
        <w:spacing w:after="80"/>
      </w:pPr>
      <w:r>
        <w:rPr>
          <w:b w:val="0"/>
          <w:i w:val="0"/>
        </w:rPr>
        <w:t>3. Các giám đốc của công ty đại chúng nhận thù lao dưới hình thức thù lao thường niên bằng tiền mặt, thù lao ủy ban, phí họp, phúc lợi (như bảo hiểm và tham gia các chương trình quyên góp từ thiện có đối ứng), đặc quyền (như sản phẩm của công ty và vé xem sự kiện thể thao), và ngày càng nhiều hơn là cổ phần trong công ty. Trên thực tế, hầu hết các tập đoàn lớn đã loại bỏ phí họp thường xuyên để thay bằng thù lao thường niên bằng tiền mặt/cổ phần cao hơn. Tỷ lệ pha trộn giữa tiền mặt và cổ phần trả cho giám đốc là khoảng 50/50, với các công ty lớn hơn trả cho giám đốc hơn một nửa thù lao bằng cổ phần.</w:t>
      </w:r>
    </w:p>
    <w:p>
      <w:pPr>
        <w:spacing w:after="80"/>
      </w:pPr>
      <w:r>
        <w:rPr>
          <w:b w:val="0"/>
          <w:i w:val="0"/>
        </w:rPr>
        <w:t>4. Như đã được xem xét khá kỹ trong Chương 6, các thiết kế thù lao điều hành cố gắng cung cấp cho các nhà quản lý động lực để tối đa hóa giá cổ phiếu của công ty, trả cho các giám đốc điều hành để cải thiện hiệu suất cổ phiếu. Tương tự, để gắn kết chặt chẽ hơn lợi ích kinh tế của giám đốc và cổ đông, các công ty đại chúng hiện nay cũng cấp cổ phần cho các thành viên hội đồng quản trị không thuộc ban điều hành. Liệu có hợp lý khi trả cho giám đốc theo hiệu suất? Động lực của các giám đốc bên ngoài khác với các CEO hoặc các giám đốc nội bộ khác như thế nào? Các công ty thường cấp các giải thưởng cổ phần có giá trị đầy đủ, thay vì quyền chọn cổ phiếu, cho các giám đốc bên ngoài. Tại sao cổ đông có thể lo ngại về việc trao quyền chọn cổ phiếu cho các giám đốc bên ngoài?</w:t>
      </w:r>
    </w:p>
    <w:p>
      <w:pPr>
        <w:spacing w:after="80"/>
      </w:pPr>
      <w:r>
        <w:rPr>
          <w:b w:val="0"/>
          <w:i w:val="0"/>
        </w:rPr>
        <w:t>5. Mặc dù các công ty đại chúng ngày càng áp đặt các yêu cầu sở hữu cổ phần tối thiểu đối với giám đốc, một số chuyên gia quản trị vẫn cho rằng các giám đốc bên ngoài vẫn thiếu động lực tài chính đầy đủ để tối đa hóa tài sản của cổ đông. Một đề xuất sẽ yêu cầu các giám đốc mới đầu tư một phần tài sản ròng của chính họ vào cổ phần của công ty. Một khuyến nghị khác là trao cho mỗi giám đốc cổ phần khuyến khích sẽ được chuyển quyền sở hữu sau một số năm kể từ khi nhiệm kỳ hội đồng quản trị của giám đốc kết thúc. Các lập luận ủng hộ và phản đối những ý tưởng này là gì?</w:t>
      </w:r>
    </w:p>
    <w:p>
      <w:pPr>
        <w:spacing w:after="80"/>
      </w:pPr>
      <w:r>
        <w:rPr>
          <w:b w:val="0"/>
          <w:i w:val="0"/>
        </w:rPr>
        <w:t xml:space="preserve">6. Trong thập kỷ qua, thù lao giám đốc đã tăng khoảng 5 phần trăm mỗi năm. Tổng thù lao trung bình cho các giám đốc của các tập đoàn thuộc S&amp;P 500 là gần 264.000 đô la vào năm 2014, cao hơn khoảng 6 phần trăm so với mức trung bình năm 2013 và cao hơn 24 phần trăm so với thù lao trung bình năm 2009. </w:t>
      </w:r>
      <w:r>
        <w:rPr>
          <w:b w:val="0"/>
          <w:i/>
        </w:rPr>
        <w:t>2014 Spencer Stuart Board Index</w:t>
      </w:r>
      <w:r>
        <w:rPr>
          <w:b w:val="0"/>
          <w:i w:val="0"/>
        </w:rPr>
        <w:t xml:space="preserve"> , Spencer Stuart Board Services 7, 9 (2014). Hơn một nửa thù lao của giám đốc đến dưới hình thức cổ phần, nhưng trong vòng năm năm, thù lao trung vị trả cho các giám đốc không phải nhân viên cũng đã tăng hơn gấp đôi.</w:t>
      </w:r>
    </w:p>
    <w:p>
      <w:pPr>
        <w:spacing w:after="80"/>
      </w:pPr>
      <w:r>
        <w:rPr>
          <w:b w:val="0"/>
          <w:i w:val="0"/>
        </w:rPr>
        <w:t>7. Thù lao giám đốc khác biệt cũng đã trở nên phổ biến. Các nhà lãnh đạo hội đồng quản trị, như giám đốc chủ trì/chủ tọa và các chủ tịch ủy ban, nhận thù lao bổ sung để ghi nhận vai trò quan trọng hơn và tốn nhiều thời gian hơn của họ. Các công ty thuộc S&amp;P 500 thường trả thù lao bổ sung cho các giám đốc làm chủ tịch các ủy ban thường trực, với các chủ tịch ủy ban kiểm toán và ủy ban thù lao của hội đồng quản trị nhận được thù lao cao nhất. Khi hội đồng quản trị thành lập các ủy ban đặc biệt cho các mục đích cụ thể, các chủ tịch của những ủy ban đó, cũng như các thành viên khác của ủy ban, thường nhận thù lao bổ sung như khoản đền bù cho nỗ lực của họ. Một lần nữa, đã có sự chuyển dịch về hình thức thù lao cho các nhà lãnh đạo hội đồng quản trị và thành viên của một số ủy ban nhất định, từ phí theo từng cuộc họp sang thù lao cố định.</w:t>
      </w:r>
    </w:p>
    <w:p>
      <w:pPr>
        <w:spacing w:after="80"/>
      </w:pPr>
      <w:r>
        <w:rPr>
          <w:b w:val="0"/>
          <w:i w:val="0"/>
        </w:rPr>
        <w:t>8. Một số nhà bình luận đã chỉ ra rủi ro kiện tụng như là lý do biện minh cho thù lao giám đốc cao hơn. Các giám đốc thực sự phải chịu một số rủi ro rằng cổ đông sẽ kiện họ vì vi phạm nghĩa vụ tín thác, đặc biệt là sau khi công bố các giao dịch quan trọng hoặc các sự kiện doanh nghiệp lớn khác. Tuy nhiên, như đã thảo luận trong Chương 10, các giám đốc tại các tập đoàn lớn hiếm khi phải chịu trách nhiệm cá nhân vì thất bại trong giám sát, ngay cả khi công ty chịu tổn thất lớn hoặc phải nộp các khoản tiền phạt đáng kể cho cơ quan chính phủ. Không chỉ rủi ro trách nhiệm pháp lý của giám đốc thấp (nói chung, các giám đốc hành động thiện chí được bảo vệ khỏi trách nhiệm pháp lý), mà các công ty còn bồi thường cho giám đốc của họ và cung cấp cho họ sự bảo vệ bằng bảo hiểm. Tuy nhiên, liệu các giám đốc có nên tự trả thù lao cho mình vì phải chịu một số rủi ro đối với danh tiếng của họ liên quan đến nhiệm kỳ hội đồng quản trị không? Làm thế nào các giám đốc có thể dự đoán rủi ro kiện tụng và xác định mức thù lao hợp lý cho sự phơi bày danh tiếng như vậy?</w:t>
      </w:r>
    </w:p>
    <w:p>
      <w:pPr>
        <w:spacing w:after="80"/>
      </w:pPr>
      <w:r>
        <w:rPr>
          <w:b w:val="0"/>
          <w:i w:val="0"/>
        </w:rPr>
        <w:t>9. Các quy định của NYSE yêu cầu đánh giá hội đồng quản trị, nhưng các quy định không bắt buộc bất kỳ quy trình cụ thể nào cho các đánh giá như vậy, cũng không yêu cầu đánh giá từng giám đốc riêng lẻ. Hơn nữa, các công ty đại chúng Hoa Kỳ hiếm khi công bố thông tin về khuôn khổ đánh giá hội đồng quản trị của họ (ngoài việc tuyên bố rằng có tồn tại một quy trình đánh giá), và các công ty không công bố các phát hiện từ các đánh giá gần đây. Làm thế nào cổ đông có thể đánh giá hiệu suất của giám đốc? Liệu có vai trò nào cho một chuyên gia độc lập trong vấn đề này không? Những tiết lộ nào về đánh giá hội đồng quản trị của công ty mà nhà đầu tư mong đợi được thấy trong bản tuyên bố ủy quyền thường niên của công ty?</w:t>
      </w:r>
    </w:p>
    <w:p>
      <w:pPr>
        <w:pStyle w:val="Heading2"/>
      </w:pPr>
      <w:r>
        <w:rPr>
          <w:rFonts w:ascii="Calibri" w:hAnsi="Calibri"/>
          <w:b/>
          <w:i w:val="0"/>
          <w:sz w:val="32"/>
        </w:rPr>
        <w:t>VIII. Đa dạng trong Hội đồng quản trị</w:t>
      </w:r>
    </w:p>
    <w:p>
      <w:pPr>
        <w:spacing w:after="80"/>
      </w:pPr>
      <w:r>
        <w:rPr>
          <w:b w:val="0"/>
          <w:i w:val="0"/>
        </w:rPr>
        <w:t>Trong thập kỷ qua, các nhà đầu tư và các bên liên quan khác đã gây áp lực buộc các công ty phải mở rộng sự đại diện của phụ nữ và người thiểu số trong hội đồng quản trị doanh nghiệp. Sự đa dạng trong phòng họp hội đồng quản trị hỗ trợ các giá trị như công bằng, công lý và cơ hội bình đẳng, những giá trị giống như những giá trị được thúc đẩy bởi luật chống phân biệt đối xử. Tuy nhiên, những người ủng hộ cải cách còn lập luận rằng trong một nền kinh tế toàn cầu, các công ty không có ban lãnh đạo đa dạng phải chịu bất lợi cạnh tranh trên thị trường tài chính, với các nhà cung cấp và khách hàng, và trong việc thu hút nhân viên mong muốn. Ngoài ra, một khối lượng lớn và ngày càng tăng các nghiên cứu tâm lý học hành vi, đặc biệt là các nghiên cứu về giải quyết vấn đề theo nhóm, ủng hộ sự đa dạng như một chuẩn mực của quản trị tốt. Tài liệu này ghi lại và giải thích cách sự hiện diện của phụ nữ và người thiểu số cải thiện các cuộc thảo luận nhóm bằng cách mang lại thông tin, ý kiến và quan điểm mới cho cuộc thảo luận, từ đó khơi gợi các phân tích chu đáo hơn, tạo ra các giải pháp bổ sung, và thúc đẩy sự sáng tạo và đổi mới lớn hơn. Trong chừng mực mà các nhóm có thành viên đồng nhất củng cố các định kiến và phải chịu những hiểm nguy của tư duy tập thể (groupthink), sự đa dạng nâng cao chất lượng ra quyết định của nhóm.</w:t>
      </w:r>
    </w:p>
    <w:p>
      <w:pPr>
        <w:spacing w:after="80"/>
      </w:pPr>
      <w:r>
        <w:rPr>
          <w:b w:val="0"/>
          <w:i w:val="0"/>
        </w:rPr>
        <w:t>Với lý lẽ kinh doanh củng cố lợi ích của sự đa dạng, người ta có thể kỳ vọng rằng phụ nữ và người thiểu số sẽ đạt được sự đại diện lớn hơn trong hội đồng quản trị doanh nghiệp. Tuy nhiên, trên thực tế, hầu hết các hội đồng quản trị bao gồm rất ít phụ nữ và thậm chí còn ít người da màu hơn. Nam giới da trắng vẫn chiếm khoảng ba phần tư số ghế trong các phòng họp hội đồng quản trị của các công ty lớn ở Hoa Kỳ, và phụ nữ và người thiểu số vẫn ít được đại diện, ngay cả sau khi các hội đồng quản trị cải tổ thành viên để tuân thủ các yêu cầu về tính độc lập. Những người đàn ông tên James, Robert, William và John nắm giữ nhiều ghế trong hội đồng quản trị doanh nghiệp hơn phụ nữ.</w:t>
      </w:r>
    </w:p>
    <w:p>
      <w:pPr>
        <w:spacing w:after="80"/>
      </w:pPr>
      <w:r>
        <w:rPr>
          <w:b w:val="0"/>
          <w:i w:val="0"/>
        </w:rPr>
        <w:t>Những người ủng hộ đa dạng hóa hội đồng quản trị doanh nghiệp có ít bằng chứng hơn chứng minh rằng các công ty được giám sát bởi các hội đồng quản trị đa dạng có hiệu suất tài chính tốt hơn các hội đồng quản trị đồng nhất. Một số nghiên cứu đã báo cáo mối tương quan tích cực có thể đo lường được giữa sự đa dạng của hội đồng quản trị và các chỉ số khác nhau về hiệu suất của công ty, như lợi nhuận trên tài sản, lợi nhuận trên vốn chủ sở hữu, biên lợi nhuận, thanh toán cổ tức và doanh thu. Tuy nhiên, các nhà điều tra khác đã tìm thấy mối tương quan tiêu cực hoặc không có mối quan hệ đáng kể nào, như đã thảo luận trong bài viết sau đây.</w:t>
      </w:r>
    </w:p>
    <w:p>
      <w:pPr>
        <w:pStyle w:val="Heading4"/>
      </w:pPr>
      <w:r>
        <w:rPr>
          <w:rFonts w:ascii="Calibri" w:hAnsi="Calibri"/>
          <w:b/>
          <w:i w:val="0"/>
          <w:sz w:val="23"/>
        </w:rPr>
        <w:t xml:space="preserve">Renée B. Adams &amp; Daniel Ferreira, </w:t>
      </w:r>
      <w:r>
        <w:rPr>
          <w:rFonts w:ascii="Calibri" w:hAnsi="Calibri"/>
          <w:b/>
          <w:i/>
          <w:sz w:val="23"/>
        </w:rPr>
        <w:t>Women in the Boardroom and</w:t>
      </w:r>
      <w:r>
        <w:br/>
      </w:r>
      <w:r>
        <w:rPr>
          <w:rFonts w:ascii="Calibri" w:hAnsi="Calibri"/>
          <w:b/>
          <w:i/>
          <w:sz w:val="23"/>
        </w:rPr>
        <w:t xml:space="preserve"> Their Impact on Governance and Performance</w:t>
      </w:r>
    </w:p>
    <w:p>
      <w:pPr>
        <w:spacing w:after="80"/>
      </w:pPr>
      <w:r>
        <w:rPr>
          <w:b w:val="0"/>
          <w:i w:val="0"/>
        </w:rPr>
        <w:t>94 J. Fin. Econ. 291 (2009)</w:t>
      </w:r>
    </w:p>
    <w:p>
      <w:pPr>
        <w:spacing w:after="80"/>
      </w:pPr>
      <w:r>
        <w:rPr>
          <w:b w:val="0"/>
          <w:i w:val="0"/>
        </w:rPr>
        <w:t>Phụ nữ nắm giữ ít ghế trong hội đồng quản trị doanh nghiệp. Ở Hoa Kỳ, phụ nữ nắm giữ 14,8% số ghế trong hội đồng quản trị của Fortune 500 vào năm 2007. Tỷ lệ giám đốc nữ ở Úc, Canada, Nhật Bản và Châu Âu được ước tính lần lượt là 8,7%, 10,6%, 0,4% và 8,0%. Hơn nữa, phần lớn các công ty có giám đốc nữ chỉ có một giám đốc nữ duy nhất, một thực tế thường được coi là bằng chứng của việc chỉ làm cho có lệ (tokenism). Ví dụ, trong hai trăm công ty hàng đầu ở Châu Âu, 62% công ty có ít nhất một giám đốc nữ, nhưng chỉ 28% có nhiều hơn một vào năm 2004. Ở Úc, 50% công ty thuộc ASX200 có ít nhất một giám đốc nữ, nhưng chỉ 13,5% có nhiều hơn một vào năm 2006. Trong dữ liệu của chúng tôi, 65% các công ty có ít nhất một giám đốc nữ vào năm 2003, nhưng chỉ 25% có nhiều hơn một.</w:t>
      </w:r>
    </w:p>
    <w:p>
      <w:pPr>
        <w:spacing w:after="80"/>
      </w:pPr>
      <w:r>
        <w:rPr>
          <w:b w:val="0"/>
          <w:i w:val="0"/>
        </w:rPr>
        <w:t>Tình hình này có khả năng sẽ thay đổi vì các hội đồng quản trị trên khắp thế giới đang chịu áp lực ngày càng tăng trong việc lựa chọn giám đốc nữ. Nhiều đề xuất cải cách quản trị nhấn mạnh rõ ràng tầm quan trọng của sự đa dạng giới trong phòng họp hội đồng quản trị. Tại Anh, báo cáo Higgs, do Bộ Thương mại và Công nghiệp Anh đặt hàng, lập luận rằng sự đa dạng có thể nâng cao hiệu quả của hội đồng quản trị và đặc biệt khuyến nghị rằng các công ty nên chủ động tìm kiếm nhiều hơn từ các nhóm chuyên môn nơi phụ nữ được đại diện tốt hơn. Nếu các công ty không tự nguyện dành tối thiểu 25% ghế trong hội đồng quản trị cho giám đốc nữ, Thụy Điển đã đe dọa sẽ biến sự đa dạng giới thành yêu cầu pháp lý. Việc thúc đẩy đa dạng giới cực đoan nhất diễn ra ở Na Uy, nơi kể từ tháng 1 năm 2008, tất cả các công ty niêm yết phải tuân thủ hạn ngạch giới 40% cho giám đốc nữ hoặc đối mặt với việc giải thể. Mặc dù còn quá sớm để đánh giá hậu quả của thí nghiệm độc đáo này ở Na Uy, Tây Ban Nha đã noi gương Na Uy bằng cách ban hành luật yêu cầu các công ty tăng tỷ lệ giám đốc nữ lên 40% vào năm 2015.</w:t>
      </w:r>
    </w:p>
    <w:p>
      <w:pPr>
        <w:spacing w:after="80"/>
      </w:pPr>
      <w:r>
        <w:rPr>
          <w:b w:val="0"/>
          <w:i w:val="0"/>
        </w:rPr>
        <w:t>Hầu hết các sáng kiến lập pháp này đều dựa trên quan điểm rằng sự hiện diện của phụ nữ trong hội đồng quản trị có thể ảnh hưởng đến việc quản trị công ty theo những cách đáng kể. Một lập luận cho rằng hội đồng quản trị có thể nâng cao hiệu quả của mình bằng cách khai thác các nguồn nhân tài rộng lớn hơn cho các giám đốc. Ví dụ, báo cáo Higgs chỉ ra rằng, mặc dù khoảng 30% quản lý trong khu vực doanh nghiệp Anh là nữ, phụ nữ chỉ nắm giữ 6% vị trí giám đốc không điều hành. Một lập luận khác cho rằng, vì họ không thuộc "câu lạc bộ các ông già", các giám đốc nữ có thể phù hợp hơn với khái niệm giám đốc độc lập được nhấn mạnh trong lý thuyết.</w:t>
      </w:r>
    </w:p>
    <w:p>
      <w:pPr>
        <w:spacing w:after="80"/>
      </w:pPr>
      <w:r>
        <w:rPr>
          <w:b w:val="0"/>
          <w:i w:val="0"/>
        </w:rPr>
        <w:t>Trong bài báo này, chúng tôi cung cấp bằng chứng mới liên quan đến cuộc tranh luận này bằng cách điều tra giả thuyết rằng sự đa dạng giới trong phòng họp hội đồng quản trị ảnh hưởng đến quản trị theo những cách có ý nghĩa. Cụ thể, chúng tôi đặt ra các câu hỏi sau. Thứ nhất, các thước đo đầu vào của hội đồng quản trị (sự tham dự của giám đốc và phân công ủy ban) có thay đổi theo sự đa dạng giới không? Thứ hai, thành phần giới của hội đồng quản trị có ảnh hưởng đến các thước đo quản trị, như luân chuyển giám đốc điều hành và thù lao không? Cuối cùng, tác động của sự đa dạng giới đối với quản trị có đủ quan trọng để ảnh hưởng đến hiệu quả hoạt động của công ty không? Câu trả lời cho những câu hỏi này thú vị vì một số lý do. Ví dụ, chúng có thể giúp chúng ta hiểu tác động của thành phần nhóm đối với hiệu quả của hội đồng quản trị và khả năng thành công hay thất bại của các đề xuất quản trị ủng hộ sự đa dạng lớn hơn. Chúng cũng có thể làm sáng tỏ liệu chủ nghĩa hình thức có ngăn cản các giám đốc nữ tạo ra tác động đến kết quả của công ty hay không.</w:t>
      </w:r>
    </w:p>
    <w:p>
      <w:pPr>
        <w:spacing w:after="80"/>
      </w:pPr>
      <w:r>
        <w:rPr>
          <w:b w:val="0"/>
          <w:i w:val="0"/>
        </w:rPr>
        <w:t>Chúng tôi nhận thấy rằng sự đa dạng giới trong hội đồng quản trị có tác động đáng kể đến đầu vào của hội đồng quản trị. Phụ nữ dường như hành xử khác với nam giới liên quan đến thước đo hành vi tham dự của chúng tôi. Cụ thể, phụ nữ ít có vấn đề về tham dự hơn nam giới. Hơn nữa, tỷ lệ phụ nữ trong hội đồng quản trị càng cao thì hành vi tham dự của các giám đốc nam càng tốt. Giữ nguyên các đặc điểm khác của giám đốc, các giám đốc nữ cũng có nhiều khả năng ngồi trong các ủy ban liên quan đến giám sát hơn các giám đốc nam. Cụ thể, phụ nữ có nhiều khả năng được phân công vào các ủy ban kiểm toán, đề cử và quản trị công ty, mặc dù họ ít có khả năng ngồi trong các ủy ban thù lao hơn nam giới.</w:t>
      </w:r>
    </w:p>
    <w:p>
      <w:pPr>
        <w:spacing w:after="80"/>
      </w:pPr>
      <w:r>
        <w:rPr>
          <w:b w:val="0"/>
          <w:i w:val="0"/>
        </w:rPr>
        <w:t>Phụ nữ cũng dường như có tác động đáng kể đến quản trị hội đồng quản trị. Chúng tôi tìm thấy bằng chứng trực tiếp rằng các hội đồng quản trị đa dạng hơn có nhiều khả năng buộc CEO phải chịu trách nhiệm về hiệu suất giá cổ phiếu kém; luân chuyển CEO nhạy cảm hơn với hiệu suất lợi nhuận cổ phiếu ở các công ty có tương đối nhiều phụ nữ trong hội đồng quản trị. Trong dữ liệu của chúng tôi, tác động này mạnh hơn và vững chắc hơn so với các tác động đã được chứng minh trước đây của tính độc lập của hội đồng quản trị đối với luân chuyển CEO. Chúng tôi cũng nhận thấy rằng các giám đốc trong các hội đồng quản trị đa dạng giới nhận được thù lao dựa trên cổ phần tương đối nhiều hơn. Chúng tôi không tìm thấy mối quan hệ có ý nghĩa thống kê giữa sự đa dạng giới và mức độ cũng như thành phần thù lao của CEO, điều này phù hợp với phát hiện của chúng tôi rằng các thành viên nữ trong hội đồng quản trị ít được đại diện trong các ủy ban thù lao và do đó ít tham gia vào việc thiết lập thù lao của CEO.</w:t>
      </w:r>
    </w:p>
    <w:p>
      <w:pPr>
        <w:spacing w:after="80"/>
      </w:pPr>
      <w:r>
        <w:rPr>
          <w:b w:val="0"/>
          <w:i w:val="0"/>
        </w:rPr>
        <w:t>Bằng chứng về mối quan hệ giữa sự đa dạng giới trong hội đồng quản trị và hiệu quả hoạt động của công ty khó diễn giải hơn. Mặc dù mối tương quan giữa sự đa dạng giới với giá trị công ty hoặc hiệu quả hoạt động có vẻ tích cực khi xem xét ban đầu, mối tương quan này biến mất khi chúng tôi áp dụng các quy trình hợp lý để giải quyết các vấn đề biến số bị bỏ sót và quan hệ nhân quả ngược. Kết quả của chúng tôi cho thấy rằng, trung bình, các công ty hoạt động kém hơn khi sự đa dạng giới của hội đồng quản trị càng lớn. Kết quả này phù hợp với lập luận rằng việc giám sát hội đồng quản trị quá nhiều có thể làm giảm giá trị cổ đông. Do đó, có thể sự đa dạng giới chỉ làm tăng giá trị khi việc giám sát hội đồng quản trị bổ sung sẽ nâng cao giá trị công ty. Để điều tra giả thuyết này, chúng tôi xem xét liệu sự đa dạng giới có ảnh hưởng đến hiệu quả hoạt động một cách khác biệt ở các công ty có mức độ quyền cổ đông khác nhau hay không, được định nghĩa bằng dữ liệu quản trị của Trung tâm Nghiên cứu Trách nhiệm Nhà đầu tư (IRRC). Phù hợp với giả thuyết này, chúng tôi nhận thấy rằng sự đa dạng giới có tác động có lợi ở các công ty có quyền cổ đông yếu, nơi việc giám sát hội đồng quản trị bổ sung có thể nâng cao giá trị công ty, nhưng có tác động bất lợi ở các công ty có quyền cổ đông mạnh.</w:t>
      </w:r>
    </w:p>
    <w:p>
      <w:pPr>
        <w:spacing w:after="80"/>
      </w:pPr>
      <w:r>
        <w:rPr>
          <w:b w:val="0"/>
          <w:i w:val="0"/>
        </w:rPr>
        <w:t>Bất chấp tầm quan trọng của sự đa dạng giới trong cuộc tranh luận chính sách, tương đối ít nghiên cứu liên kết sự đa dạng và quản trị công ty. Carter, Simkins và Simpson (2003) tìm thấy mối quan hệ tích cực giữa sự đa dạng giới và sắc tộc của hội đồng quản trị và hiệu quả hoạt động của công ty, . . . Farrell và Hersch (2005) nhận thấy rằng giới tính ảnh hưởng một cách có hệ thống đến việc lựa chọn giám đốc vào hội đồng quản trị. Họ lập luận rằng bằng chứng của họ phù hợp với ý tưởng rằng các giám đốc nữ được thêm vào hội đồng quản trị sau các lời kêu gọi đa dạng từ bên trong hoặc bên ngoài. Những bài báo này không giải quyết đầy đủ các vấn đề nội sinh phát sinh do sự khác biệt về đặc điểm không thể quan sát được giữa các công ty hoặc quan hệ nhân quả ngược. Do đó, phát hiện của họ không thể được đưa ra diễn giải nhân quả. Bài báo của chúng tôi bổ sung cho những bài báo này bằng cách cung cấp một phân tích toàn diện về hậu quả của sự đa dạng giới trong hội đồng quản trị. Chúng tôi cũng đặc biệt chú ý đến các vấn đề nội sinh có thể gây nhầm lẫn cho việc diễn giải các phát hiện thực nghiệm.</w:t>
      </w:r>
    </w:p>
    <w:p>
      <w:pPr>
        <w:spacing w:after="80"/>
      </w:pPr>
      <w:r>
        <w:rPr>
          <w:b w:val="0"/>
          <w:i w:val="0"/>
        </w:rPr>
        <w:t>Nói rộng hơn, bài báo của chúng tôi đóng góp cho tài liệu về nhân khẩu học của các tổ chức, vốn chủ yếu được nghiên cứu bởi các nhà nghiên cứu trong lý thuyết quản lý và tổ chức và ngày càng nhiều trong kinh tế học và tài chính doanh nghiệp. Các bài báo thực nghiệm theo truyền thống này đã xem xét cả tác động của nhân khẩu học đối với kết quả và các yếu tố quyết định nhân khẩu học trong các tổ chức. Trong tài liệu kinh tế học và tài chính, [các nhà nghiên cứu nhận thấy rằng] các công ty dường như chọn giám đốc dựa trên đặc điểm cá nhân của họ. [Các nhà nghiên cứu khác] nhận thấy rằng một số đặc điểm cá nhân của CEO (như nhiệm kỳ và tuổi tác) có liên quan đến cấu trúc hội đồng quản trị.</w:t>
      </w:r>
    </w:p>
    <w:p>
      <w:pPr>
        <w:spacing w:after="80"/>
      </w:pPr>
      <w:r>
        <w:rPr>
          <w:b w:val="0"/>
          <w:i w:val="0"/>
        </w:rPr>
        <w:t>Nhìn chung, kết quả của chúng tôi cho thấy rằng các hội đồng quản trị đa dạng giới là những người giám sát cứng rắn hơn. Tuy nhiên, chúng tiết lộ rằng việc bắt buộc hạn ngạch giới trong phòng họp hội đồng quản trị có thể gây hại cho các công ty được quản trị tốt, nơi việc giám sát bổ sung là phản tác dụng.</w:t>
      </w:r>
    </w:p>
    <w:p>
      <w:pPr>
        <w:pStyle w:val="Heading5"/>
      </w:pPr>
      <w:r>
        <w:rPr>
          <w:rFonts w:ascii="Calibri" w:hAnsi="Calibri"/>
          <w:b/>
          <w:i/>
          <w:sz w:val="22"/>
        </w:rPr>
        <w:t>Bình luận và Câu hỏi</w:t>
      </w:r>
    </w:p>
    <w:p>
      <w:pPr>
        <w:spacing w:after="80"/>
      </w:pPr>
      <w:r>
        <w:rPr>
          <w:b w:val="0"/>
          <w:i w:val="0"/>
        </w:rPr>
        <w:t xml:space="preserve">1. Phụ nữ chiếm hơn một nửa tổng lực lượng lao động ở Mỹ, và một nửa số quản lý là phụ nữ. Tuy nhiên, tỷ lệ các vị trí lãnh đạo hàng đầu trong doanh nghiệp Mỹ chỉ thay đổi một cách khiêm tốn kể từ khi Giáo sư Adams và Ferreira công bố bài báo của họ. Ít hơn một trong năm phụ nữ giữ vai trò giám đốc tại các công ty S&amp;P 500 ngày nay, so với 16 phần trăm năm năm trước. Nhiều phụ nữ hơn đã tham gia các hội đồng quản trị này trong năm ủy nhiệm 2015, nhưng họ đạt được các vị trí giám đốc với tốc độ chậm hơn. Ít hơn một phần ba số giám đốc độc lập mới là phụ nữ, tăng khoảng một điểm phần trăm so với năm trước. Nhiều phụ nữ hơn cũng giữ văn phòng giám đốc điều hành trong các bộ phận điều hành cấp cao, nhưng một lần nữa, tiến độ hướng tới bình đẳng giới đã chậm lại. Một nghiên cứu năm 2015 báo cáo rằng chỉ có 22 phụ nữ giữ vai trò CEO tại các công ty S&amp;P 500. Catalyst, </w:t>
      </w:r>
      <w:r>
        <w:rPr>
          <w:b w:val="0"/>
          <w:i/>
        </w:rPr>
        <w:t>Women CEOs of the S&amp;P 500</w:t>
      </w:r>
      <w:r>
        <w:rPr>
          <w:b w:val="0"/>
          <w:i w:val="0"/>
        </w:rPr>
        <w:t xml:space="preserve"> , Oct. 9, 2015. Số lượng công ty trong S&amp;P 500 không có đại diện thiểu số thực sự tăng trong thập kỷ qua, từ 36 phần trăm năm 2000 lên 41 phần trăm năm 2007. Điều gì có thể giải thích những số liệu thống kê này, bao gồm cả sự sụt giảm?</w:t>
      </w:r>
    </w:p>
    <w:p>
      <w:pPr>
        <w:spacing w:after="80"/>
      </w:pPr>
      <w:r>
        <w:rPr>
          <w:b w:val="0"/>
          <w:i w:val="0"/>
        </w:rPr>
        <w:t>2. Các nhà nghiên cứu thực nghiệm không đồng ý về tác động của sự đa dạng hội đồng quản trị đối với hiệu quả hoạt động của công ty. Giáo sư Adams và Ferreira nhận thấy rằng mặc dù các hội đồng quản trị có tỷ lệ phụ nữ cao hơn giám sát ban quản lý chặt chẽ hơn, những công ty đó không có hiệu quả tài chính tốt hơn.</w:t>
      </w:r>
    </w:p>
    <w:p>
      <w:pPr>
        <w:spacing w:after="80"/>
      </w:pPr>
      <w:r>
        <w:rPr>
          <w:b w:val="0"/>
          <w:i w:val="0"/>
        </w:rPr>
        <w:t xml:space="preserve">Các nghiên cứu khác báo cáo rằng các công ty có hội đồng quản trị đa dạng hoạt động tài chính tốt hơn các công ty cùng ngành. </w:t>
      </w:r>
      <w:r>
        <w:rPr>
          <w:b w:val="0"/>
          <w:i/>
        </w:rPr>
        <w:t>Xem, ví dụ</w:t>
      </w:r>
      <w:r>
        <w:rPr>
          <w:b w:val="0"/>
          <w:i w:val="0"/>
        </w:rPr>
        <w:t xml:space="preserve"> , Credit Suisse Res. Inst., </w:t>
      </w:r>
      <w:r>
        <w:rPr>
          <w:b w:val="0"/>
          <w:i/>
        </w:rPr>
        <w:t>Gender Diversity and Corporate Performance</w:t>
      </w:r>
      <w:r>
        <w:rPr>
          <w:b w:val="0"/>
          <w:i w:val="0"/>
        </w:rPr>
        <w:t xml:space="preserve"> (Aug. 2012); Catalyst, </w:t>
      </w:r>
      <w:r>
        <w:rPr>
          <w:b w:val="0"/>
          <w:i/>
        </w:rPr>
        <w:t>The Bottom Line: Corporate Performance and Women's Representation on Boards</w:t>
      </w:r>
      <w:r>
        <w:rPr>
          <w:b w:val="0"/>
          <w:i w:val="0"/>
        </w:rPr>
        <w:t xml:space="preserve"> (2007). Kết quả mâu thuẫn không đáng ngạc nhiên; các nhà nghiên cứu xem xét dữ liệu từ các khoảng thời gian, quốc gia, nền kinh tế và loại hình công ty khác nhau, và các học giả không sử dụng cùng định nghĩa về sự đa dạng hoặc thước đo hiệu quả tài chính.</w:t>
      </w:r>
    </w:p>
    <w:p>
      <w:pPr>
        <w:spacing w:after="80"/>
      </w:pPr>
      <w:r>
        <w:rPr>
          <w:b w:val="0"/>
          <w:i w:val="0"/>
        </w:rPr>
        <w:t xml:space="preserve">Không có nghiên cứu nào tuyên bố thiết lập rằng sự đa dạng hội đồng quản trị </w:t>
      </w:r>
      <w:r>
        <w:rPr>
          <w:b w:val="0"/>
          <w:i/>
        </w:rPr>
        <w:t>gây ra</w:t>
      </w:r>
      <w:r>
        <w:rPr>
          <w:b w:val="0"/>
          <w:i w:val="0"/>
        </w:rPr>
        <w:t xml:space="preserve"> hiệu quả hoạt động vượt trội của công ty. Liệu điều ngược lại có thể đúng không? Có lẽ các công ty thành công về tài chính có vị thế tốt hơn để thu hút các ứng viên giám đốc là phụ nữ và người thiểu số được săn đón cao. Các công ty lớn hơn và hoạt động tốt hơn có thể có nhiều nguồn lực hơn để dành cho việc theo đuổi sự đa dạng. Những công ty như vậy cũng có thể phải đối mặt với nhiều áp lực hơn từ các kế hoạch lương hưu công và những người ủng hộ đa dạng để tăng số lượng phụ nữ và người thiểu số trong ban quản lý.</w:t>
      </w:r>
    </w:p>
    <w:p>
      <w:pPr>
        <w:spacing w:after="80"/>
      </w:pPr>
      <w:r>
        <w:rPr>
          <w:b w:val="0"/>
          <w:i w:val="0"/>
        </w:rPr>
        <w:t>3. Trong trường hợp không có nghiên cứu dứt khoát thiết lập mối liên hệ nhân quả giữa sự đa dạng hội đồng quản trị và hiệu quả kinh tế của công ty, những lập luận tốt nhất để tuyển dụng nhiều phụ nữ và người da màu hơn làm giám đốc là gì? Bạn có thể xác định các lý do phi kinh doanh chính đáng để tăng sự đa dạng trong hội đồng quản trị công ty không? Các công ty có nên đề cử nhiều phụ nữ và người thiểu số hơn chỉ dựa trên nhu cầu được nhận thức về sự đa dạng lớn hơn trong doanh nghiệp Mỹ không? Liệu chiến lược này có thể phản tác dụng không? Như thế nào?</w:t>
      </w:r>
    </w:p>
    <w:p>
      <w:pPr>
        <w:spacing w:after="80"/>
      </w:pPr>
      <w:r>
        <w:rPr>
          <w:b w:val="0"/>
          <w:i w:val="0"/>
        </w:rPr>
        <w:t>4. Trong thập kỷ qua, nhiều quốc gia châu Âu, bao gồm Pháp, Ý, Hà Lan và Tây Ban Nha, đã thiết lập hạn ngạch nhằm tăng số lượng giám đốc nữ trong hội đồng quản trị công ty. Gần đây nhất, sau nhiều tháng tranh luận sôi nổi, Đức đã ban hành luật mới yêu cầu phụ nữ nắm giữ 30 phần trăm ghế trong hội đồng giám sát của các công ty niêm yết vào năm 2016. Hạn ngạch áp dụng cho khoảng 100 công ty lớn nhất của Đức. Na Uy, quốc gia đầu tiên lập pháp về sự đa dạng trong phòng họp hội đồng quản trị vào năm 2003, yêu cầu hội đồng quản trị phải bao gồm ít nhất 40 phần trăm đại diện của cả hai giới. Kết quả là, Na Uy có tỷ lệ phụ nữ trong hội đồng quản trị công ty cao nhất. Tuy nhiên, hàng chục công ty đã tái thành lập bên ngoài quốc gia hoặc trở thành công ty trách nhiệm hữu hạn tư nhân để lách hạn ngạch. Hơn nữa, nghiên cứu cho thấy rằng việc tuân thủ quy định không cải thiện hiệu quả hoạt động của công ty trong những năm đầu sau khi thực hiện. Một nghiên cứu đã công bố báo cáo rằng luật Na Uy đã dẫn đến các hội đồng quản trị trẻ hơn và ít kinh nghiệm hơn, tăng đòn bẩy và mua lại, và suy giảm hiệu quả hoạt động.</w:t>
      </w:r>
    </w:p>
    <w:p>
      <w:pPr>
        <w:spacing w:after="80"/>
      </w:pPr>
      <w:r>
        <w:rPr>
          <w:b w:val="0"/>
          <w:i w:val="0"/>
        </w:rPr>
        <w:t>Bạn nghĩ gì về các luật bắt buộc đa dạng giới tính trong hội đồng quản trị doanh nghiệp? Quốc hội có nên ban hành một đạo luật tương tự để điều chỉnh các công ty đại chúng ở Mỹ không?</w:t>
      </w:r>
    </w:p>
    <w:p>
      <w:pPr>
        <w:spacing w:after="80"/>
      </w:pPr>
      <w:r>
        <w:rPr>
          <w:b w:val="0"/>
          <w:i w:val="0"/>
        </w:rPr>
        <w:t>—————</w:t>
      </w:r>
    </w:p>
    <w:p>
      <w:pPr>
        <w:spacing w:after="80"/>
      </w:pPr>
      <w:r>
        <w:rPr>
          <w:b w:val="0"/>
          <w:i w:val="0"/>
        </w:rPr>
        <w:t>Điều gì giải thích sự khan hiếm tương đối kéo dài của phụ nữ và người da màu trong các phòng họp hội đồng quản trị doanh nghiệp? Các nhà bình luận đã suy đoán về những lý do dẫn đến thành tích khiêm tốn của Hoa Kỳ trong vấn đề đa dạng hội đồng quản trị. Một lời giải thích là do thiếu nguồn cung đủ phụ nữ và người thiểu số đủ điều kiện để phục vụ. Tuyên bố này sẽ được xem xét tiếp theo.</w:t>
      </w:r>
    </w:p>
    <w:p>
      <w:pPr>
        <w:pStyle w:val="Heading4"/>
      </w:pPr>
      <w:r>
        <w:rPr>
          <w:rFonts w:ascii="Calibri" w:hAnsi="Calibri"/>
          <w:b/>
          <w:i w:val="0"/>
          <w:sz w:val="23"/>
        </w:rPr>
        <w:t xml:space="preserve">Lisa M. Fairfax, </w:t>
      </w:r>
      <w:r>
        <w:rPr>
          <w:rFonts w:ascii="Calibri" w:hAnsi="Calibri"/>
          <w:b/>
          <w:i/>
          <w:sz w:val="23"/>
        </w:rPr>
        <w:t>Board Diversity Revisited:</w:t>
      </w:r>
      <w:r>
        <w:br/>
      </w:r>
      <w:r>
        <w:rPr>
          <w:rFonts w:ascii="Calibri" w:hAnsi="Calibri"/>
          <w:b/>
          <w:i/>
          <w:sz w:val="23"/>
        </w:rPr>
        <w:t xml:space="preserve"> New Rationale, Same Old Story?</w:t>
      </w:r>
    </w:p>
    <w:p>
      <w:pPr>
        <w:spacing w:after="80"/>
      </w:pPr>
      <w:r>
        <w:rPr>
          <w:b w:val="0"/>
          <w:i w:val="0"/>
        </w:rPr>
        <w:t>89 N.C. L. Rev. 855 (2011)</w:t>
      </w:r>
    </w:p>
    <w:p>
      <w:pPr>
        <w:spacing w:after="80"/>
      </w:pPr>
      <w:r>
        <w:rPr>
          <w:b w:val="0"/>
          <w:i w:val="0"/>
        </w:rPr>
        <w:t>Trong bối cảnh hội đồng quản trị doanh nghiệp, vấn đề nguồn ứng viên (pool problem) đề cập đến quan điểm rằng nhóm ứng viên đáp ứng các tiêu chí để phục vụ trong hội đồng quản trị doanh nghiệp, đặc biệt là các hội đồng quản trị công ty đại chúng lớn, là tương đối nhỏ. Các nghiên cứu về hội đồng quản trị cho thấy các doanh nghiệp ưu tiên những giám đốc có kinh nghiệm ở cấp điều hành. Do đó, vào năm 2007, 96% hội đồng quản trị của Fortune 1000 có một hoặc nhiều giám đốc là cựu điều hành viên, và tình trạng này phản ánh đặc điểm phổ biến nhất của các giám đốc. Thật vậy, hầu hết giám đốc là các CEO đương nhiệm hoặc đã nghỉ hưu hoặc các điều hành viên doanh nghiệp khác, những người từng đứng đầu một bộ phận hoặc là trưởng một đơn vị chức năng. Số lượng người da màu và phụ nữ phù hợp với hồ sơ này là tương đối nhỏ. Kết quả là, các doanh nghiệp tập trung vào những loại tiêu chí này có thể gặp vấn đề nguồn ứng viên trong việc tìm kiếm các ứng viên giám đốc đa dạng.</w:t>
      </w:r>
    </w:p>
    <w:p>
      <w:pPr>
        <w:spacing w:after="80"/>
      </w:pPr>
      <w:r>
        <w:rPr>
          <w:b w:val="0"/>
          <w:i w:val="0"/>
        </w:rPr>
        <w:t>Chắc chắn rằng, các doanh nghiệp có thể đã phóng đại mức độ mà vấn đề nguồn ứng viên tạo thành một rào cản đáng kể đối với sự đa dạng của hội đồng quản trị. Điều này là bởi vì có tương đối ít yêu cầu pháp lý đối với việc phục vụ trong hội đồng quản trị, và không có yêu cầu nào trong số đó đòi hỏi các thành viên hội đồng quản trị phải có những hình thức kinh nghiệm hoặc nền tảng cụ thể. Hơn nữa, mặc dù không thể phủ nhận rằng việc phục vụ trong hội đồng quản trị đòi hỏi một số hiểu biết về các vấn đề tài chính và công việc doanh nghiệp, không có nghiên cứu nào chỉ ra rằng hiệu quả hoạt động của hội đồng quản trị hay doanh nghiệp được nâng cao có liên quan đến việc đảm bảo rằng đa số hoặc đại đa số thành viên hội đồng quản trị có chuyên môn ở cấp điều hành. Thay vào đó, các hội đồng quản trị hoặc ủy ban bao gồm các giám đốc có kinh nghiệm quản lý trước đây có thể có thành kiến ủng hộ ban điều hành, điều này có thể làm suy yếu khả năng độc lập và khách quan của họ. Ở khía cạnh này, việc tập trung vào việc lấp đầy hội đồng quản trị bằng quá nhiều cựu điều hành viên có thể có những hậu quả tiêu cực. Quan trọng hơn, việc các doanh nghiệp có xu hướng nghiêng về các thành viên hội đồng quản trị có nền tảng và kinh nghiệm cụ thể là một chức năng của tập quán chứ không phải bất kỳ quy tắc pháp lý nào. Từ góc độ này, bởi vì vấn đề nguồn ứng viên bắt nguồn từ tập quán chứ không phải từ các chế độ pháp lý, người ta có thể đặt câu hỏi về tính chính đáng của vấn đề này.</w:t>
      </w:r>
    </w:p>
    <w:p>
      <w:pPr>
        <w:spacing w:after="80"/>
      </w:pPr>
      <w:r>
        <w:rPr>
          <w:b w:val="0"/>
          <w:i w:val="0"/>
        </w:rPr>
        <w:t>Tuy nhiên, vấn đề nguồn ứng viên vẫn là một trở ngại đáng kể. Thật vậy, trên thực tế, các hội đồng quản trị tiếp tục ưu tiên những loại kinh nghiệm cụ thể mà thường không điển hình ở người da màu.</w:t>
      </w:r>
    </w:p>
    <w:p>
      <w:pPr>
        <w:spacing w:after="80"/>
      </w:pPr>
      <w:r>
        <w:rPr>
          <w:b w:val="0"/>
          <w:i w:val="0"/>
        </w:rPr>
        <w:t>Tuy nhiên, điều quan trọng là những người ủng hộ đa dạng có lẽ đã hy vọng rằng lập luận kinh doanh (business case) sẽ thúc đẩy các doanh nghiệp thực hiện các bước nhằm giải quyết vấn đề nguồn ứng viên. Thật vậy, vấn đề nguồn ứng viên đã tồn tại từ lâu. Những người ủng hộ đa dạng có lẽ tin rằng việc thuyết phục các doanh nghiệp về tầm quan trọng của đa dạng hội đồng quản trị đối với lợi nhuận tài chính của họ sẽ thuyết phục họ tham gia vào các nỗ lực tuyển dụng tích cực hơn, vượt ra ngoài nhóm ứng viên truyền thống của họ và thực hiện các bước để mở rộng nguồn cung các ứng viên đa dạng sẵn có. Chắc chắn rằng, một số doanh nghiệp và tổ chức đã thực hiện các bước để nâng cao nguồn cung trong lĩnh vực này, và kết quả của những bước đó có thể chưa thành hiện thực trong một thời gian. Tuy nhiên, không rõ liệu và ở mức độ nào các doanh nghiệp đã chủ động tìm cách mở rộng việc tìm kiếm các ứng viên đa dạng. Thay vào đó, các đề cử giám đốc dường như vẫn tiếp tục đến từ "những nguồn quen thuộc", và do đó, các doanh nghiệp đã không mở rộng trong việc tìm kiếm các ứng viên đa dạng.</w:t>
      </w:r>
    </w:p>
    <w:p>
      <w:pPr>
        <w:spacing w:after="80"/>
      </w:pPr>
      <w:r>
        <w:rPr>
          <w:b w:val="0"/>
          <w:i w:val="0"/>
        </w:rPr>
        <w:t>Việc lập luận kinh doanh được đón nhận nhiều hơn có thể đã không chuyển hóa thành những nỗ lực tích cực hơn để cải thiện vấn đề nguồn ứng viên cho thấy rằng lập luận kinh doanh đã không có hiệu quả như mong muốn. Hơn nữa, nó làm dấy lên lo ngại về việc liệu những lời kêu gọi dựa trên động lực kinh tế có thể thúc đẩy các giám đốc tham gia vào những nỗ lực rộng lớn hơn trong lĩnh vực này hay không. Thật vậy, về nhiều mặt, việc vượt qua vấn đề nguồn ứng viên đòi hỏi một bước nhảy vọt của niềm tin, bởi vì nó đòi hỏi các doanh nghiệp phải chi nguồn lực để phát triển một nguồn cung mạnh mẽ hơn mà không có bằng chứng rằng sự phát triển này sẽ có kết quả ngay lập tức. Có khả năng những lời kêu gọi đạo đức hoặc xã hội có thể tỏ ra hiệu quả hơn những lời kêu gọi chỉ nói về kinh tế, bởi vì chúng không đòi hỏi dữ liệu cụ thể; thay vào đó, chúng tập trung vào việc "làm điều đúng đắn". Bên cạnh đó, việc vượt qua vấn đề nguồn ứng viên có thể đòi hỏi các giám đốc phải đưa ra những cam kết cá nhân có thể đưa họ vượt ra ngoài vùng an toàn của mình. Việc mô tả đa dạng bằng các thuật ngữ thị trường có thể đã gợi ý rằng những giám đốc như vậy không cần phải vượt ra ngoài—và có thể đã khuyến khích các giám đốc ở lại trong—vùng an toàn của họ. Ngược lại, một lời kêu gọi đạo đức hoặc xã hội có thể may mắn hơn trong việc đảm bảo rằng các giám đốc đưa ra cam kết cá nhân trong lĩnh vực này. Do đó, việc dựa vào các thuật ngữ thị trường hoặc kinh tế có thể đã làm cho vấn đề đa dạng hội đồng quản trị trở nên phi cá nhân hóa theo những cách tỏ ra không hiệu quả.</w:t>
      </w:r>
    </w:p>
    <w:p>
      <w:pPr>
        <w:pStyle w:val="Heading5"/>
      </w:pPr>
      <w:r>
        <w:rPr>
          <w:rFonts w:ascii="Calibri" w:hAnsi="Calibri"/>
          <w:b/>
          <w:i/>
          <w:sz w:val="22"/>
        </w:rPr>
        <w:t>Bình luận và Câu hỏi</w:t>
      </w:r>
    </w:p>
    <w:p>
      <w:pPr>
        <w:spacing w:after="80"/>
      </w:pPr>
      <w:r>
        <w:rPr>
          <w:b w:val="0"/>
          <w:i w:val="0"/>
        </w:rPr>
        <w:t>1. Các nỗ lực đa dạng hội đồng quản trị tiếp tục tạo ra tiến bộ chậm chạp. Cập nhật các số liệu thống kê mà Giáo sư Fairfax trích dẫn, phụ nữ chỉ nắm giữ hơn 19% số ghế trong các phòng họp hội đồng quản trị của các công ty Fortune 500 vào năm 2014, một mức tăng nhỏ so với năm 2013 và 2012, khi phụ nữ nắm giữ khoảng 17% số vị trí giám đốc này. Trong các công ty Fortune 1000, chỉ 17,5% thành viên hội đồng quản trị là phụ nữ. Người da đen, người gốc Tây Ban Nha và người châu Á cũng được đại diện chưa đầy đủ. Mặc dù có nhiều giám đốc mới là người thiểu số hơn, tổng tỷ lệ giám đốc thiểu số trong 200 công ty S&amp;P 500 lớn nhất vẫn ở mức 15% trong thập kỷ qua. Trên thực tế, tỷ lệ những công ty này có ít nhất một giám đốc thiểu số đã giảm từ 90% năm 2005 xuống 86% năm 2015. Trong khi người Mỹ gốc Á và người gốc Tây Ban Nha đã có những bước tiến nhỏ, các hội đồng quản trị doanh nghiệp đã trở nên ít người da đen hơn trong những năm gần đây. Liên minh vì Đa dạng Hội đồng quản trị (Alliance for Board Diversity) báo cáo rằng vào năm 2012, nam giới người Mỹ gốc Phi nắm giữ 5,5% số ghế hội đồng quản trị tại các công ty Fortune 500, giảm so với 5,7% hai năm trước đó. Tỷ lệ nữ giám đốc người Mỹ gốc Phi vẫn giữ nguyên ở mức 1,9%. Nam giới người châu Á - Thái Bình Dương nắm giữ 1,9% số vị trí giám đốc, và nam giới người gốc Tây Ban Nha và Latino chiếm 3,5% tổng số ghế trong hội đồng quản trị của các công ty lớn ở Mỹ.</w:t>
      </w:r>
    </w:p>
    <w:p>
      <w:pPr>
        <w:spacing w:after="80"/>
      </w:pPr>
      <w:r>
        <w:rPr>
          <w:b w:val="0"/>
          <w:i w:val="0"/>
        </w:rPr>
        <w:t>Nếu "đa dạng sinh ra đa dạng", làm thế nào một hội đồng quản trị "truyền thống" có thể trở nên ít đồng nhất hơn? Có cách nào để các hội đồng quản trị không đa dạng có thể giảm bớt thành kiến ngoài ý muốn trong việc lựa chọn giám đốc không?</w:t>
      </w:r>
    </w:p>
    <w:p>
      <w:pPr>
        <w:spacing w:after="80"/>
      </w:pPr>
      <w:r>
        <w:rPr>
          <w:b w:val="0"/>
          <w:i w:val="0"/>
        </w:rPr>
        <w:t>2. Mặc dù các doanh nghiệp bày tỏ sự ủng hộ chung rộng rãi đối với đa dạng, các nhà phê bình đã đặt câu hỏi về cam kết thực sự ở cấp cao nhất đối với việc đạt được bình đẳng giới và chủng tộc trong các phòng họp hội đồng quản trị và ban điều hành. Theo một khảo sát của PriceWaterhouseCoopers đối với các giám đốc công ty đại chúng vào năm 2015, chỉ 35% nam giám đốc đồng ý rằng việc có phụ nữ trong hội đồng quản trị doanh nghiệp là "rất quan trọng", và thậm chí ít nam giới hơn (27%) đồng ý rằng đa dạng chủng tộc là "rất quan trọng". Các giám đốc nam và nữ cũng bất đồng về tầm quan trọng của các phòng họp hội đồng quản trị đa dạng. Trên thực tế, các nữ giám đốc có khả năng "rất tin tưởng" rằng đa dạng dẫn đến hiệu quả hội đồng quản trị được nâng cao cao gấp đôi. Tương tự, gần ba phần tư nữ giám đốc "rất đồng ý" rằng đa dạng hội đồng quản trị dẫn đến hiệu quả hoạt động công ty được nâng cao, so với chưa đến một phần ba nam giới. Những phát hiện như vậy có thể chỉ ra điều gì về nhu cầu thực tế đối với phụ nữ và người thiểu số làm giám đốc tại các công ty đại chúng lớn? Trong chừng mực các hội đồng quản trị không đa dạng tìm kiếm các ứng viên giám đốc "phù hợp" với động lực xã hội của hội đồng quản trị và/hoặc những người sẽ đóng góp tích cực vào "tính thân thiện trong phòng họp hội đồng quản trị", liệu họ có khả năng tuyển dụng phụ nữ và người thiểu số không?</w:t>
      </w:r>
    </w:p>
    <w:p>
      <w:pPr>
        <w:spacing w:after="80"/>
      </w:pPr>
      <w:r>
        <w:rPr>
          <w:b w:val="0"/>
          <w:i w:val="0"/>
        </w:rPr>
        <w:t>3. Phụ nữ và người da màu cũng vẫn được đại diện rất ít trong các vai trò lãnh đạo hội đồng quản trị. Nam giới da trắng lãnh đạo hội đồng quản trị của gần như tất cả các công ty Fortune 500; 95% chủ tịch hội đồng quản trị và 86% giám đốc chính là nam giới da trắng. Một phần ba các công ty S&amp;P 100 không có bất kỳ nữ chủ tịch ủy ban nào, và hơn một nửa trong số các công ty này không có chủ tịch ủy ban là người thiểu số. Sự thiếu vắng phụ nữ trong các vị trí lãnh đạo hội đồng quản trị có thể ảnh hưởng như thế nào đến sự đa dạng trong hội đồng quản trị doanh nghiệp?</w:t>
      </w:r>
    </w:p>
    <w:p>
      <w:pPr>
        <w:spacing w:after="80"/>
      </w:pPr>
      <w:r>
        <w:rPr>
          <w:b w:val="0"/>
          <w:i w:val="0"/>
        </w:rPr>
        <w:t>4. Các quỹ hưu trí công đã vận động cho sự đa dạng lớn hơn trong hơn một thập kỷ, thông qua các chính sách đa dạng để hướng dẫn các quyết định đầu tư và bỏ phiếu của họ và tham gia không chính thức với các nhà lãnh đạo doanh nghiệp để khuyến khích họ xác định và hỗ trợ nhiều ứng viên hội đồng quản trị đa dạng hơn. Bạn nghĩ tại sao các nhà đầu tư tổ chức công (khác với tư nhân) lại dẫn đầu nỗ lực này? Một số nhà đầu tư này đã sử dụng các đề xuất của cổ đông để thúc đẩy những thay đổi trong chính sách tuyển dụng hội đồng quản trị. Kể từ năm 2008, các cổ đông đã đệ trình khoảng 100 đề xuất về đa dạng hội đồng quản trị, hơn một nửa trong số đó được đệ trình vào năm 2013 và 2014. Thông thường, các cổ đông yêu cầu hội đồng quản trị xem xét phụ nữ và người thiểu số cho các vị trí giám đốc và thông qua các chính sách chính thức giải quyết vấn đề đa dạng hội đồng quản trị. Nhiều công ty đã nhận được những đề xuất như vậy đã thay đổi tiêu chí tuyển dụng hội đồng quản trị của họ để bao gồm đa dạng. Ví dụ, Apple, Inc. đã phản hồi các đề xuất cổ đông bị đe dọa bởi hai nhà đầu tư tổ chức vào đầu năm 2014 bằng cách đồng ý thay đổi chính sách của mình. Apple đã sửa đổi điều lệ của các ủy ban đề cử hội đồng quản trị và quản trị doanh nghiệp, thêm ngôn ngữ mới khẳng định rằng Apple "cam kết chủ động tìm kiếm những phụ nữ có trình độ cao và các cá nhân từ các nhóm thiểu số để đưa vào nhóm ứng viên mà từ đó các đề cử hội đồng quản trị được chọn." Đến mùa hè, Apple thông báo rằng họ đã thêm một phụ nữ thứ hai vào hội đồng quản trị tám thành viên khi đó của mình, thay thế thành viên phục vụ lâu nhất của họ, người đã nghỉ hưu sau 17 năm phục vụ.</w:t>
      </w:r>
    </w:p>
    <w:p>
      <w:pPr>
        <w:spacing w:after="80"/>
      </w:pPr>
      <w:r>
        <w:rPr>
          <w:b w:val="0"/>
          <w:i w:val="0"/>
        </w:rPr>
        <w:t>5. Các tổ chức khác cũng đã thúc đẩy sự đa dạng về giới tính và chủng tộc trong hội đồng quản trị doanh nghiệp. Ví dụ, vào năm 2011, một nhóm các nhà đầu tư tổ chức, giám đốc điều hành cấp cao, quan chức chính phủ, các tổ chức phụ nữ hàng đầu và chuyên gia quản trị doanh nghiệp đã cùng nhau thành lập Liên minh Ba mươi Phần trăm (Thirty Percent Coalition). Đặt mục tiêu đạt 30 phần trăm đại diện nữ vào cuối năm 2015, Liên minh đã tập trung nỗ lực vào các rào cản đa dạng ở "phía cầu" bằng cách cố gắng tác động đến các hội đồng quản trị để đề cử phụ nữ vào vị trí giám đốc. Mỗi năm bắt đầu từ năm 2012, Liên minh đã gửi thư đến các công ty đại chúng có hội đồng quản trị toàn nam, thúc giục họ chọn ứng viên nữ. Những thông tin liên lạc này đã khiến một số công ty được nhắm mục tiêu sửa đổi quy trình tuyển dụng giám đốc và chính sách đề cử của họ nhằm đa dạng hóa hội đồng quản trị. Tuy nhiên, Liên minh rõ ràng sẽ không đạt được mục tiêu đã đề ra.</w:t>
      </w:r>
    </w:p>
    <w:p>
      <w:pPr>
        <w:spacing w:after="80"/>
      </w:pPr>
      <w:r>
        <w:rPr>
          <w:b w:val="0"/>
          <w:i w:val="0"/>
        </w:rPr>
        <w:t>6. Các cuộc khảo sát giám đốc doanh nghiệp báo cáo rằng nam giới cho rằng sự mất cân bằng giới tính tiếp diễn là do "[v]iệc thiếu phụ nữ trong hàng ngũ điều hành", trong khi phụ nữ nhận thấy rằng tỷ lệ phụ nữ trong hội đồng quản trị vẫn khá trì trệ trong thập kỷ qua vì "[c]ác mạng lưới truyền thống có xu hướng thiên về nam giới". Bạn nghĩ gì về tuyên bố rằng phụ nữ và người thiểu số vẫn ít được đại diện trong hội đồng quản trị doanh nghiệp vì họ thiếu các bằng cấp truyền thống cho vị trí giám đốc?</w:t>
      </w:r>
    </w:p>
    <w:p>
      <w:pPr>
        <w:spacing w:after="80"/>
      </w:pPr>
      <w:r>
        <w:rPr>
          <w:b w:val="0"/>
          <w:i w:val="0"/>
        </w:rPr>
        <w:t>7. Các cựu CEO chiếm 47 phần trăm các bổ nhiệm mới vào hội đồng quản trị của các công ty Fortune 500 trong năm 2014, theo báo cáo của công ty tuyển dụng điều hành Heidrick &amp; Struggles. Các cuộc khảo sát CEO cho thấy họ rất ưa thích các giám đốc có kinh nghiệm làm CEO. Trong chừng mực các ủy ban đề cử hội đồng quản trị loại trừ các ứng viên giám đốc không phải là CEO hiện tại hoặc trước đây, họ loại bỏ khỏi sự xem xét những phụ nữ và người thiểu số có thể đủ điều kiện nếu không vì thiếu kinh nghiệm đó. Tại sao những cá nhân có kinh nghiệm làm CEO và/hoặc giám đốc doanh nghiệp được coi là ứng viên lý tưởng cho việc tuyển dụng hội đồng quản trị? Bạn sẽ phản hồi thế nào trước lập luận rằng để đóng góp có ý nghĩa cho hội đồng quản trị và mang lại giá trị thực cho công ty, các giám đốc nên có cùng nền tảng và kinh nghiệm như CEO và như nhau?</w:t>
      </w:r>
    </w:p>
    <w:p>
      <w:pPr>
        <w:spacing w:after="80"/>
      </w:pPr>
      <w:r>
        <w:rPr>
          <w:b w:val="0"/>
          <w:i w:val="0"/>
        </w:rPr>
        <w:t>8. Hãy xem xét lời giải thích sau đây cho tính đồng nhất của hội đồng quản trị:</w:t>
      </w:r>
    </w:p>
    <w:p>
      <w:pPr>
        <w:spacing w:after="80"/>
      </w:pPr>
      <w:r>
        <w:rPr>
          <w:b w:val="0"/>
          <w:i w:val="0"/>
        </w:rPr>
        <w:t>Nhu cầu về các giám đốc 'đáng tin cậy' và 'độc lập' . . . giải thích [sự] thiếu đa dạng. Các loại giám đốc 'đáng tin cậy' nổi tiếng là thiếu đa dạng. Đối với các giám đốc điều hành, rất ít phụ nữ đã vươn lên vị trí CEO của các công ty đại chúng lớn. Tương tự, nhóm ứng viên được rút ra từ vòng quan hệ xã hội và nghề nghiệp của CEO cũng không đa dạng. Do đó, trong chừng mực các ứng viên được chọn từ những loại này, thay vì từ nhóm ứng viên rộng lớn hơn gồm những người có đủ năng lực thực chất, thì sự đa dạng đang và sẽ tiếp tục bị ảnh hưởng.</w:t>
      </w:r>
    </w:p>
    <w:p>
      <w:pPr>
        <w:spacing w:after="80"/>
      </w:pPr>
      <w:r>
        <w:rPr>
          <w:b w:val="0"/>
          <w:i w:val="0"/>
        </w:rPr>
        <w:t xml:space="preserve">J. Robert Brown, Jr., </w:t>
      </w:r>
      <w:r>
        <w:rPr>
          <w:b w:val="0"/>
          <w:i/>
        </w:rPr>
        <w:t>The Demythification of the Board of Directors</w:t>
      </w:r>
      <w:r>
        <w:rPr>
          <w:b w:val="0"/>
          <w:i w:val="0"/>
        </w:rPr>
        <w:t xml:space="preserve"> , 52 Am. Bus. L.J. 131 (2015). Một giám đốc "đáng tin cậy" là giám đốc sẽ ủng hộ một cách đáng tin cậy các chính sách của ban điều hành và khó có khả năng phản đối CEO, ngay cả khi được thông tin đầy đủ. Theo Giáo sư Brown, các giám đốc "đáng tin cậy" bao gồm bạn bè của ban điều hành cũng như các giám đốc điều hành hiện tại hoặc trước đây, đặc biệt là các CEO khác. Làm thế nào luật pháp có thể thúc đẩy các hội đồng quản trị doanh nghiệp đề cử các ứng viên giám đốc ít "đáng tin cậy" hơn (và đa dạng hơn)?</w:t>
      </w:r>
    </w:p>
    <w:p>
      <w:pPr>
        <w:spacing w:after="80"/>
      </w:pPr>
      <w:r>
        <w:rPr>
          <w:b w:val="0"/>
          <w:i w:val="0"/>
        </w:rPr>
        <w:t>9. Các giám đốc có nên xem xét đa dạng hóa hội đồng quản trị của họ ngoài việc thêm các cá nhân có hồ sơ nhân khẩu học xã hội khác nhau (giới tính, chủng tộc, sắc tộc) không? Các nền tảng, học vấn, kinh nghiệm và kỹ năng đa dạng cũng có nên được tính đến không? Còn về sự đa dạng trong bối cảnh thậm chí rộng hơn, chẳng hạn như đa dạng quan điểm thì sao? Ví dụ, các công ty dầu khí có nên đưa các nhà môi trường vào hội đồng quản trị của họ không? Các công ty sử dụng nhiều lao động có công đoàn có nên tìm kiếm một hoặc nhiều giám đốc từ lao động có tổ chức không? Liệu lợi ích của cổ đông có được phục vụ tốt hơn bởi sự đại diện như vậy không? Sự đa dạng quan điểm sẽ tác động đến văn hóa phòng họp hội đồng quản trị như thế nào?</w:t>
      </w:r>
    </w:p>
    <w:p>
      <w:pPr>
        <w:spacing w:after="80"/>
      </w:pPr>
      <w:r>
        <w:rPr>
          <w:b w:val="0"/>
          <w:i w:val="0"/>
        </w:rPr>
        <w:t>10. Ở Na Uy, nơi luật hạn ngạch yêu cầu đại diện giới tính gần như bình đẳng, dữ liệu giai thoại cho thấy một số ít phụ nữ nắm giữ nhiều vị trí hội đồng quản trị. Phụ nữ đã giành được đại diện trong các hội đồng quản trị riêng lẻ, nhưng nhóm nữ giám đốc không nhất thiết đã tăng lên. Điều gì có thể giải thích phát hiện này? Liệu hạn ngạch có thể tạo ra các giám đốc "danh hiệu" tham gia tối thiểu, những người ngồi vào ghế chủ yếu nhằm mục đích thỏa mãn yêu cầu pháp lý không?</w:t>
      </w:r>
    </w:p>
    <w:p>
      <w:pPr>
        <w:spacing w:after="80"/>
      </w:pPr>
      <w:r>
        <w:rPr>
          <w:b w:val="0"/>
          <w:i w:val="0"/>
        </w:rPr>
        <w:t>11. Mặc dù không sẵn lòng ban hành hạn ngạch bắt buộc, một số bang đã thực hiện hành động lập pháp để khuyến khích sự đại diện lớn hơn của phụ nữ trong hội đồng quản trị doanh nghiệp. Năm 2013, California đã thông qua một nghị quyết mới lạ kêu gọi các công ty đại chúng của bang tăng cường đa dạng giới tính bằng cách thêm các nữ giám đốc. Biện pháp tư vấn đề xuất các mục tiêu cụ thể cho các công ty đại chúng California; ví dụ, phụ nữ nên nắm giữ ít nhất ba ghế nếu hội đồng quản trị bao gồm chín giám đốc trở lên. Theo bước California, Illinois và Massachusetts đã xem xét các nghị quyết tương tự. Bạn có nghĩ những sáng kiến này sẽ hiệu quả không? Tại sao có hoặc tại sao không?</w:t>
      </w:r>
    </w:p>
    <w:p>
      <w:pPr>
        <w:spacing w:after="80"/>
      </w:pPr>
      <w:r>
        <w:rPr>
          <w:b w:val="0"/>
          <w:i w:val="0"/>
        </w:rPr>
        <w:t>—————</w:t>
      </w:r>
    </w:p>
    <w:p>
      <w:pPr>
        <w:spacing w:after="80"/>
      </w:pPr>
      <w:r>
        <w:rPr>
          <w:b w:val="0"/>
          <w:i w:val="0"/>
        </w:rPr>
        <w:t>Mặc dù không có nghĩa vụ pháp lý nào buộc các công ty Hoa Kỳ phải đa dạng hóa hội đồng quản trị của họ, và vấn đề này hoàn toàn được để cho sự sắp xếp tư nhân, áp lực cải cách đã tăng cường sau cuộc khủng hoảng tài chính năm 2007. Hai năm sau, SEC đã ban hành một quy tắc công bố thông tin mới, yêu cầu các công ty niêm yết đại chúng thực hiện công bố sau đây trong báo cáo ủy quyền thường niên của họ:</w:t>
      </w:r>
    </w:p>
    <w:p>
      <w:pPr>
        <w:spacing w:after="80"/>
      </w:pPr>
      <w:r>
        <w:rPr>
          <w:b w:val="0"/>
          <w:i w:val="0"/>
        </w:rPr>
        <w:t>Mô tả quy trình của ủy ban đề cử trong việc xác định và đánh giá các ứng viên giám đốc, bao gồm các ứng viên được chủ sở hữu chứng khoán đề xuất, và bất kỳ sự khác biệt nào trong cách ủy ban đề cử đánh giá các ứng viên giám đốc dựa trên việc ứng viên đó có được chủ sở hữu chứng khoán đề xuất hay không và liệu ủy ban đề cử (hoặc hội đồng quản trị) có xem xét sự đa dạng trong việc xác định các ứng viên giám đốc hay không, và nếu có thì như thế nào. Nếu ủy ban đề cử (hoặc hội đồng quản trị) có chính sách liên quan đến việc xem xét sự đa dạng trong việc xác định các ứng viên giám đốc, hãy mô tả cách chính sách này được thực hiện, cũng như cách ủy ban đề cử (hoặc hội đồng quản trị) đánh giá hiệu quả của chính sách đó.</w:t>
      </w:r>
    </w:p>
    <w:p>
      <w:pPr>
        <w:spacing w:after="80"/>
      </w:pPr>
      <w:r>
        <w:rPr>
          <w:b w:val="0"/>
          <w:i w:val="0"/>
        </w:rPr>
        <w:t>17 C.F.R. § 229.407(c)(2)(vi) (2010). Trong văn bản ban hành quy tắc, Ủy ban giải thích rằng quy tắc này "không nhằm định hướng hành vi của [công ty báo cáo]". Thay vào đó, SEC ban hành quy tắc để "cung cấp cho nhà đầu tư thông tin công bố có ý nghĩa hơn, giúp họ đưa ra quyết định bỏ phiếu tốt hơn bằng cách cho phép họ xác định liệu và tại sao một ứng viên giám đốc là lựa chọn phù hợp cho một công ty cụ thể".</w:t>
      </w:r>
    </w:p>
    <w:p>
      <w:pPr>
        <w:pStyle w:val="Heading5"/>
      </w:pPr>
      <w:r>
        <w:rPr>
          <w:rFonts w:ascii="Calibri" w:hAnsi="Calibri"/>
          <w:b/>
          <w:i/>
          <w:sz w:val="22"/>
        </w:rPr>
        <w:t>Bình luận và Câu hỏi</w:t>
      </w:r>
    </w:p>
    <w:p>
      <w:pPr>
        <w:spacing w:after="80"/>
      </w:pPr>
      <w:r>
        <w:rPr>
          <w:b w:val="0"/>
          <w:i w:val="0"/>
        </w:rPr>
        <w:t>1. Như cũng được Ủy ban lưu ý trong văn bản ban hành quy tắc, nhiều nhà bình luận đã bày tỏ sự quan tâm cụ thể đến việc thu thập từ các công ty báo cáo thông tin về đa dạng giới tính và/hoặc chủng tộc, giải thích rằng họ thấy thông tin này hữu ích trong việc đưa ra cả quyết định bỏ phiếu và đầu tư. Tuy nhiên, SEC đã từ chối định nghĩa "đa dạng" trong việc ban hành quy tắc của mình, giải thích: "Chúng tôi nhận ra rằng các công ty có thể định nghĩa đa dạng theo nhiều cách khác nhau, phản ánh các quan điểm khác nhau. Ví dụ, một số công ty có thể quan niệm đa dạng một cách rộng rãi để bao gồm sự khác biệt về quan điểm, kinh nghiệm nghề nghiệp, học vấn, kỹ năng và các phẩm chất, thuộc tính cá nhân khác góp phần vào tính không đồng nhất của hội đồng quản trị, trong khi những công ty khác có thể tập trung vào các khái niệm đa dạng như chủng tộc, giới tính và nguồn gốc quốc gia. Chúng tôi tin rằng cho mục đích của yêu cầu công bố thông tin này, các công ty nên được phép định nghĩa đa dạng theo những cách mà họ cho là phù hợp." Không chỉ đa dạng không được định nghĩa trong quy tắc, mà SEC cũng không yêu cầu các công ty báo cáo công bố định nghĩa mà ủy ban đề cử (hoặc hội đồng quản trị) của họ đã thông qua. Bạn có đồng ý với cách tiếp cận của SEC là cho phép các công ty tự đưa nội dung vào quy tắc không?</w:t>
      </w:r>
    </w:p>
    <w:p>
      <w:pPr>
        <w:spacing w:after="80"/>
      </w:pPr>
      <w:r>
        <w:rPr>
          <w:b w:val="0"/>
          <w:i w:val="0"/>
        </w:rPr>
        <w:t>2. Trong thực tế, có vẻ như các công ty báo cáo đã giải thích đa dạng khá rộng rãi. Giáo sư Aaron Dhir đã xem xét các công bố thông tin của các công ty S&amp;P 100 trong báo cáo ủy quyền của họ được nộp từ năm 2010 đến 2013. Ông phát hiện rằng hầu hết các công ty định nghĩa đa dạng liên quan đến kinh nghiệm kinh doanh trước đây của giám đốc hoặc các yếu tố không dựa trên bản sắc khác (học vấn, kỹ năng), trong khi chỉ một nửa số công ty mô tả đa dạng bao gồm giới tính, chủng tộc hoặc sắc tộc. Aaron A. Dhir, Challenging Boardroom Homogeneity: Corporate Law, Governance, and Diversity (Cambridge: 2015). Tại sao bạn nghĩ nhiều công ty không đề cập đến giới tính, chủng tộc hoặc sắc tộc của giám đốc trong công bố thông tin của họ?</w:t>
      </w:r>
    </w:p>
    <w:p>
      <w:pPr>
        <w:spacing w:after="80"/>
      </w:pPr>
      <w:r>
        <w:rPr>
          <w:b w:val="0"/>
          <w:i w:val="0"/>
        </w:rPr>
        <w:t>3. Vì Ủy ban (Commission) không định nghĩa rõ thế nào là đa dạng, nên quy định này khó có thể thúc đẩy các hội đồng quản trị (board) tuyển thêm nhiều phụ nữ và người da màu, theo Giáo sư Dhir. Thật vậy, ông cho rằng SEC đã trao cho các công ty phải báo cáo một “tấm bình phong đạo đức” (moral cover) khi họ chỉ cần xem xét một hình thức đa dạng nào đó là đã tuân thủ. Bạn có thể nghĩ ra bất kỳ hậu quả ngoài ý muốn nào khác của quy định công bố thông tin (disclosure rule) của SEC không?</w:t>
      </w:r>
    </w:p>
    <w:p>
      <w:pPr>
        <w:spacing w:after="80"/>
      </w:pPr>
      <w:r>
        <w:rPr>
          <w:b w:val="0"/>
          <w:i w:val="0"/>
        </w:rPr>
        <w:t>4. Quy định này không bắt buộc các tập đoàn thực sự phải áp dụng một chính sách đa dạng, và các công ty có thể tuân thủ mà không cần làm vậy. Chẳng hạn, Berkshire Hathaway đã công bố rằng họ “không có chính sách nào về việc xem xét tính đa dạng trong việc xác định các ứng viên cho vị trí giám đốc. Khi xác định ứng viên giám đốc, Ủy ban . . . không tìm kiếm sự đa dạng, dù được định nghĩa thế nào đi nữa.” Bạn có nghĩ rằng Ủy ban (Commission) dự định quy định công bố thông tin của mình sẽ khuyến khích nhiều tập đoàn hơn áp dụng các chính sách đa dạng không? Nếu có, thì quy định này lẽ ra có thể được soạn thảo như thế nào để tác động đến việc áp dụng các chính sách đa dạng?</w:t>
      </w:r>
    </w:p>
    <w:p>
      <w:pPr>
        <w:spacing w:after="80"/>
      </w:pPr>
      <w:r>
        <w:rPr>
          <w:b w:val="0"/>
          <w:i w:val="0"/>
        </w:rPr>
        <w:t>5. Quy định của SEC cũng không buộc các công ty phải báo cáo phải công bố giới tính, chủng tộc hay sắc tộc của các giám đốc. Kết quả là, những nhà đầu tư muốn tìm thông tin này để thực hiện quyền biểu quyết hoặc đưa ra quyết định đầu tư phải tự mình điều tra, việc này có thể tốn thời gian, tốn kém và có khả năng không chính xác.</w:t>
      </w:r>
    </w:p>
    <w:p>
      <w:pPr>
        <w:spacing w:after="80"/>
      </w:pPr>
      <w:r>
        <w:rPr>
          <w:b w:val="0"/>
          <w:i w:val="0"/>
        </w:rPr>
        <w:t>6. Ngoài việc ban hành quy định công bố thông tin này vào năm 2009, SEC đã không có thêm hành động nào khác liên quan đến tính đa dạng trong phòng họp hội đồng quản trị, và các sàn giao dịch chứng khoán Hoa Kỳ cũng không đề cập gì đến tính đa dạng của hội đồng quản trị trong các quy định về công ty niêm yết của họ. Tuy nhiên, chủ tịch đương nhiệm của SEC, bà Mary Jo White, đã chỉ trích con số tương đối thấp của phụ nữ trong ban lãnh đạo doanh nghiệp, công khai bày tỏ sự thất vọng cá nhân trước tiến độ chậm chạp trong việc đa dạng hóa các phòng họp hội đồng quản trị, và thúc giục rằng tình trạng “ít được đại diện” (underrepresentation) của giới tính và các nhóm thiểu số “[cần được] dành cho sự cấp bách mà tôi nghĩ rằng nó xứng đáng được nhận.” SEC có thể làm gì để đẩy nhanh quá trình đa dạng hóa hội đồng quản trị tại các công ty đại chúng?</w:t>
      </w:r>
    </w:p>
    <w:p>
      <w:pPr>
        <w:pStyle w:val="Heading2"/>
      </w:pPr>
      <w:r>
        <w:rPr>
          <w:rFonts w:ascii="Calibri" w:hAnsi="Calibri"/>
          <w:b/>
          <w:i w:val="0"/>
          <w:sz w:val="32"/>
        </w:rPr>
        <w:t>IX. Nhiệm kỳ của Giám đốc</w:t>
      </w:r>
    </w:p>
    <w:p>
      <w:pPr>
        <w:spacing w:after="80"/>
      </w:pPr>
      <w:r>
        <w:rPr>
          <w:b w:val="0"/>
          <w:i w:val="0"/>
        </w:rPr>
        <w:t>Mặc dù ít được xem xét hơn so với tính đa dạng của hội đồng quản trị, nhưng những người ủng hộ cổ đông và giới học thuật cũng đã tập trung sự chú ý vào nhiệm kỳ của giám đốc trong những năm gần đây. Tất nhiên, hai chủ đề này có liên quan với nhau. Nếu không thay đổi ghế của các giám đốc đương nhiệm, thì việc đa dạng hóa hội đồng quản trị không thể tiến triển, và các phòng họp hội đồng quản trị doanh nghiệp vẫn cứ như các chuyên gia quản trị nói, là “nam giới, da trắng và cũ kỹ” (male, pale, and stale). Trên thực tế, các nghiên cứu xác nhận rằng tính đa dạng về giới giúp đẩy nhanh việc đổi mới hội đồng quản trị. Các hội đồng quản trị có ít nhất một nữ giám đốc tiếp tục bổ sung thêm nhiều phụ nữ hơn vào hàng ngũ của mình, trong khi các hội đồng quản trị toàn nam giới có tỷ lệ đổi mới thấp hơn. Chỉ 57 phần trăm các hội đồng quản trị toàn nam giới đã bổ sung một giám đốc mới trong ba năm qua. Việc thiếu đổi mới hội đồng quản trị có thể cho thấy rằng các giám đốc đã trở nên cố thủ. Điều thú vị là, việc loại bỏ cấu trúc hội đồng quản trị phân tầng (classified board structures) sau SOX tại nhiều công ty trong S&amp;P 500 (để chuyển sang bầu cử hàng năm) chỉ có tác động tối thiểu đến việc luân chuyển ghế giám đốc. Theo các nhà nghiên cứu, nhiệm kỳ giám đốc trung vị trong S&amp;P 1500 đã tăng đều đặn trong tám năm qua; vào năm 2014, một giám đốc trung bình phục vụ với tư cách thành viên hội đồng quản trị lâu hơn hơn một năm so với năm 2007.</w:t>
      </w:r>
    </w:p>
    <w:p>
      <w:pPr>
        <w:spacing w:after="80"/>
      </w:pPr>
      <w:r>
        <w:rPr>
          <w:b w:val="0"/>
          <w:i w:val="0"/>
        </w:rPr>
        <w:t>Nghiên cứu cũng xác minh tình trạng già hóa của các hội đồng quản trị doanh nghiệp Hoa Kỳ. Theo một nghiên cứu, các giám đốc từ 72 tuổi trở lên nắm giữ khoảng 20 phần trăm số ghế trong hội đồng quản trị tại các công ty thuộc S&amp;P 1500. Độ tuổi trung bình của các giám đốc tại các công ty S&amp;P 500 đã tăng từ 60,5 vào năm 2004 lên 63,1 vào năm 2014. Hơn nữa, khoảng 45 phần trăm các hội đồng quản trị có độ tuổi trung bình từ 64 trở lên, so với chỉ 16 phần trăm một thập kỷ trước. Các nhà điều tra đã xác định rằng sự thay đổi về độ tuổi trung bình không chỉ đơn thuần là kết quả của nhiệm kỳ dài hơn. Thay vào đó, nhiều công ty hiện nay lấp đầy các ghế hội đồng quản trị còn trống bằng các giám đốc lớn tuổi hơn. Bằng chứng cho thấy độ tuổi trung vị của các giám đốc mới, dù có giảm nhẹ trong một số năm, nhìn chung đã tăng lên trong thập kỷ qua. Thật vậy, những người đã nghỉ hưu chiếm hơn một nửa tổng số giám đốc phi quản lý mới được bổ sung vào các hội đồng quản trị S&amp;P 500 trong năm 2014. Các giám đốc điều hành đã nghỉ hưu có chuyên môn mà các công ty tìm kiếm và có thời gian cần thiết để đáp ứng những yêu cầu mở rộng của các giám đốc bên ngoài theo mô hình hội đồng quản trị giám sát (monitoring board model).</w:t>
      </w:r>
    </w:p>
    <w:p>
      <w:pPr>
        <w:spacing w:after="80"/>
      </w:pPr>
      <w:r>
        <w:rPr>
          <w:b w:val="0"/>
          <w:i w:val="0"/>
        </w:rPr>
        <w:t xml:space="preserve">Các giám đốc của doanh nghiệp Hoa Kỳ đã già đi bất chấp việc các chính sách nghỉ hưu của giám đốc được chấp thuận rộng rãi. Một cuộc khảo sát năm 2015 cho thấy hầu hết các công ty trong Fortune 100 đều có những chính sách như vậy, thường quy định giám đốc nghỉ hưu ở tuổi 72. </w:t>
      </w:r>
      <w:r>
        <w:rPr>
          <w:b w:val="0"/>
          <w:i/>
        </w:rPr>
        <w:t>Five-Year Outlook: Nearly 20% of Directors Poised for Board Exit</w:t>
      </w:r>
      <w:r>
        <w:rPr>
          <w:b w:val="0"/>
          <w:i w:val="0"/>
        </w:rPr>
        <w:t xml:space="preserve"> , EY Center for Board Matters 1 (2015). Tuy nhiên, không có gì đáng ngạc nhiên khi gần một nửa trong số các chính sách nghỉ hưu này cho phép miễn trừ một cách rõ ràng. </w:t>
      </w:r>
      <w:r>
        <w:rPr>
          <w:b w:val="0"/>
          <w:i/>
        </w:rPr>
        <w:t>Id.</w:t>
      </w:r>
      <w:r>
        <w:rPr>
          <w:b w:val="0"/>
          <w:i w:val="0"/>
        </w:rPr>
        <w:t xml:space="preserve"> Hơn nữa, các công ty có chính sách nghỉ hưu đã nâng độ tuổi giám đốc phải rời đi. Tại các công ty S&amp;P 500, các hội đồng quản trị có độ tuổi nghỉ hưu bắt buộc là 75 hoặc cao hơn đã tăng từ chỉ 5 phần trăm vào năm 2004 lên 30 phần trăm mười năm sau đó. </w:t>
      </w:r>
      <w:r>
        <w:rPr>
          <w:b w:val="0"/>
          <w:i/>
        </w:rPr>
        <w:t>2014 Spencer Stuart Board Index</w:t>
      </w:r>
      <w:r>
        <w:rPr>
          <w:b w:val="0"/>
          <w:i w:val="0"/>
        </w:rPr>
        <w:t xml:space="preserve"> at 18.</w:t>
      </w:r>
    </w:p>
    <w:p>
      <w:pPr>
        <w:spacing w:after="80"/>
      </w:pPr>
      <w:r>
        <w:rPr>
          <w:b w:val="0"/>
          <w:i w:val="0"/>
        </w:rPr>
        <w:t xml:space="preserve">Các phòng họp hội đồng quản trị cũng ngày càng trở nên “xám” hơn khi các giám đốc đương nhiệm giữ ghế của mình trong thời gian phục vụ dài hơn. Hiện tại, không có luật, quy tắc hay quy định nào quy định giới hạn nhiệm kỳ cho các giám đốc. Nhiệm kỳ trung bình của các thành viên hội đồng quản trị S&amp;P 500 là 8,4 năm. </w:t>
      </w:r>
      <w:r>
        <w:rPr>
          <w:b w:val="0"/>
          <w:i/>
        </w:rPr>
        <w:t>2014 Spencer Stuart Board Index</w:t>
      </w:r>
      <w:r>
        <w:rPr>
          <w:b w:val="0"/>
          <w:i w:val="0"/>
        </w:rPr>
        <w:t xml:space="preserve"> , Spencer Stuart Board Services 5 (2014). Hơn nữa, chưa đến 3 phần trăm các công ty S&amp;P 500 đã thiết lập giới hạn nhiệm kỳ cho các giám đốc của họ. </w:t>
      </w:r>
      <w:r>
        <w:rPr>
          <w:b w:val="0"/>
          <w:i/>
        </w:rPr>
        <w:t>Id.</w:t>
      </w:r>
      <w:r>
        <w:rPr>
          <w:b w:val="0"/>
          <w:i w:val="0"/>
        </w:rPr>
        <w:t xml:space="preserve"> at 17. Trong số các công ty đã ban hành chính sách nhiệm kỳ, không có công ty nào được báo cáo là giới hạn thời gian phục vụ của giám đốc dưới mười năm. </w:t>
      </w:r>
      <w:r>
        <w:rPr>
          <w:b w:val="0"/>
          <w:i/>
        </w:rPr>
        <w:t>Id.</w:t>
      </w:r>
      <w:r>
        <w:rPr>
          <w:b w:val="0"/>
          <w:i w:val="0"/>
        </w:rPr>
        <w:t xml:space="preserve"> Thật vậy, chỉ có bốn công ty trong Fortune 100 đã áp dụng chính sách nhiệm kỳ giám đốc tính đến năm 2015. </w:t>
      </w:r>
      <w:r>
        <w:rPr>
          <w:b w:val="0"/>
          <w:i/>
        </w:rPr>
        <w:t>Five-Year Outlook</w:t>
      </w:r>
      <w:r>
        <w:rPr>
          <w:b w:val="0"/>
          <w:i w:val="0"/>
        </w:rPr>
        <w:t xml:space="preserve"> at 2. Những chính sách đó cũng quy định nhiệm kỳ dài, từ 12 đến 20 năm. </w:t>
      </w:r>
      <w:r>
        <w:rPr>
          <w:b w:val="0"/>
          <w:i/>
        </w:rPr>
        <w:t>Id.</w:t>
      </w:r>
      <w:r>
        <w:rPr>
          <w:b w:val="0"/>
          <w:i w:val="0"/>
        </w:rPr>
        <w:t xml:space="preserve"> Chẳng hạn, Target Corporation gần đây đã kéo dài giới hạn nhiệm kỳ của mình từ 15 năm lên 20 năm.</w:t>
      </w:r>
    </w:p>
    <w:p>
      <w:pPr>
        <w:spacing w:after="80"/>
      </w:pPr>
      <w:r>
        <w:rPr>
          <w:b w:val="0"/>
          <w:i w:val="0"/>
        </w:rPr>
        <w:t>Giống như các chính sách nghỉ hưu bắt buộc, việc thực thi giới hạn nhiệm kỳ có thể khiến các hội đồng quản trị doanh nghiệp mất đi những thành viên có hiệu suất cao. Các giám đốc có nhiệm kỳ dài hơn thường có kiến thức đáng kể về hoạt động kinh doanh của công ty, các hoạt động và tài chính của công ty, và ngành của công ty. Ngoài ra, họ có thể cung cấp những góc nhìn lịch sử mà các giám đốc mới đơn giản là không có. Sau nhiều năm phục vụ trong hội đồng quản trị, các giám đốc cũng hiểu rõ điểm mạnh và điểm yếu của đội ngũ điều hành, tạo điều kiện giám sát ban quản lý hiệu quả hơn. Với sự khôn ngoan, kinh nghiệm và sự chín chắn, các giám đốc có nhiệm kỳ dài hơn có thể chất vấn các giám đốc điều hành cấp cao kỹ lưỡng hơn, thách thức các giả định của ban quản lý khi cần thiết, và đánh giá hiệu suất của CEO một cách phê phán hơn. Thời gian phục vụ hội đồng quản trị kéo dài cũng có thể phản ánh sự cam kết và lòng trung thành của một giám đốc đối với tập đoàn và các cổ đông của nó.</w:t>
      </w:r>
    </w:p>
    <w:p>
      <w:pPr>
        <w:spacing w:after="80"/>
      </w:pPr>
      <w:r>
        <w:rPr>
          <w:b w:val="0"/>
          <w:i w:val="0"/>
        </w:rPr>
        <w:t>Mặt khác, nhiệm kỳ dài hơn có thể làm tổn hại đến tính độc lập của giám đốc. Các thành viên hội đồng quản trị với nhiều năm phục vụ, sau khi đã thiết lập mối quan hệ thân thiết với CEO và đội ngũ của ông ấy, có thể dễ dàng nhượng bộ các giám đốc điều hành hơn và mặt khác không giám sát ban quản lý một cách hiệu quả. Một số bằng chứng cũng cho thấy rằng các giám đốc có nhiệm kỳ dài hơn có nhiều khả năng tham gia vào các ủy ban lương thưởng và đề cử của hội đồng quản trị hơn, và sự tham gia của họ vào các ủy ban lương thưởng có liên quan đến mức lương cao hơn cho các CEO.</w:t>
      </w:r>
    </w:p>
    <w:p>
      <w:pPr>
        <w:spacing w:after="80"/>
      </w:pPr>
      <w:r>
        <w:rPr>
          <w:b w:val="0"/>
          <w:i w:val="0"/>
        </w:rPr>
        <w:t>Các cổ đông, cố vấn của họ và giới học thuật đã ngày càng tập trung sự chú ý vào nhiệm kỳ hội đồng quản trị. Hội đồng Nhà đầu tư Tổ chức (Council of Institutional Investors) gần đây đã sửa đổi các chính sách thực hành tốt nhất của mình để bao gồm nhiệm kỳ như một yếu tố mà các hội đồng quản trị nên xem xét khi xác định tính độc lập của giám đốc. Một số chuyên gia quản trị đã đề xuất giới hạn nhiệm kỳ cho các thành viên hội đồng quản trị của công ty đại chúng, trong khi những người khác khuyến nghị rằng các giám đốc nên bị loại khỏi tư cách độc lập sau một thời gian nhất định (ví dụ: mười năm) phục vụ trong hội đồng quản trị. Bạn có thể nghĩ ra những lập luận ủng hộ và phản đối những đề xuất này không?</w:t>
      </w:r>
    </w:p>
    <w:p>
      <w:pPr>
        <w:spacing w:after="80"/>
      </w:pPr>
      <w:r>
        <w:rPr>
          <w:b w:val="0"/>
          <w:i w:val="0"/>
        </w:rPr>
        <w:t>Việc kế nhiệm giám đốc và đổi mới hội đồng quản trị đã trở thành chủ đề của các đề xuất cổ đông. Vào cuối năm 2014, các nhà hoạt động cổ đông đã đệ trình một đề xuất cổ đông lên Costco Wholesale yêu cầu hội đồng quản trị của công ty thông qua một điều lệ yêu cầu ít nhất hai phần ba số giám đốc phải có nhiệm kỳ dưới 15 năm trong hội đồng quản trị. Hội đồng quản trị của Costco đã khuyến nghị các cổ đông bỏ phiếu chống lại đề xuất này, lập luận rằng giới hạn như vậy sẽ “tước đi một cách tùy tiện khỏi Costco những giám đốc có năng lực, kinh nghiệm và hiệu quả.” Đề xuất đã thất bại với tỷ lệ chênh lệch đáng kể. Tuy nhiên, các chuyên gia quản trị dự đoán sẽ có những đề xuất tương tự tại các công ty khác. Mục tiêu sẽ bao gồm các công ty nơi ít nhất hai phần ba số giám đốc đã phục vụ từ một thập kỷ trở lên, đặc biệt nếu hội đồng quản trị cho thấy các dấu hiệu trì trệ hoặc cố thủ khác.</w:t>
      </w:r>
    </w:p>
    <w:p>
      <w:pPr>
        <w:spacing w:after="80"/>
      </w:pPr>
      <w:r>
        <w:rPr>
          <w:b w:val="0"/>
          <w:i w:val="0"/>
        </w:rPr>
        <w:t xml:space="preserve">1 . Del. Gen. Corp. L. § 141(a). </w:t>
      </w:r>
      <w:r>
        <w:rPr>
          <w:b w:val="0"/>
          <w:i/>
        </w:rPr>
        <w:t>See</w:t>
      </w:r>
      <w:r>
        <w:rPr>
          <w:b w:val="0"/>
          <w:i w:val="0"/>
        </w:rPr>
        <w:t xml:space="preserve"> also Model Bus. Corp. Act § 8.01(b) (2008) (“All corporate powers shall be exercised by or under the authority of, and the business and affairs of the corporation managed by or under the direction of, its board of directors. . . .”).</w:t>
      </w:r>
    </w:p>
    <w:p>
      <w:pPr>
        <w:spacing w:after="80"/>
      </w:pPr>
      <w:r>
        <w:rPr>
          <w:b w:val="0"/>
          <w:i w:val="0"/>
        </w:rPr>
        <w:t>2 . Copyright © 2002 Vanderbilt Law Review. Reprinted by permission.</w:t>
      </w:r>
    </w:p>
    <w:p>
      <w:pPr>
        <w:spacing w:after="80"/>
      </w:pPr>
      <w:r>
        <w:rPr>
          <w:b w:val="0"/>
          <w:i w:val="0"/>
        </w:rPr>
        <w:t xml:space="preserve">3 . </w:t>
      </w:r>
      <w:r>
        <w:rPr>
          <w:b w:val="0"/>
          <w:i/>
        </w:rPr>
        <w:t>See generally</w:t>
      </w:r>
      <w:r>
        <w:rPr>
          <w:b w:val="0"/>
          <w:i w:val="0"/>
        </w:rPr>
        <w:t xml:space="preserve"> Michael C. Jenson &amp; William H. Meckling, </w:t>
      </w:r>
      <w:r>
        <w:rPr>
          <w:b w:val="0"/>
          <w:i/>
        </w:rPr>
        <w:t>Theory of the Firm: Ownership, Behavior, Agency Costs, and Ownership Structure</w:t>
      </w:r>
      <w:r>
        <w:rPr>
          <w:b w:val="0"/>
          <w:i w:val="0"/>
        </w:rPr>
        <w:t xml:space="preserve"> , 3 J. Fin. Econ. 305 (1976).</w:t>
      </w:r>
    </w:p>
    <w:p>
      <w:pPr>
        <w:spacing w:after="80"/>
      </w:pPr>
      <w:r>
        <w:rPr>
          <w:b w:val="0"/>
          <w:i w:val="0"/>
        </w:rPr>
        <w:t xml:space="preserve">4 . Myles Mace, </w:t>
      </w:r>
      <w:r>
        <w:rPr>
          <w:b w:val="0"/>
          <w:i/>
        </w:rPr>
        <w:t>Directors: Myth And Reality</w:t>
      </w:r>
      <w:r>
        <w:rPr>
          <w:b w:val="0"/>
          <w:i w:val="0"/>
        </w:rPr>
        <w:t xml:space="preserve"> 191 (1971).</w:t>
      </w:r>
    </w:p>
    <w:p>
      <w:pPr>
        <w:spacing w:after="80"/>
      </w:pPr>
      <w:r>
        <w:rPr>
          <w:b w:val="0"/>
          <w:i w:val="0"/>
        </w:rPr>
        <w:t xml:space="preserve">5 . Melvin Eisenberg, </w:t>
      </w:r>
      <w:r>
        <w:rPr>
          <w:b w:val="0"/>
          <w:i/>
        </w:rPr>
        <w:t>Legal Models of Management Structure in the Modern Corporation: Officers, Directors and Accountants</w:t>
      </w:r>
      <w:r>
        <w:rPr>
          <w:b w:val="0"/>
          <w:i w:val="0"/>
        </w:rPr>
        <w:t xml:space="preserve"> , 63 Calif. L. Rev. 375 (1975).</w:t>
      </w:r>
    </w:p>
    <w:p>
      <w:pPr>
        <w:spacing w:after="80"/>
      </w:pPr>
      <w:r>
        <w:rPr>
          <w:b w:val="0"/>
          <w:i w:val="0"/>
        </w:rPr>
        <w:t xml:space="preserve">6 . Charles M. Elson, et al., </w:t>
      </w:r>
      <w:r>
        <w:rPr>
          <w:b w:val="0"/>
          <w:i/>
        </w:rPr>
        <w:t>Corporate Governance Reform and Reemergence from Bankruptcy: Putting the Structure Back in Restructuring</w:t>
      </w:r>
      <w:r>
        <w:rPr>
          <w:b w:val="0"/>
          <w:i w:val="0"/>
        </w:rPr>
        <w:t xml:space="preserve"> , 55 Vand. L. Rev. 1917, 1926 (2002).</w:t>
      </w:r>
    </w:p>
    <w:p>
      <w:pPr>
        <w:spacing w:after="80"/>
      </w:pPr>
      <w:r>
        <w:rPr>
          <w:b w:val="0"/>
          <w:i w:val="0"/>
        </w:rPr>
        <w:t>7 . Bản quyền © 2008 Delaware Journal of Corporate Law. Được tái bản với sự cho phép.</w:t>
      </w:r>
    </w:p>
    <w:p>
      <w:pPr>
        <w:spacing w:after="80"/>
      </w:pPr>
      <w:r>
        <w:rPr>
          <w:b w:val="0"/>
          <w:i w:val="0"/>
        </w:rPr>
        <w:t xml:space="preserve">8 . Shearman &amp; Sterling LLP, </w:t>
      </w:r>
      <w:r>
        <w:rPr>
          <w:b w:val="0"/>
          <w:i/>
        </w:rPr>
        <w:t>Corporate Governance &amp; Executive Compensation 2015</w:t>
      </w:r>
      <w:r>
        <w:rPr>
          <w:b w:val="0"/>
          <w:i w:val="0"/>
        </w:rPr>
        <w:t xml:space="preserve"> 23 (2015).</w:t>
      </w:r>
    </w:p>
    <w:p>
      <w:pPr>
        <w:spacing w:after="80"/>
      </w:pPr>
      <w:r>
        <w:rPr>
          <w:b w:val="0"/>
          <w:i w:val="0"/>
        </w:rPr>
        <w:t xml:space="preserve">9 . “Báo cáo của Lực lượng Đặc nhiệm thuộc Ủy ban Quản trị Công ty, Ban Luật Kinh doanh, Hiệp hội Luật sư Hoa Kỳ về Phân định Vai trò và Trách nhiệm Quản trị,” 2009, </w:t>
      </w:r>
      <w:r>
        <w:rPr>
          <w:b w:val="0"/>
          <w:i/>
        </w:rPr>
        <w:t>Business Lawyer,</w:t>
      </w:r>
      <w:r>
        <w:rPr>
          <w:b w:val="0"/>
          <w:i w:val="0"/>
        </w:rPr>
        <w:t xml:space="preserve"> 65:1. © Bản quyền 2009 thuộc Hiệp hội Luật sư Hoa Kỳ. Được tái bản với sự cho phép. Thông tin này hoặc bất kỳ phần nào của nó không được sao chép hoặc phổ biến dưới bất kỳ hình thức nào hoặc bằng bất kỳ phương tiện nào hoặc lưu trữ trong cơ sở dữ liệu điện tử hoặc hệ thống truy xuất mà không có sự đồng ý bằng văn bản rõ ràng của Hiệp hội Luật sư Hoa Kỳ.</w:t>
      </w:r>
    </w:p>
    <w:p>
      <w:pPr>
        <w:spacing w:after="80"/>
      </w:pPr>
      <w:r>
        <w:rPr>
          <w:b w:val="0"/>
          <w:i w:val="0"/>
        </w:rPr>
        <w:t>10 . Bản quyền © 2015. Được tái bản với sự cho phép.</w:t>
      </w:r>
    </w:p>
    <w:p>
      <w:pPr>
        <w:spacing w:after="80"/>
      </w:pPr>
      <w:r>
        <w:rPr>
          <w:b w:val="0"/>
          <w:i w:val="0"/>
        </w:rPr>
        <w:t xml:space="preserve">11 . Tamar Frankel, </w:t>
      </w:r>
      <w:r>
        <w:rPr>
          <w:b w:val="0"/>
          <w:i/>
        </w:rPr>
        <w:t>Corporate Boards of Directors: Advisors or Supervisors</w:t>
      </w:r>
      <w:r>
        <w:rPr>
          <w:b w:val="0"/>
          <w:i w:val="0"/>
        </w:rPr>
        <w:t xml:space="preserve"> , 77 U. Cinn. L. Rev. 501 (2008) (lập luận rằng hội đồng quản trị dễ thất bại hơn nếu giám đốc, nhà quản lý và cổ đông không đồng ý về mức độ ưu tiên của vai trò cố vấn và giám sát của hội đồng quản trị).</w:t>
      </w:r>
    </w:p>
    <w:p>
      <w:pPr>
        <w:spacing w:after="80"/>
      </w:pPr>
      <w:r>
        <w:rPr>
          <w:b w:val="0"/>
          <w:i w:val="0"/>
        </w:rPr>
        <w:t xml:space="preserve">12 . </w:t>
      </w:r>
      <w:r>
        <w:rPr>
          <w:b w:val="0"/>
          <w:i/>
        </w:rPr>
        <w:t>Xem</w:t>
      </w:r>
      <w:r>
        <w:rPr>
          <w:b w:val="0"/>
          <w:i w:val="0"/>
        </w:rPr>
        <w:t xml:space="preserve"> William O. Douglas, </w:t>
      </w:r>
      <w:r>
        <w:rPr>
          <w:b w:val="0"/>
          <w:i/>
        </w:rPr>
        <w:t>Directors Who Do Not Direct</w:t>
      </w:r>
      <w:r>
        <w:rPr>
          <w:b w:val="0"/>
          <w:i w:val="0"/>
        </w:rPr>
        <w:t xml:space="preserve"> , 47 Harv. L. Rev. 1305 (1934).</w:t>
      </w:r>
    </w:p>
    <w:p>
      <w:pPr>
        <w:spacing w:after="80"/>
      </w:pPr>
      <w:r>
        <w:rPr>
          <w:b w:val="0"/>
          <w:i w:val="0"/>
        </w:rPr>
        <w:t xml:space="preserve">13 . </w:t>
      </w:r>
      <w:r>
        <w:rPr>
          <w:b w:val="0"/>
          <w:i/>
        </w:rPr>
        <w:t>Xem</w:t>
      </w:r>
      <w:r>
        <w:rPr>
          <w:b w:val="0"/>
          <w:i w:val="0"/>
        </w:rPr>
        <w:t xml:space="preserve"> Stephen M. Bainbridge, </w:t>
      </w:r>
      <w:r>
        <w:rPr>
          <w:b w:val="0"/>
          <w:i/>
        </w:rPr>
        <w:t>Independent Directors and the ALI Corporate Governance Project</w:t>
      </w:r>
      <w:r>
        <w:rPr>
          <w:b w:val="0"/>
          <w:i w:val="0"/>
        </w:rPr>
        <w:t xml:space="preserve"> , 61 Geo. Wash. L. Rev. 1034, 1037 (1993).</w:t>
      </w:r>
    </w:p>
    <w:p>
      <w:pPr>
        <w:spacing w:after="80"/>
      </w:pPr>
      <w:r>
        <w:rPr>
          <w:b w:val="0"/>
          <w:i w:val="0"/>
        </w:rPr>
        <w:t xml:space="preserve">14 . John H. Matheson &amp; Peter D. Favorite, </w:t>
      </w:r>
      <w:r>
        <w:rPr>
          <w:b w:val="0"/>
          <w:i/>
        </w:rPr>
        <w:t>Multidisciplinary Practice and the Future of the Legal Profession: Considering a Role for Independent Directors</w:t>
      </w:r>
      <w:r>
        <w:rPr>
          <w:b w:val="0"/>
          <w:i w:val="0"/>
        </w:rPr>
        <w:t xml:space="preserve"> , 32 Loy. U. Chi. L. J. 577, 609 (2001).</w:t>
      </w:r>
    </w:p>
    <w:p>
      <w:pPr>
        <w:spacing w:after="80"/>
      </w:pPr>
      <w:r>
        <w:rPr>
          <w:b w:val="0"/>
          <w:i w:val="0"/>
        </w:rPr>
        <w:t>15 . Bản quyền © 2007 Stanford Law Review. Được tái bản với sự cho phép.</w:t>
      </w:r>
    </w:p>
    <w:p>
      <w:pPr>
        <w:spacing w:after="80"/>
      </w:pPr>
      <w:r>
        <w:rPr>
          <w:b w:val="0"/>
          <w:i w:val="0"/>
        </w:rPr>
        <w:t xml:space="preserve">16 . </w:t>
      </w:r>
      <w:r>
        <w:rPr>
          <w:b w:val="0"/>
          <w:i/>
        </w:rPr>
        <w:t>Xem</w:t>
      </w:r>
      <w:r>
        <w:rPr>
          <w:b w:val="0"/>
          <w:i w:val="0"/>
        </w:rPr>
        <w:t xml:space="preserve"> Equilar, </w:t>
      </w:r>
      <w:r>
        <w:rPr>
          <w:b w:val="0"/>
          <w:i/>
        </w:rPr>
        <w:t>2014 Board Composition &amp; Recruiting Trends Report</w:t>
      </w:r>
      <w:r>
        <w:rPr>
          <w:b w:val="0"/>
          <w:i w:val="0"/>
        </w:rPr>
        <w:t xml:space="preserve"> 13 (2014).</w:t>
      </w:r>
    </w:p>
    <w:p>
      <w:pPr>
        <w:spacing w:after="80"/>
      </w:pPr>
      <w:r>
        <w:rPr>
          <w:b w:val="0"/>
          <w:i w:val="0"/>
        </w:rPr>
        <w:t xml:space="preserve">17 . </w:t>
      </w:r>
      <w:r>
        <w:rPr>
          <w:b w:val="0"/>
          <w:i/>
        </w:rPr>
        <w:t>Xem, ví dụ</w:t>
      </w:r>
      <w:r>
        <w:rPr>
          <w:b w:val="0"/>
          <w:i w:val="0"/>
        </w:rPr>
        <w:t xml:space="preserve"> , Roberta S. Karmel, </w:t>
      </w:r>
      <w:r>
        <w:rPr>
          <w:b w:val="0"/>
          <w:i/>
        </w:rPr>
        <w:t>Is the Independent Director Model Broken?</w:t>
      </w:r>
      <w:r>
        <w:rPr>
          <w:b w:val="0"/>
          <w:i w:val="0"/>
        </w:rPr>
        <w:t xml:space="preserve"> , 37 Sea. U. L. Rev. 775 (2013); Lisa M. Fairfax, </w:t>
      </w:r>
      <w:r>
        <w:rPr>
          <w:b w:val="0"/>
          <w:i/>
        </w:rPr>
        <w:t>The Uneasy Case for the Inside Director</w:t>
      </w:r>
      <w:r>
        <w:rPr>
          <w:b w:val="0"/>
          <w:i w:val="0"/>
        </w:rPr>
        <w:t xml:space="preserve"> , 96 Iowa L. Rev. 127 (2010).</w:t>
      </w:r>
    </w:p>
    <w:p>
      <w:pPr>
        <w:spacing w:after="80"/>
      </w:pPr>
      <w:r>
        <w:rPr>
          <w:b w:val="0"/>
          <w:i w:val="0"/>
        </w:rPr>
        <w:t xml:space="preserve">18 . Donald C. Langevoort, </w:t>
      </w:r>
      <w:r>
        <w:rPr>
          <w:b w:val="0"/>
          <w:i/>
        </w:rPr>
        <w:t>The Human Nature of Corporate Boards: Law, Norms, and the Unintended Consequences of Independence and Accountability</w:t>
      </w:r>
      <w:r>
        <w:rPr>
          <w:b w:val="0"/>
          <w:i w:val="0"/>
        </w:rPr>
        <w:t xml:space="preserve"> , 89 Geo. L.J. 797, 799 (2001).</w:t>
      </w:r>
    </w:p>
    <w:p>
      <w:pPr>
        <w:spacing w:after="80"/>
      </w:pPr>
      <w:r>
        <w:rPr>
          <w:b w:val="0"/>
          <w:i w:val="0"/>
        </w:rPr>
        <w:t xml:space="preserve">19 . John Armour &amp; Jeffrey N. Gordon, </w:t>
      </w:r>
      <w:r>
        <w:rPr>
          <w:b w:val="0"/>
          <w:i/>
        </w:rPr>
        <w:t>Systemic Harms and Shareholder Value,</w:t>
      </w:r>
      <w:r>
        <w:rPr>
          <w:b w:val="0"/>
          <w:i w:val="0"/>
        </w:rPr>
        <w:t xml:space="preserve"> 6 J. Legal Anal. 35, 66 (2014).</w:t>
      </w:r>
    </w:p>
    <w:p>
      <w:pPr>
        <w:spacing w:after="80"/>
      </w:pPr>
      <w:r>
        <w:rPr>
          <w:b w:val="0"/>
          <w:i w:val="0"/>
        </w:rPr>
        <w:t>20 . 802 A.2d 257, 264 (Del. 2002).</w:t>
      </w:r>
    </w:p>
    <w:p>
      <w:pPr>
        <w:spacing w:after="80"/>
      </w:pPr>
      <w:r>
        <w:rPr>
          <w:b w:val="0"/>
          <w:i w:val="0"/>
        </w:rPr>
        <w:t xml:space="preserve">21 . </w:t>
      </w:r>
      <w:r>
        <w:rPr>
          <w:b w:val="0"/>
          <w:i/>
        </w:rPr>
        <w:t>Xem New Jersey Carpenters Pension Fund v. infoGROUP Inc.</w:t>
      </w:r>
      <w:r>
        <w:rPr>
          <w:b w:val="0"/>
          <w:i w:val="0"/>
        </w:rPr>
        <w:t xml:space="preserve"> , 2011 Del. Ch. LEXIS 147 (ngày 6 tháng 10 năm 2011) (từ chối bác bỏ yêu cầu vi phạm nghĩa vụ trung thành khi có cơ sở hợp lý để suy luận rằng giám đốc có quyền lợi đã chi phối các thành viên hội đồng quản trị khác, “khiến họ không còn độc lập” thông qua “chuỗi đe dọa nhằm uy hiếp họ” để thông qua thương vụ sáp nhập).</w:t>
      </w:r>
    </w:p>
    <w:p>
      <w:pPr>
        <w:spacing w:after="80"/>
      </w:pPr>
      <w:r>
        <w:rPr>
          <w:b w:val="0"/>
          <w:i w:val="0"/>
        </w:rPr>
        <w:t xml:space="preserve">22 . Ann M. Scarlett, </w:t>
      </w:r>
      <w:r>
        <w:rPr>
          <w:b w:val="0"/>
          <w:i/>
        </w:rPr>
        <w:t>Sự nhầm lẫn và khó lường trong tranh tụng phái sinh của cổ đông: Phản ứng của các tòa án Delaware trước những bê bối doanh nghiệp gần đây</w:t>
      </w:r>
      <w:r>
        <w:rPr>
          <w:b w:val="0"/>
          <w:i w:val="0"/>
        </w:rPr>
        <w:t xml:space="preserve"> , 60 Fla. L. Rev. 589, 617 (2008).</w:t>
      </w:r>
    </w:p>
    <w:p>
      <w:pPr>
        <w:spacing w:after="80"/>
      </w:pPr>
      <w:r>
        <w:rPr>
          <w:b w:val="0"/>
          <w:i w:val="0"/>
        </w:rPr>
        <w:t xml:space="preserve">23 . Ronald W. Maulis, Christian Ruzzier, Sheng Xiao &amp; Shan Zhao, </w:t>
      </w:r>
      <w:r>
        <w:rPr>
          <w:b w:val="0"/>
          <w:i/>
        </w:rPr>
        <w:t>Các giám đốc chuyên gia độc lập có quan trọng không?</w:t>
      </w:r>
      <w:r>
        <w:rPr>
          <w:b w:val="0"/>
          <w:i w:val="0"/>
        </w:rPr>
        <w:t xml:space="preserve"> (2012).</w:t>
      </w:r>
    </w:p>
    <w:p>
      <w:pPr>
        <w:spacing w:after="80"/>
      </w:pPr>
      <w:r>
        <w:rPr>
          <w:b w:val="0"/>
          <w:i w:val="0"/>
        </w:rPr>
        <w:t xml:space="preserve">24 . Shearman &amp; Sterling LLP, </w:t>
      </w:r>
      <w:r>
        <w:rPr>
          <w:b w:val="0"/>
          <w:i/>
        </w:rPr>
        <w:t>Quản trị doanh nghiệp &amp; Thù lao điều hành 2015</w:t>
      </w:r>
      <w:r>
        <w:rPr>
          <w:b w:val="0"/>
          <w:i w:val="0"/>
        </w:rPr>
        <w:t xml:space="preserve"> 22 (2015) (khảo sát 100 công ty đại chúng lớn nhất Hoa Kỳ).</w:t>
      </w:r>
    </w:p>
    <w:p>
      <w:pPr>
        <w:spacing w:after="80"/>
      </w:pPr>
      <w:r>
        <w:rPr>
          <w:b w:val="0"/>
          <w:i w:val="0"/>
        </w:rPr>
        <w:t xml:space="preserve">25 . Joann S. Lublin, </w:t>
      </w:r>
      <w:r>
        <w:rPr>
          <w:b w:val="0"/>
          <w:i/>
        </w:rPr>
        <w:t>Hội đồng quản trị nhỏ hơn mang lại lợi nhuận lớn hơn</w:t>
      </w:r>
      <w:r>
        <w:rPr>
          <w:b w:val="0"/>
          <w:i w:val="0"/>
        </w:rPr>
        <w:t xml:space="preserve"> , Wall St. J., ngày 26 tháng 8 năm 2014.</w:t>
      </w:r>
    </w:p>
    <w:p>
      <w:pPr>
        <w:spacing w:after="80"/>
      </w:pPr>
      <w:r>
        <w:rPr>
          <w:b w:val="0"/>
          <w:i w:val="0"/>
        </w:rPr>
        <w:t xml:space="preserve">26 . Shearman &amp; Sterling LLP, </w:t>
      </w:r>
      <w:r>
        <w:rPr>
          <w:b w:val="0"/>
          <w:i/>
        </w:rPr>
        <w:t>Quản trị doanh nghiệp &amp; Thù lao điều hành 2015</w:t>
      </w:r>
      <w:r>
        <w:rPr>
          <w:b w:val="0"/>
          <w:i w:val="0"/>
        </w:rPr>
        <w:t xml:space="preserve"> 16 (2015).</w:t>
      </w:r>
    </w:p>
    <w:p>
      <w:pPr>
        <w:spacing w:after="80"/>
      </w:pPr>
      <w:r>
        <w:rPr>
          <w:b w:val="0"/>
          <w:i w:val="0"/>
        </w:rPr>
        <w:t xml:space="preserve">27 . Spencer Stuart Board Services, </w:t>
      </w:r>
      <w:r>
        <w:rPr>
          <w:b w:val="0"/>
          <w:i/>
        </w:rPr>
        <w:t>Chỉ số hội đồng quản trị Spencer Stuart 2015</w:t>
      </w:r>
      <w:r>
        <w:rPr>
          <w:b w:val="0"/>
          <w:i w:val="0"/>
        </w:rPr>
        <w:t xml:space="preserve"> 20 (2015).</w:t>
      </w:r>
    </w:p>
    <w:p>
      <w:pPr>
        <w:spacing w:after="80"/>
      </w:pPr>
      <w:r>
        <w:rPr>
          <w:b w:val="0"/>
          <w:i w:val="0"/>
        </w:rPr>
        <w:t xml:space="preserve">28 . Spencer Stuart Board Services, </w:t>
      </w:r>
      <w:r>
        <w:rPr>
          <w:b w:val="0"/>
          <w:i/>
        </w:rPr>
        <w:t>Chỉ số hội đồng quản trị Spencer Stuart 2015</w:t>
      </w:r>
      <w:r>
        <w:rPr>
          <w:b w:val="0"/>
          <w:i w:val="0"/>
        </w:rPr>
        <w:t xml:space="preserve"> 23 (2015).</w:t>
      </w:r>
    </w:p>
    <w:p>
      <w:pPr>
        <w:spacing w:after="80"/>
      </w:pPr>
      <w:r>
        <w:rPr>
          <w:b w:val="0"/>
          <w:i w:val="0"/>
        </w:rPr>
        <w:t>29 . Bản quyền © 2008 thuộc Regents of the University of California. Được tái bản từ Berkeley Business Law Journal, Tập 5, Số 2, với sự cho phép của Regents of the University of California.</w:t>
      </w:r>
    </w:p>
    <w:p>
      <w:pPr>
        <w:spacing w:after="80"/>
      </w:pPr>
      <w:r>
        <w:rPr>
          <w:b w:val="0"/>
          <w:i w:val="0"/>
        </w:rPr>
        <w:t>30 . Bản quyền © 2008 Journal of Financial Economics. Được tái bản với sự cho phép.</w:t>
      </w:r>
    </w:p>
    <w:p>
      <w:pPr>
        <w:spacing w:after="80"/>
      </w:pPr>
      <w:r>
        <w:rPr>
          <w:b w:val="0"/>
          <w:i w:val="0"/>
        </w:rPr>
        <w:t>31 . Luật này được ban hành vào năm 2006 và các công ty được cho hai năm để điều chỉnh. Tính đến tháng 2 năm 2008, 93% các công ty đại chúng đã tuân thủ các yêu cầu, theo Statistics Norway. Vào tháng 4 năm 2008, chính phủ Na Uy tuyên bố tuân thủ đầy đủ.</w:t>
      </w:r>
    </w:p>
    <w:p>
      <w:pPr>
        <w:spacing w:after="80"/>
      </w:pPr>
      <w:r>
        <w:rPr>
          <w:b w:val="0"/>
          <w:i w:val="0"/>
        </w:rPr>
        <w:t xml:space="preserve">32 . Kenneith R. Ahern &amp; Amy K. Dittmar, </w:t>
      </w:r>
      <w:r>
        <w:rPr>
          <w:b w:val="0"/>
          <w:i/>
        </w:rPr>
        <w:t>Sự thay đổi của các hội đồng quản trị: Tác động đến giá trị doanh nghiệp của việc bắt buộc có đại diện nữ trong hội đồng quản trị</w:t>
      </w:r>
      <w:r>
        <w:rPr>
          <w:b w:val="0"/>
          <w:i w:val="0"/>
        </w:rPr>
        <w:t xml:space="preserve"> , 127 Q.J. Econ. 137 (2012).</w:t>
      </w:r>
    </w:p>
    <w:p>
      <w:pPr>
        <w:spacing w:after="80"/>
      </w:pPr>
      <w:r>
        <w:rPr>
          <w:b w:val="0"/>
          <w:i w:val="0"/>
        </w:rPr>
        <w:t>33 . Bản quyền © 2011 North Carolina Law Review.</w:t>
      </w:r>
    </w:p>
    <w:p>
      <w:pPr>
        <w:spacing w:after="80"/>
      </w:pPr>
      <w:r>
        <w:rPr>
          <w:b w:val="0"/>
          <w:i w:val="0"/>
        </w:rPr>
        <w:t xml:space="preserve">34 . Spencer Stuart Board Services, </w:t>
      </w:r>
      <w:r>
        <w:rPr>
          <w:b w:val="0"/>
          <w:i/>
        </w:rPr>
        <w:t>Chỉ số hội đồng quản trị Spencer Stuart 2015</w:t>
      </w:r>
      <w:r>
        <w:rPr>
          <w:b w:val="0"/>
          <w:i w:val="0"/>
        </w:rPr>
        <w:t xml:space="preserve"> 17 (2015).</w:t>
      </w:r>
    </w:p>
    <w:p>
      <w:pPr>
        <w:spacing w:after="80"/>
      </w:pPr>
      <w:r>
        <w:rPr>
          <w:b w:val="0"/>
          <w:i w:val="0"/>
        </w:rPr>
        <w:t xml:space="preserve">35 . Equilar, </w:t>
      </w:r>
      <w:r>
        <w:rPr>
          <w:b w:val="0"/>
          <w:i/>
        </w:rPr>
        <w:t>Độ tuổi và nhiệm kỳ trong phòng họp hội đồng quản trị</w:t>
      </w:r>
      <w:r>
        <w:rPr>
          <w:b w:val="0"/>
          <w:i w:val="0"/>
        </w:rPr>
        <w:t xml:space="preserve"> (ngày 23 tháng 6 năm 2015), có tại http://www.equilar.com/articles/19-age-and-tenure-in-the-boardroom.xhtml .</w:t>
      </w:r>
    </w:p>
    <w:p>
      <w:pPr>
        <w:spacing w:after="80"/>
      </w:pPr>
      <w:r>
        <w:rPr>
          <w:b w:val="0"/>
          <w:i w:val="0"/>
        </w:rPr>
        <w:t xml:space="preserve">36 . </w:t>
      </w:r>
      <w:r>
        <w:rPr>
          <w:b w:val="0"/>
          <w:i/>
        </w:rPr>
        <w:t>Xem</w:t>
      </w:r>
      <w:r>
        <w:rPr>
          <w:b w:val="0"/>
          <w:i w:val="0"/>
        </w:rPr>
        <w:t xml:space="preserve"> Spencer Stuart Board Services, </w:t>
      </w:r>
      <w:r>
        <w:rPr>
          <w:b w:val="0"/>
          <w:i/>
        </w:rPr>
        <w:t>2014 Spencer Stuart Board Index</w:t>
      </w:r>
      <w:r>
        <w:rPr>
          <w:b w:val="0"/>
          <w:i w:val="0"/>
        </w:rPr>
        <w:t xml:space="preserve"> 4, 17 (2014).</w:t>
      </w:r>
    </w:p>
    <w:p>
      <w:pPr>
        <w:pStyle w:val="Heading1"/>
      </w:pPr>
      <w:r>
        <w:rPr>
          <w:rFonts w:ascii="Calibri" w:hAnsi="Calibri"/>
          <w:b/>
          <w:i w:val="0"/>
          <w:sz w:val="40"/>
        </w:rPr>
        <w:t>Chương 4</w:t>
      </w:r>
    </w:p>
    <w:p>
      <w:pPr>
        <w:pStyle w:val="Heading1"/>
      </w:pPr>
      <w:r>
        <w:rPr>
          <w:rFonts w:ascii="Calibri" w:hAnsi="Calibri"/>
          <w:b/>
          <w:i w:val="0"/>
          <w:sz w:val="40"/>
        </w:rPr>
        <w:t>Nghĩa vụ của người được ủy thác trong công ty</w:t>
      </w:r>
    </w:p>
    <w:p>
      <w:pPr>
        <w:spacing w:after="80"/>
      </w:pPr>
      <w:r>
        <w:rPr>
          <w:b w:val="0"/>
          <w:i w:val="0"/>
        </w:rPr>
        <w:t>Như chúng ta đã thấy, các đạo luật về công ty của tiểu bang trao cho các giám đốc và các viên chức được họ ủy quyền quyền hạn và toàn quyền quyết định để điều hành công việc kinh doanh của công ty. Tuy nhiên, khi quyền kiểm soát tài sản công ty được giao cho các viên chức và giám đốc, các cổ đông của công ty (những người sở hữu quyền đối với phần giá trị còn lại) trở nên dễ bị tổn thương trước hành vi sai trái của ban điều hành và, tệ hơn nữa, là sự cơ hội. Nhận thấy rằng các nhà quản lý có thể lạm dụng quyền hạn của mình, pháp luật áp đặt các nghĩa vụ ủy thác (fiduciary duties) lên các giám đốc và viên chức để điều chỉnh hành vi vốn có xu hướng tư lợi của họ. Như Tòa án Tối cao Delaware đã giải thích:</w:t>
      </w:r>
    </w:p>
    <w:p>
      <w:pPr>
        <w:spacing w:after="80"/>
      </w:pPr>
      <w:r>
        <w:rPr>
          <w:b w:val="0"/>
          <w:i w:val="0"/>
        </w:rPr>
        <w:t>Dù về mặt kỹ thuật không phải là người được ủy thác (trustees), [các giám đốc và viên chức] vẫn đứng trong mối quan hệ ủy thác với công ty và các cổ đông của công ty. Một chính sách công, tồn tại qua nhiều năm tháng, và bắt nguồn từ sự hiểu biết sâu sắc về đặc điểm và động cơ của con người, đã thiết lập một nguyên tắc đòi hỏi ở một viên chức hay giám đốc công ty, một cách dứt khoát và không lay chuyển, sự tuân thủ tận tâm nhất đối với nghĩa vụ của mình . . . [nhằm] bảo vệ lợi ích của công ty được giao phó cho mình. . . . Nguyên tắc đòi hỏi lòng trung thành tuyệt đối và không vụ lợi đối với công ty yêu cầu rằng không được có xung đột giữa nghĩa vụ và tư lợi.</w:t>
      </w:r>
    </w:p>
    <w:p>
      <w:pPr>
        <w:spacing w:after="80"/>
      </w:pPr>
      <w:r>
        <w:rPr>
          <w:b w:val="0"/>
          <w:i w:val="0"/>
        </w:rPr>
        <w:t>Ở Delaware, nơi phần lớn các công ty đại chúng được thành lập, cả giám đốc lẫn viên chức đều có nghĩa vụ ủy thác đối với công ty và các cổ đông của công ty, và theo Tòa án Tối cao Delaware, những nghĩa vụ đó là như nhau.</w:t>
      </w:r>
    </w:p>
    <w:p>
      <w:pPr>
        <w:spacing w:after="80"/>
      </w:pPr>
      <w:r>
        <w:rPr>
          <w:b w:val="0"/>
          <w:i w:val="0"/>
        </w:rPr>
        <w:t>Khác với phần lớn các tiểu bang đã pháp điển hóa các chuẩn mực ứng xử mẫu cho giám đốc và viên chức, Đại hội đồng của Delaware đã từ chối ban hành các nghĩa vụ theo luật định cho những người được ủy thác trong công ty. Thay vào đó, án lệ (judge-made law) điều chỉnh các chuẩn mực hành vi cho các nhà quản lý của các công ty được thành lập tại tiểu bang này. Điều này tất nhiên có nghĩa là luật ủy thác của Delaware phải chịu sự giải thích và sửa đổi theo từng vụ việc cụ thể. Một số nhà bình luận coi tính dễ uốn nắn này là một lợi thế quan trọng của học thuyết Delaware, trong khi những người khác lại lên án luật Delaware là không xác định.</w:t>
      </w:r>
    </w:p>
    <w:p>
      <w:pPr>
        <w:spacing w:after="80"/>
      </w:pPr>
      <w:r>
        <w:rPr>
          <w:b w:val="0"/>
          <w:i w:val="0"/>
        </w:rPr>
        <w:t>Các giám đốc và viên chức công ty có hai nghĩa vụ ủy thác chính: trung thành (loyalty) và cẩn trọng (care). Nghĩa vụ trung thành đặc biệt có chức năng kiểm soát sự cơ hội của các nhà quản lý. Chúng ta sẽ xem xét nghĩa vụ trung thành của những người được ủy thác trong Chương 5 .</w:t>
      </w:r>
    </w:p>
    <w:p>
      <w:pPr>
        <w:spacing w:after="80"/>
      </w:pPr>
      <w:r>
        <w:rPr>
          <w:b w:val="0"/>
          <w:i w:val="0"/>
        </w:rPr>
        <w:t>Trái ngược với nghĩa vụ trung thành, nghĩa vụ cẩn trọng đòi hỏi các giám đốc và viên chức công ty phải đưa ra các quyết định hợp pháp bằng cách sử dụng những quy trình được thông tin đầy đủ và chu đáo. Như hàm ý trong tên gọi của nó, nghĩa vụ cẩn trọng đề cập đến nghĩa vụ của những người được ủy thác trong công ty phải thực thi sự cẩn trọng thích đáng trong các cuộc thảo luận của mình. Nói chung, các giám đốc và viên chức phải hành động một cách thiện chí, với sự cẩn trọng mà một người thận trọng thông thường sẽ thực hiện trong những hoàn cảnh tương tự, và theo cách mà họ tin tưởng một cách hợp lý là vì lợi ích tốt nhất của công ty.</w:t>
      </w:r>
    </w:p>
    <w:p>
      <w:pPr>
        <w:pStyle w:val="Heading2"/>
      </w:pPr>
      <w:r>
        <w:rPr>
          <w:rFonts w:ascii="Calibri" w:hAnsi="Calibri"/>
          <w:b/>
          <w:i w:val="0"/>
          <w:sz w:val="32"/>
        </w:rPr>
        <w:t>I. Nghĩa vụ cẩn trọng và Quy tắc phán đoán kinh doanh</w:t>
      </w:r>
    </w:p>
    <w:p>
      <w:pPr>
        <w:spacing w:after="80"/>
      </w:pPr>
      <w:r>
        <w:rPr>
          <w:b w:val="0"/>
          <w:i w:val="0"/>
        </w:rPr>
        <w:t>Các nghĩa vụ cẩn trọng của những người được ủy thác trong công ty phát sinh trong hai bối cảnh khác biệt. Thứ nhất, nghĩa vụ cẩn trọng được áp dụng khi hội đồng quản trị thực hiện chức năng ra quyết định của mình, cho phép thực hiện các hành động của công ty. Thứ hai, nghĩa vụ này liên quan đến hội đồng quản trị khi họ thực hiện chức năng giám sát của mình, theo dõi hoạt động của công ty và đảm bảo rằng các giám đốc điều hành công ty hoàn thành trách nhiệm quản lý của họ tuân thủ các quy tắc pháp lý hiện hành. Trong cả hai bối cảnh, nghĩa vụ cẩn trọng buộc các giám đốc điều hành phải được thông tin đầy đủ và tận tâm.</w:t>
      </w:r>
    </w:p>
    <w:p>
      <w:pPr>
        <w:spacing w:after="80"/>
      </w:pPr>
      <w:r>
        <w:rPr>
          <w:b w:val="0"/>
          <w:i w:val="0"/>
        </w:rPr>
        <w:t>Thoạt nhìn, nghĩa vụ cẩn trọng của các giám đốc và viên chức có vẻ không khác biệt so với các nghĩa vụ phát sinh theo luật bồi thường thiệt hại ngoài hợp đồng (tort law). Tuy nhiên, nghĩa vụ cẩn trọng của những người được ủy thác trong công ty được giới hạn bởi quy tắc phán đoán kinh doanh (business judgment rule). Trong vụ án sau đây, Thẩm phán Ralph Winter của Tòa phúc thẩm Vòng hai (Second Circuit Court of Appeals), một học giả về luật công ty và chứng khoán và là thành viên giảng dạy của Trường Luật Yale, đã giải thích lý do tại sao pháp luật hiếm khi buộc các giám đốc và viên chức phải chịu trách nhiệm ngay cả đối với sự sơ suất nghiêm trọng của họ.</w:t>
      </w:r>
    </w:p>
    <w:p>
      <w:pPr>
        <w:pStyle w:val="Heading4"/>
      </w:pPr>
      <w:r>
        <w:rPr>
          <w:rFonts w:ascii="Calibri" w:hAnsi="Calibri"/>
          <w:b/>
          <w:i w:val="0"/>
          <w:sz w:val="23"/>
        </w:rPr>
        <w:t>Joy v. North</w:t>
      </w:r>
    </w:p>
    <w:p>
      <w:pPr>
        <w:spacing w:after="80"/>
      </w:pPr>
      <w:r>
        <w:rPr>
          <w:b w:val="0"/>
          <w:i w:val="0"/>
        </w:rPr>
        <w:t>Tòa phúc thẩm Hoa Kỳ, Vòng hai</w:t>
      </w:r>
      <w:r>
        <w:br/>
      </w:r>
      <w:r>
        <w:rPr>
          <w:b w:val="0"/>
          <w:i w:val="0"/>
        </w:rPr>
        <w:t xml:space="preserve"> 692 F.2d 880 (1982)</w:t>
      </w:r>
    </w:p>
    <w:p>
      <w:pPr>
        <w:spacing w:after="80"/>
      </w:pPr>
      <w:r>
        <w:rPr>
          <w:b w:val="0"/>
          <w:i w:val="0"/>
        </w:rPr>
        <w:t>WINTER , THẨM PHÁN VÒNG :</w:t>
      </w:r>
    </w:p>
    <w:p>
      <w:pPr>
        <w:spacing w:after="80"/>
      </w:pPr>
      <w:r>
        <w:rPr>
          <w:b w:val="0"/>
          <w:i w:val="0"/>
        </w:rPr>
        <w:t>Mặc dù người ta thường nói rằng các giám đốc và viên chức công ty sẽ phải chịu trách nhiệm về sự sơ suất trong việc thực hiện nghĩa vụ công ty của mình, tất cả dường như đều đồng ý rằng tuyên bố như vậy là gây hiểu nhầm. Trong khi một người lái xe ô tô mắc sai lầm trong phán đoán về tốc độ hoặc khoảng cách gây thương tích cho một người đi bộ có khả năng sẽ bị yêu cầu bồi thường thiệt hại, thì một viên chức công ty mắc sai lầm trong phán đoán về điều kiện kinh tế, thị hiếu người tiêu dùng hay hiệu quả dây chuyền sản xuất sẽ hiếm khi, nếu có, bị phát hiện phải chịu trách nhiệm về những thiệt hại mà công ty phải gánh chịu. Dù thuật ngữ là gì, thực tế là trách nhiệm pháp lý hiếm khi được áp đặt lên các giám đốc hay viên chức công ty chỉ vì phán đoán tồi, và sự miễn cưỡng áp đặt trách nhiệm đối với những quyết định kinh doanh không thành công này đã được gọi theo học thuyết là quy tắc phán đoán kinh doanh.</w:t>
      </w:r>
    </w:p>
    <w:p>
      <w:pPr>
        <w:spacing w:after="80"/>
      </w:pPr>
      <w:r>
        <w:rPr>
          <w:b w:val="0"/>
          <w:i w:val="0"/>
        </w:rPr>
        <w:t>Đầu tiên, ở một mức độ rất thực tế, các cổ đông tự nguyện gánh chịu rủi ro từ những quyết định kinh doanh tồi. . . . Khi thực hiện điều thực sự là một sự lựa chọn tự do, chất lượng ban quản lý của một công ty thường mang tính quyết định và thông tin luôn sẵn có từ các cố vấn chuyên nghiệp. Vì cổ đông có thể và thực sự lựa chọn giữa các khoản đầu tư một phần dựa trên ban quản lý, nên quy tắc phán đoán kinh doanh (business judgment rule) chỉ đơn thuần thừa nhận một mức độ tự nguyện nhất định khi gánh chịu rủi ro từ những quyết định kinh doanh tồi.</w:t>
      </w:r>
    </w:p>
    <w:p>
      <w:pPr>
        <w:spacing w:after="80"/>
      </w:pPr>
      <w:r>
        <w:rPr>
          <w:b w:val="0"/>
          <w:i w:val="0"/>
        </w:rPr>
        <w:t>Thứ hai, các tòa án thừa nhận rằng việc kiện tụng sau khi sự việc đã xảy ra là một công cụ cực kỳ bất toàn để đánh giá các quyết định kinh doanh của công ty. Những hoàn cảnh xung quanh một quyết định của công ty không dễ được tái dựng lại trong phòng xử án nhiều năm sau đó, vì các yêu cầu cấp bách của kinh doanh thường đòi hỏi những quyết định nhanh chóng, tất yếu dựa trên thông tin chưa hoàn hảo. Chức năng của doanh nhân là đối mặt với rủi ro và đương đầu với sự bất định, và một quyết định có lý lẽ vào thời điểm đưa ra có thể trông như một phỏng đoán liều lĩnh khi nhìn lại nhiều năm sau trong bối cảnh kiến thức hoàn hảo.</w:t>
      </w:r>
    </w:p>
    <w:p>
      <w:pPr>
        <w:spacing w:after="80"/>
      </w:pPr>
      <w:r>
        <w:rPr>
          <w:b w:val="0"/>
          <w:i w:val="0"/>
        </w:rPr>
        <w:t>Thứ ba, vì lợi nhuận tiềm năng thường tương ứng với rủi ro tiềm năng, nên việc luật pháp không tạo ra động cơ khuyến khích những quyết định kinh doanh quá thận trọng là điều rất có lợi cho cổ đông. Một số cơ hội mang lại lợi nhuận lớn với rủi ro thua lỗ rất đáng kể, trong khi các lựa chọn thay thế ít rủi ro thua lỗ hơn nhưng cũng ít lợi nhuận tiềm năng hơn. Cổ đông có thể giảm mức biến động của rủi ro bằng cách đa dạng hóa danh mục nắm giữ của mình. Đối với cổ đông đã đa dạng hóa, những lựa chọn thay thế trông có vẻ rủi ro hơn rất có thể lại là lựa chọn tốt nhất, vì những khoản thua lỗ lớn ở một số cổ phiếu theo thời gian sẽ được bù đắp bằng những khoản lãi còn lớn hơn ở những cổ phiếu khác. Với sự tồn tại của các quỹ tương hỗ (mutual funds) và những hình thức đầu tư đa dạng hóa tương tự, các tòa án không cần phải cố gắng hết sức để dành sự bảo vệ đặc biệt cho những cổ đông từ chối giảm mức biến động của rủi ro bằng cách không đa dạng hóa. Do đó, một quy tắc trừng phạt việc lựa chọn những phương án trông có vẻ rủi ro hơn có thể không có lợi cho cổ đông nói chung.</w:t>
      </w:r>
    </w:p>
    <w:p>
      <w:pPr>
        <w:spacing w:after="80"/>
      </w:pPr>
      <w:r>
        <w:rPr>
          <w:b w:val="0"/>
          <w:i w:val="0"/>
        </w:rPr>
        <w:t>Tuy nhiên, dù có giá trị gì đi nữa, quy tắc phán đoán kinh doanh chỉ mở rộng đến mức mà những lý do biện minh cho sự tồn tại của nó cho phép. Vì vậy, nó không áp dụng trong những trường hợp mà quyết định của công ty thiếu mục đích kinh doanh, bị vấy bẩn bởi xung đột lợi ích, quá nghiêm trọng đến mức trở thành một quyết định lãng phí, không có khả năng thắng lợi, hoặc là kết quả của việc thiếu giám sát hay kiểm soát một cách rõ ràng và kéo dài.</w:t>
      </w:r>
    </w:p>
    <w:p>
      <w:pPr>
        <w:pStyle w:val="Heading5"/>
      </w:pPr>
      <w:r>
        <w:rPr>
          <w:rFonts w:ascii="Calibri" w:hAnsi="Calibri"/>
          <w:b/>
          <w:i/>
          <w:sz w:val="22"/>
        </w:rPr>
        <w:t>Bình luận và Câu hỏi</w:t>
      </w:r>
    </w:p>
    <w:p>
      <w:pPr>
        <w:spacing w:after="80"/>
      </w:pPr>
      <w:r>
        <w:rPr>
          <w:b w:val="0"/>
          <w:i w:val="0"/>
        </w:rPr>
        <w:t xml:space="preserve">1. Tòa án Tối cao Delaware đã phán quyết rằng các giám đốc công ty phải có "mức độ cẩn trọng mà những người đàn ông thông thường cẩn thận và khôn ngoan sẽ sử dụng trong những hoàn cảnh tương tự." Tuy nhiên, những người soạn thảo Đạo luật Mẫu về Công ty Kinh doanh (Model Business Corporation Act) đã đưa vào một yếu tố chủ quan trong cách diễn đạt nghĩa vụ cẩn trọng của luật mẫu. </w:t>
      </w:r>
      <w:r>
        <w:rPr>
          <w:b w:val="0"/>
          <w:i/>
        </w:rPr>
        <w:t>Xem</w:t>
      </w:r>
      <w:r>
        <w:rPr>
          <w:b w:val="0"/>
          <w:i w:val="0"/>
        </w:rPr>
        <w:t xml:space="preserve"> M.B.C.A. § 8.30(a)–(b) (2008) (các giám đốc phải (i) hành động "thiện chí"; (ii) hành động "theo cách mà giám đốc tin tưởng một cách hợp lý là vì lợi ích tốt nhất của công ty" [chủ quan]; và (iii) "thực hiện nhiệm vụ của mình với sự cẩn trọng mà một người ở vị trí tương tự sẽ tin tưởng một cách hợp lý là phù hợp trong những hoàn cảnh tương tự" [khách quan].). Bạn có nghĩ rằng các giám đốc ở Delaware bị bất lợi về phương diện này không? Tại sao có hoặc tại sao không?</w:t>
      </w:r>
    </w:p>
    <w:p>
      <w:pPr>
        <w:spacing w:after="80"/>
      </w:pPr>
      <w:r>
        <w:rPr>
          <w:b w:val="0"/>
          <w:i w:val="0"/>
        </w:rPr>
        <w:t>2. Nếu rủi ro phải chịu trách nhiệm cá nhân khuyến khích tài xế và những người có thể gây thiệt hại khác hành động với sự cẩn trọng hợp lý (hiệu quả), thì tại sao lại không áp dụng với các giám đốc và nhân viên điều hành công ty? Liệu các giám đốc và nhân viên điều hành công ty có hành động thận trọng nếu họ không đối mặt với rủi ro thực sự nào về trách nhiệm cá nhân khi không làm như vậy không? Liệu mối đe dọa về trách nhiệm tài chính có phải là cách hiệu quả nhất để điều chỉnh hành vi của ban quản lý không? Những chế tài phi pháp lý nào thúc đẩy các giám đốc và nhân viên điều hành công ty hành xử một cách tối ưu?</w:t>
      </w:r>
    </w:p>
    <w:p>
      <w:pPr>
        <w:spacing w:after="80"/>
      </w:pPr>
      <w:r>
        <w:rPr>
          <w:b w:val="0"/>
          <w:i w:val="0"/>
        </w:rPr>
        <w:t>3. Giáo sư Melvin Eisenberg đã lập luận rằng các tiêu chuẩn hành xử và tiêu chuẩn trách nhiệm của các nhà quản lý công ty tất yếu phải khác biệt vì các giám đốc phải đưa ra những quyết định phức tạp, vốn dĩ có rủi ro về kết quả. Nói cách khác, nếu bị đe dọa phải chịu trách nhiệm cá nhân vì những quyết định không hợp lý, các giám đốc sẽ từ chối những cơ hội kinh doanh mạo hiểm mà những cổ đông duy lý, những người có thể đa dạng hóa danh mục đầu tư của mình, thực sự ưa thích. Bạn có đồng ý không? Bạn có thể nghĩ ra bất kỳ điểm yếu nào trong lập luận này không?</w:t>
      </w:r>
    </w:p>
    <w:p>
      <w:pPr>
        <w:spacing w:after="80"/>
      </w:pPr>
      <w:r>
        <w:rPr>
          <w:b w:val="0"/>
          <w:i w:val="0"/>
        </w:rPr>
        <w:t>4. Kỳ vọng của các nhà đầu tư về việc liệu các nhà quản lý công ty có thể phải chịu trách nhiệm pháp lý vì hành vi sai trái của họ hay không là gì? Bạn có nghĩ rằng các cổ đông của các công ty đại chúng hiểu rõ khi họ đầu tư rằng các giám đốc và nhân viên điều hành của công ty sẽ không phải chịu trách nhiệm pháp lý vì sự kém cỏi của họ, bất kể họ gây ra bao nhiêu tổn thất cho công ty không? Giáo sư Rutherford Campbell nghĩ là không. "Người ta sẽ phải giả định rằng trong hầu hết các trường hợp, những nhà đầu tư được thông tin đầy đủ, những người có khả năng thương lượng và thực hiện các lựa chọn thị trường, sẽ giao vốn của mình cho những nhà quản lý hoạt động với ít hoặc không có nghĩa vụ ủy thác hay trách nhiệm pháp lý hoặc tài chính nào đối với việc quản lý yếu kém." Có lý do nào để tin rằng các cổ đông duy lý ưa thích rủi ro từ việc quản lý yếu kém, sự trốn tránh trách nhiệm, và/hoặc sự kém cỏi của các nhà quản lý công ty hơn là sai sót tư pháp không?</w:t>
      </w:r>
    </w:p>
    <w:p>
      <w:pPr>
        <w:spacing w:after="80"/>
      </w:pPr>
      <w:r>
        <w:rPr>
          <w:b w:val="0"/>
          <w:i w:val="0"/>
        </w:rPr>
        <w:t>5. Liệu luật pháp có nên tiếp tục phân loại các giám đốc và nhân viên điều hành là những người ủy thác (fiduciaries) nếu họ không phải chịu trách nhiệm như những người ủy thác không? Liên quan đến điều đó, nếu không thực thi các nghĩa vụ pháp lý của họ, liệu nghĩa vụ ủy thác của các giám đốc và nhân viên điều hành có phải là hư ảo không? Các nhà bình luận đã lập luận rằng học thuyết ủy thác có một chức năng tự sự đặc biệt. Chẳng hạn, Giáo sư Edward Rock và Michael Wachter đã mô tả án lệ về nghĩa vụ ủy thác của Delaware như một chuỗi những câu chuyện cảnh báo về những nhà quản lý tồi, từ đó các giám đốc và nhân viên điều hành công ty có thể rút ra những hướng dẫn có tính quyết định một cách hợp lý cho hành vi của mình. Bạn có đồng ý không? Làm thế nào các giám đốc và nhân viên điều hành công ty biết được những câu chuyện cảnh báo này?</w:t>
      </w:r>
    </w:p>
    <w:p>
      <w:pPr>
        <w:spacing w:after="80"/>
      </w:pPr>
      <w:r>
        <w:rPr>
          <w:b w:val="0"/>
          <w:i w:val="0"/>
        </w:rPr>
        <w:t>6. Trong chừng mực mà các giám đốc và nhân viên điều hành sẽ không phải chịu trách nhiệm vì việc quản lý yếu kém do sơ suất, thì khi nào, nếu có, việc khởi kiện những người ủy thác vì vi phạm nghĩa vụ cẩn trọng của họ là có lợi cho công ty?</w:t>
      </w:r>
    </w:p>
    <w:p>
      <w:pPr>
        <w:pStyle w:val="Heading2"/>
      </w:pPr>
      <w:r>
        <w:rPr>
          <w:rFonts w:ascii="Calibri" w:hAnsi="Calibri"/>
          <w:b/>
          <w:i w:val="0"/>
          <w:sz w:val="32"/>
        </w:rPr>
        <w:t>II. Sự cẩn trọng trong quy trình và Quy tắc Phán đoán Kinh doanh</w:t>
      </w:r>
    </w:p>
    <w:p>
      <w:pPr>
        <w:spacing w:after="80"/>
      </w:pPr>
      <w:r>
        <w:rPr>
          <w:b w:val="0"/>
          <w:i w:val="0"/>
        </w:rPr>
        <w:t>Mặc dù luật pháp yêu cầu những người ủy thác của công ty phải thực hiện sự cẩn trọng thích đáng khi thi hành nhiệm vụ, các tòa án nói chung sẽ không đánh giá lại các quyết định do những người ủy thác của công ty hành động thiện chí đưa ra. Ngay cả khi một quyết định tồi gây ra tổn thất lớn cho công ty, các giám đốc và nhân viên điều hành hiếm khi phải chịu trách nhiệm vì hành vi sai trái của mình. Thay vào đó, về cơ bản, các tòa án áp dụng quy tắc phán đoán kinh doanh đối với những khiếu nại rằng các giám đốc đã vi phạm nghĩa vụ cẩn trọng của họ. Quy tắc phán đoán kinh doanh bảo vệ các giám đốc khỏi trách nhiệm bằng cách bảo vệ các quyết định của họ khỏi sự xem xét của tòa án miễn là họ hành động thiện chí, được thông tin một cách hợp lý trong hoàn cảnh đó, và tin tưởng một cách hợp lý rằng quyết định của mình là vì lợi ích tốt nhất của công ty.</w:t>
      </w:r>
    </w:p>
    <w:p>
      <w:pPr>
        <w:spacing w:after="80"/>
      </w:pPr>
      <w:r>
        <w:rPr>
          <w:b w:val="0"/>
          <w:i w:val="0"/>
        </w:rPr>
        <w:t xml:space="preserve">Về mặt lịch sử, "quy tắc phán đoán kinh doanh đã trở thành một đặc điểm then chốt trong án lệ của Delaware từ rất lâu trước nghĩa vụ cẩn trọng." Các tòa án biện minh cho quy tắc phán đoán kinh doanh là cần thiết để bảo tồn thẩm quyền của hội đồng quản trị trong việc quản lý hoạt động kinh doanh và các vấn đề của công ty. Ngoài ra, nguyên tắc này thừa nhận chuyên môn tương đối của các giám đốc và nhân viên điều hành so với các thẩm phán trong việc quyết định các vấn đề kinh doanh. Tuy nhiên, gần đây hơn, các tòa án và nhà bình luận đã đưa ra những lập luận khác ủng hộ quy tắc phán đoán kinh doanh. Ví dụ, trong phán quyết năm 1996 của mình trong vụ </w:t>
      </w:r>
      <w:r>
        <w:rPr>
          <w:b w:val="0"/>
          <w:i/>
        </w:rPr>
        <w:t>Gagliardi v. Trifoods Int'l, Inc.</w:t>
      </w:r>
      <w:r>
        <w:rPr>
          <w:b w:val="0"/>
          <w:i w:val="0"/>
        </w:rPr>
        <w:t xml:space="preserve"> , Thẩm phán William Allen đã trình bày một cách có ảnh hưởng nhiều cách mà học thuyết này mang lại lợi ích cho công ty và các cổ đông của nó:</w:t>
      </w:r>
    </w:p>
    <w:p>
      <w:pPr>
        <w:spacing w:after="80"/>
      </w:pPr>
      <w:r>
        <w:rPr>
          <w:b w:val="0"/>
          <w:i w:val="0"/>
        </w:rPr>
        <w:t xml:space="preserve">[K]hi không có các sự kiện cho thấy sự tự giao dịch (self-dealing) hoặc động cơ không chính đáng, một nhân viên điều hành hoặc giám đốc công ty không phải chịu trách nhiệm pháp lý trước công ty vì những tổn thất có thể phát sinh từ một quyết định mà một nhân viên điều hành đã đưa ra hoặc mà các giám đốc đã cho phép một cách thiện chí. Có một ngoại lệ mang tính lý thuyết đối với tuyên bố chung này, cho rằng một số quyết định có thể "nghiêm trọng" đến mức trách nhiệm đối với những tổn thất mà chúng gây ra có thể phát sinh ngay cả khi không có bằng chứng về xung đột lợi ích hoặc động cơ không chính đáng. Tuy nhiên, ngoại lệ này đã không dẫn đến bất kỳ phán quyết bồi thường tiền nào chống lại các nhân viên điều hành hoặc giám đốc công ty tại khu vực tài phán này. . . . Do đó, việc cáo buộc rằng một công ty đã chịu tổn thất do kết quả của một giao dịch hợp pháp, nằm trong thẩm quyền của công ty, được cho phép bởi một người ủy thác của công ty </w:t>
      </w:r>
      <w:r>
        <w:rPr>
          <w:b w:val="0"/>
          <w:i/>
        </w:rPr>
        <w:t>hành động nhằm theo đuổi các mục đích của công ty một cách thiện chí</w:t>
      </w:r>
      <w:r>
        <w:rPr>
          <w:b w:val="0"/>
          <w:i w:val="0"/>
        </w:rPr>
        <w:t xml:space="preserve"> , không đưa ra được một yêu cầu đòi bồi thường chống lại người ủy thác đó cho dù khoản đầu tư có thể trông ngu ngốc đến đâu khi nhìn lại.</w:t>
      </w:r>
    </w:p>
    <w:p>
      <w:pPr>
        <w:spacing w:after="80"/>
      </w:pPr>
      <w:r>
        <w:rPr>
          <w:b w:val="0"/>
          <w:i w:val="0"/>
        </w:rPr>
        <w:t xml:space="preserve">Quy tắc này về mặt lý tính không thể khác được. Các cổ đông có thể đa dạng hóa rủi ro từ các khoản đầu tư vào công ty của mình. Do đó, vì lợi ích kinh tế của họ, công ty nên chấp nhận theo thứ tự xếp hạng tất cả các dự án đầu tư có giá trị hiện tại ròng dương sẵn có cho công ty, bắt đầu với </w:t>
      </w:r>
      <w:r>
        <w:rPr>
          <w:b w:val="0"/>
          <w:i/>
        </w:rPr>
        <w:t>tỷ suất sinh lợi đã điều chỉnh theo rủi ro cao nhất trước tiên.</w:t>
      </w:r>
      <w:r>
        <w:rPr>
          <w:b w:val="0"/>
          <w:i w:val="0"/>
        </w:rPr>
        <w:t xml:space="preserve"> Các cổ đông không muốn (hoặc không nên muốn một cách duy lý) các giám đốc trở nên ngại rủi ro. Lợi ích đầu tư của cổ đông, trên toàn bộ phạm vi các khoản đầu tư vốn cổ phần có thể đa dạng hóa của họ, sẽ được tối đa hóa nếu các giám đốc và nhà quản lý công ty đánh giá trung thực rủi ro và phần thưởng, và chấp nhận cho công ty những tỷ suất sinh lợi đã điều chỉnh theo rủi ro cao nhất sẵn có mà cao hơn chi phí vốn của công ty.</w:t>
      </w:r>
    </w:p>
    <w:p>
      <w:pPr>
        <w:spacing w:after="80"/>
      </w:pPr>
      <w:r>
        <w:rPr>
          <w:b w:val="0"/>
          <w:i w:val="0"/>
        </w:rPr>
        <w:t xml:space="preserve">Nhưng các giám đốc sẽ có xu hướng đi chệch khỏi sự chấp nhận rủi ro doanh nghiệp một cách hợp lý này </w:t>
      </w:r>
      <w:r>
        <w:rPr>
          <w:b w:val="0"/>
          <w:i/>
        </w:rPr>
        <w:t>nếu</w:t>
      </w:r>
      <w:r>
        <w:rPr>
          <w:b w:val="0"/>
          <w:i w:val="0"/>
        </w:rPr>
        <w:t xml:space="preserve"> khi cho phép công ty thực hiện một khoản đầu tư rủi ro, các giám đốc phải gánh chịu một mức độ rủi ro cá nhân nào đó liên quan đến các khiếu nại </w:t>
      </w:r>
      <w:r>
        <w:rPr>
          <w:b w:val="0"/>
          <w:i/>
        </w:rPr>
        <w:t>hồi tố</w:t>
      </w:r>
      <w:r>
        <w:rPr>
          <w:b w:val="0"/>
          <w:i w:val="0"/>
        </w:rPr>
        <w:t xml:space="preserve"> về trách nhiệm phái sinh đối với bất kỳ tổn thất nào của công ty do hậu quả.</w:t>
      </w:r>
    </w:p>
    <w:p>
      <w:pPr>
        <w:spacing w:after="80"/>
      </w:pPr>
      <w:r>
        <w:rPr>
          <w:b w:val="0"/>
          <w:i w:val="0"/>
        </w:rPr>
        <w:t>Các giám đốc công ty của các công ty đại chúng thường có tỷ lệ sở hữu rất nhỏ trong công ty của họ và ít hoặc không có thù lao khuyến khích. Do đó, với tư cách là chủ sở hữu phần dư, họ chỉ được hưởng một phần rất nhỏ trong bất kỳ khoản lợi nhuận "tăng lên" nào mà công ty kiếm được từ các dự án đầu tư rủi ro. Tuy nhiên, nếu các giám đốc công ty bị phát hiện phải chịu trách nhiệm về tổn thất của công ty từ một dự án rủi ro với lý do khoản đầu tư đó quá rủi ro (rủi ro một cách dại dột! rủi ro một cách ngu ngốc! rủi ro một cách trắng trợn!—bạn tự điền trạng từ đi), thì trách nhiệm của họ sẽ là liên đới và toàn bộ đối với toàn bộ tổn thất (tôi cho là kèm theo quyền đóng góp). Với quy mô hoạt động của các công ty đại chúng hiện đại, sự tách biệt đến choáng váng giữa rủi ro và phần thưởng đối với các giám đốc công ty này đe dọa gây ra những hậu quả không mong muốn. Với sự tách biệt này, chỉ cần một xác suất rất nhỏ về trách nhiệm của giám đốc dựa trên 'sự sơ suất', 'sự thiếu chú ý', 'sự lãng phí', v.v., cũng có thể khiến một hội đồng quản trị tránh cho phép các dự án đầu tư rủi ro ở bất kỳ mức độ nào! Rõ ràng, việc cung cấp đủ sự bảo vệ cho các giám đốc khỏi trách nhiệm do sơ suất, v.v., để cho phép các giám đốc kết luận rằng, trên thực tế, không có rủi ro rằng nếu họ hành động thiện chí và đáp ứng các tiêu chuẩn thủ tục tối thiểu về sự chú ý, họ có thể phải đối mặt với trách nhiệm pháp lý do hậu quả của một tổn thất kinh doanh, là vì lợi ích kinh tế của các cổ đông.</w:t>
      </w:r>
    </w:p>
    <w:p>
      <w:pPr>
        <w:spacing w:after="80"/>
      </w:pPr>
      <w:r>
        <w:rPr>
          <w:b w:val="0"/>
          <w:i w:val="0"/>
        </w:rPr>
        <w:t xml:space="preserve">Pháp luật </w:t>
      </w:r>
      <w:r>
        <w:rPr>
          <w:b w:val="0"/>
          <w:i/>
        </w:rPr>
        <w:t>bảo vệ lợi ích đầu tư của cổ đông</w:t>
      </w:r>
      <w:r>
        <w:rPr>
          <w:b w:val="0"/>
          <w:i w:val="0"/>
        </w:rPr>
        <w:t xml:space="preserve"> trước những hậu quả phi kinh tế mà sự hiện diện của rủi ro bị soi xét lại như vậy sẽ gây ra đối với hành động của giám đốc và tài sản của cổ đông theo nhiều cách. Chẳng hạn, luật cho phép các công ty chi trả cho bảo hiểm trách nhiệm của giám đốc và cán bộ, và cho phép công ty bồi thường trong nhiều trường hợp. Nhưng sự bảo vệ đầu tiên trước mối đe dọa về việc chấp nhận rủi ro dưới mức tối ưu chính là cái được gọi là quy tắc phán đoán kinh doanh. 'Quy tắc' đó trên thực tế quy định rằng khi một giám đốc độc lập và không có lợi ích liên quan, thì không thể có trách nhiệm pháp lý đối với tổn thất của công ty, trừ khi các sự kiện đến mức không ai có thể có khả năng cho phép một giao dịch như vậy nếu người đó đang cố gắng thiện chí thực hiện nghĩa vụ của mình.</w:t>
      </w:r>
    </w:p>
    <w:p>
      <w:pPr>
        <w:spacing w:after="80"/>
      </w:pPr>
      <w:r>
        <w:rPr>
          <w:b w:val="0"/>
          <w:i w:val="0"/>
        </w:rPr>
        <w:t>Bạn có đồng ý với lập luận của Thẩm phán Allen không? Bạn nghĩ điều gì thúc đẩy các tòa án áp dụng quy tắc phán đoán kinh doanh? Những lập luận của Thẩm phán Allen có sức thuyết phục hơn hay kém hơn tùy thuộc vào loại quyết định mà các giám đốc đưa ra? Ví dụ, liệu các quyết định của giám đốc về việc tuyển dụng và thù lao cho các cán bộ điều hành cấp cao của công ty có làm dấy lên cùng mức độ và loại mối quan ngại như các quyết định của giám đốc về việc tuyên bố cổ tức hoặc đầu tư vào một dự án nghiên cứu và phát triển mới không?</w:t>
      </w:r>
    </w:p>
    <w:p>
      <w:pPr>
        <w:spacing w:after="80"/>
      </w:pPr>
      <w:r>
        <w:rPr>
          <w:b w:val="0"/>
          <w:i w:val="0"/>
        </w:rPr>
        <w:t>—————</w:t>
      </w:r>
    </w:p>
    <w:p>
      <w:pPr>
        <w:spacing w:after="80"/>
      </w:pPr>
      <w:r>
        <w:rPr>
          <w:b w:val="0"/>
          <w:i w:val="0"/>
        </w:rPr>
        <w:t xml:space="preserve">Trong phán quyết mang tính biểu tượng năm 1985 của mình trong vụ án </w:t>
      </w:r>
      <w:r>
        <w:rPr>
          <w:b w:val="0"/>
          <w:i/>
        </w:rPr>
        <w:t>Smith v. Van Gorkom</w:t>
      </w:r>
      <w:r>
        <w:rPr>
          <w:b w:val="0"/>
          <w:i w:val="0"/>
        </w:rPr>
        <w:t>, Tòa án Tối cao Delaware đã phán quyết rằng quy tắc phán đoán kinh doanh không bảo vệ các giám đốc bị đơn khỏi trách nhiệm pháp lý. Ở đó, tòa án đã xem xét quyết định của các giám đốc của Trans Union Corporation, một công ty Delaware đại chúng, phê duyệt việc bán công ty cho kẻ săn lùng công ty Jay Pritzker. Bị đơn Jerome Van Gorkom, khi đó là chủ tịch hội đồng quản trị kiêm CEO của Trans Union, đã đàm phán việc bán công ty cho Pritzker với giá $55 mỗi cổ phần bằng tiền mặt. Van Gorkom đã không tham khảo ý kiến các chuyên gia tài chính bên ngoài để xác định giá trị hợp lý của công ty, cũng không đưa đội ngũ điều hành của mình vào các cuộc đàm phán. Sau một cuộc họp hội đồng quản trị kéo dài hai giờ được lên lịch với rất ít thông báo trước, các giám đốc Trans Union đã chấp nhận đề nghị của Pritzker theo khuyến nghị của Van Gorkom.</w:t>
      </w:r>
    </w:p>
    <w:p>
      <w:pPr>
        <w:pStyle w:val="Heading4"/>
      </w:pPr>
      <w:r>
        <w:rPr>
          <w:rFonts w:ascii="Calibri" w:hAnsi="Calibri"/>
          <w:b/>
          <w:i w:val="0"/>
          <w:sz w:val="23"/>
        </w:rPr>
        <w:t>Smith v. Van Gorkom</w:t>
      </w:r>
    </w:p>
    <w:p>
      <w:pPr>
        <w:spacing w:after="80"/>
      </w:pPr>
      <w:r>
        <w:rPr>
          <w:b w:val="0"/>
          <w:i w:val="0"/>
        </w:rPr>
        <w:t>Tòa án Tối cao Delaware</w:t>
      </w:r>
      <w:r>
        <w:br/>
      </w:r>
      <w:r>
        <w:rPr>
          <w:b w:val="0"/>
          <w:i w:val="0"/>
        </w:rPr>
        <w:t xml:space="preserve"> 488 A.2d 858 (1985)</w:t>
      </w:r>
    </w:p>
    <w:p>
      <w:pPr>
        <w:spacing w:after="80"/>
      </w:pPr>
      <w:r>
        <w:rPr>
          <w:b w:val="0"/>
          <w:i w:val="0"/>
        </w:rPr>
        <w:t>THẨM PHÁN HORSEY:</w:t>
      </w:r>
    </w:p>
    <w:p>
      <w:pPr>
        <w:spacing w:after="80"/>
      </w:pPr>
      <w:r>
        <w:rPr>
          <w:b w:val="0"/>
          <w:i w:val="0"/>
        </w:rPr>
        <w:t>Tòa án Chancery kết luận từ các bằng chứng rằng việc Hội đồng Quản trị phê duyệt đề xuất sáp nhập của Pritzker nằm trong sự bảo vệ của quy tắc phán đoán kinh doanh. Tòa án nhận thấy rằng Hội đồng đã dành đủ thời gian và sự chú ý cho giao dịch, vì các giám đốc đã xem xét đề xuất của Pritzker vào ba dịp khác nhau, vào ngày 20 tháng 9, và ngày 8 tháng 10 năm 1980 và cuối cùng là ngày 26 tháng 1 năm 1981. Trên cơ sở đó, Tòa án lập luận rằng Hội đồng đã thu thập được, trong khoảng thời gian bốn tháng, đủ thông tin để đưa ra một phán đoán kinh doanh được thông tin đầy đủ về đề xuất sáp nhập thu tiền mặt. Tòa án phán quyết:</w:t>
      </w:r>
    </w:p>
    <w:p>
      <w:pPr>
        <w:spacing w:after="80"/>
      </w:pPr>
      <w:r>
        <w:rPr>
          <w:b w:val="0"/>
          <w:i w:val="0"/>
        </w:rPr>
        <w:t>. . . rằng với giá trị thị trường của cổ phiếu Trans Union, sự nhạy bén kinh doanh của các thành viên hội đồng quản trị Trans Union, mức phụ trội đáng kể so với thị trường mà các Pritzker đưa ra và tác động cuối cùng lên giá sáp nhập do triển vọng có các đề nghị mua cổ phiếu khác đối với cổ phiếu đang xét, hội đồng quản trị của Trans Union đã không hành động một cách liều lĩnh hoặc thiếu thận trọng khi quyết định một hướng hành động mà họ tin là vì lợi ích tốt nhất của các cổ đông của Trans Union.</w:t>
      </w:r>
    </w:p>
    <w:p>
      <w:pPr>
        <w:spacing w:after="80"/>
      </w:pPr>
      <w:r>
        <w:rPr>
          <w:b w:val="0"/>
          <w:i w:val="0"/>
        </w:rPr>
        <w:t>Tòa án Chancery chỉ đưa ra một kết luận; tức là, rằng hành vi của Hội đồng trong toàn bộ giai đoạn từ ngày 20 tháng 9 đến ngày 20 tháng 1 năm 1981 không phải là liều lĩnh hay thiếu thận trọng, mà là được thông tin đầy đủ. Kết luận cuối cùng này dựa trên ba kết luận phụ, một kết luận rõ ràng và hai kết luận ngầm. Kết luận rõ ràng của Tòa án là Hội đồng Trans Union "được tự do từ chối đề xuất của Pritzker" không chỉ vào ngày 20 tháng 9 mà còn vào ngày 8 tháng 10 năm 1980 và ngày 26 tháng 1 năm 1981. Các kết luận phụ ngầm của Tòa án là: (1) rằng không có thỏa thuận ràng buộc pháp lý nào được các bên đạt được cho đến ngày 26 tháng 1; và (2) rằng nếu một đề nghị cao hơn xuất hiện, thử nghiệm thị trường sẽ đã tạo ra nó, và Trans Union sẽ được tự do về mặt hợp đồng để chấp nhận đề nghị cao hơn đó. Tuy nhiên, Tòa án không đưa ra cơ sở thực tế hay hỗ trợ pháp lý nào cho bất kỳ kết luận nào trong số này; và hồ sơ buộc phải có những kết luận ngược lại.</w:t>
      </w:r>
    </w:p>
    <w:p>
      <w:pPr>
        <w:spacing w:after="80"/>
      </w:pPr>
      <w:r>
        <w:rPr>
          <w:b w:val="0"/>
          <w:i w:val="0"/>
        </w:rPr>
        <w:t xml:space="preserve">Theo luật Delaware, quy tắc phán đoán kinh doanh là con đẻ của nguyên tắc cơ bản, được hệ thống hóa trong § 141(a), rằng công việc và các vấn đề của một công ty Delaware được quản lý bởi hoặc dưới quyền hội đồng quản trị của nó. Khi thực hiện vai trò quản lý của mình, các giám đốc được giao một nghĩa vụ ủy thác không lay chuyển đối với công ty và các cổ đông của nó. Quy tắc phán đoán kinh doanh tồn tại để bảo vệ và thúc đẩy việc thực hiện đầy đủ và tự do quyền lực quản lý được trao cho các giám đốc Delaware. Bản thân quy tắc này "là một giả định rằng khi đưa ra một quyết định kinh doanh, các giám đốc của một công ty đã hành động trên cơ sở được thông tin đầy đủ, thiện chí và với niềm tin trung thực rằng hành động được thực hiện là vì lợi ích tốt nhất của công ty." </w:t>
      </w:r>
      <w:r>
        <w:rPr>
          <w:b w:val="0"/>
          <w:i/>
        </w:rPr>
        <w:t>Aronson v. Lewis</w:t>
      </w:r>
      <w:r>
        <w:rPr>
          <w:b w:val="0"/>
          <w:i w:val="0"/>
        </w:rPr>
        <w:t>, 473 A.2d 805, 812 (Del. 1984). Do đó, bên tấn công một quyết định của hội đồng quản trị với lý do thiếu thông tin phải bác bỏ giả định rằng phán đoán kinh doanh của nó là một phán đoán được thông tin đầy đủ.</w:t>
      </w:r>
    </w:p>
    <w:p>
      <w:pPr>
        <w:spacing w:after="80"/>
      </w:pPr>
      <w:r>
        <w:rPr>
          <w:b w:val="0"/>
          <w:i w:val="0"/>
        </w:rPr>
        <w:t xml:space="preserve">Việc xác định liệu một phán đoán kinh doanh có phải là một phán đoán được thông tin đầy đủ hay không phụ thuộc vào việc liệu các giám đốc đã tự thông tin cho mình "trước khi đưa ra một quyết định kinh doanh, về tất cả thông tin trọng yếu có sẵn một cách hợp lý cho họ" hay chưa. </w:t>
      </w:r>
      <w:r>
        <w:rPr>
          <w:b w:val="0"/>
          <w:i/>
        </w:rPr>
        <w:t>Id.</w:t>
      </w:r>
    </w:p>
    <w:p>
      <w:pPr>
        <w:spacing w:after="80"/>
      </w:pPr>
      <w:r>
        <w:rPr>
          <w:b w:val="0"/>
          <w:i w:val="0"/>
        </w:rPr>
        <w:t xml:space="preserve">Theo quy tắc phán đoán kinh doanh, không có sự bảo vệ nào cho các giám đốc đã đưa ra "một phán đoán thiếu thông minh hoặc thiếu tư vấn." </w:t>
      </w:r>
      <w:r>
        <w:rPr>
          <w:b w:val="0"/>
          <w:i/>
        </w:rPr>
        <w:t>Mitchell v. Highland-Western Glass</w:t>
      </w:r>
      <w:r>
        <w:rPr>
          <w:b w:val="0"/>
          <w:i w:val="0"/>
        </w:rPr>
        <w:t>, 167 A. 831, 833 (Del. Ch. 1933). Nghĩa vụ của một giám đốc trong việc tự thông tin cho mình để chuẩn bị cho một quyết định xuất phát từ tư cách ủy thác mà người đó phục vụ công ty và các cổ đông của nó. Vì một giám đốc được giao trách nhiệm quản lý các vấn đề của công ty, người đó phải thực hiện nghĩa vụ đó với sự nhận thức rằng mình hành động thay mặt cho người khác. Nghĩa vụ như vậy không dung thứ cho sự bất trung hay tự giao dịch. Nhưng việc hoàn thành chức năng ủy thác đòi hỏi nhiều hơn là chỉ đơn thuần không có sự bất thiện chí hay gian lận. Việc đại diện cho lợi ích tài chính của người khác áp đặt lên một giám đốc một nghĩa vụ khẳng định là phải bảo vệ những lợi ích đó và tiến hành với con mắt phê phán khi đánh giá thông tin thuộc loại và trong các hoàn cảnh hiện có ở đây.</w:t>
      </w:r>
    </w:p>
    <w:p>
      <w:pPr>
        <w:spacing w:after="80"/>
      </w:pPr>
      <w:r>
        <w:rPr>
          <w:b w:val="0"/>
          <w:i w:val="0"/>
        </w:rPr>
        <w:t>Do đó, nghĩa vụ của một giám đốc trong việc thực hiện một phán đoán kinh doanh được thông tin đầy đủ mang bản chất của một nghĩa vụ cẩn trọng, khác biệt với nghĩa vụ trung thành. Ở đây, không có cáo buộc nào về gian lận, bất thiện chí hay tự giao dịch, cũng như không có bằng chứng về điều đó. Do đó, người ta giả định rằng các giám đốc đã đạt được phán đoán kinh doanh của mình một cách thiện chí, và các cân nhắc về động cơ là không liên quan đến vấn đề trước chúng ta.</w:t>
      </w:r>
    </w:p>
    <w:p>
      <w:pPr>
        <w:spacing w:after="80"/>
      </w:pPr>
      <w:r>
        <w:rPr>
          <w:b w:val="0"/>
          <w:i w:val="0"/>
        </w:rPr>
        <w:t>Chúng tôi cho rằng khái niệm sơ suất nghiêm trọng (gross negligence) cũng là tiêu chuẩn thích hợp để xác định liệu một phán đoán kinh doanh (business judgment) mà hội đồng quản trị đưa ra có phải là một phán đoán được đưa ra trên cơ sở đầy đủ thông tin hay không.</w:t>
      </w:r>
    </w:p>
    <w:p>
      <w:pPr>
        <w:spacing w:after="80"/>
      </w:pPr>
      <w:r>
        <w:rPr>
          <w:b w:val="0"/>
          <w:i w:val="0"/>
        </w:rPr>
        <w:t>Trong bối cảnh cụ thể của một đề xuất sáp nhập (merger) giữa các công ty trong nước, một giám đốc có nghĩa vụ theo § 251(b), cùng với các giám đốc đồng nghiệp của mình, phải hành động một cách có đầy đủ thông tin và thận trọng trong việc xác định liệu có nên phê duyệt một thỏa thuận sáp nhập trước khi trình đề xuất đó cho các cổ đông hay không. Chắc chắn trong bối cảnh sáp nhập, một giám đốc không thể thoái thác nghĩa vụ đó bằng cách để riêng các cổ đông quyết định phê duyệt hay không phê duyệt thỏa thuận. Chỉ những thỏa thuận sáp nhập đáp ứng các yêu cầu của § 251(b) mới có thể được trình cho các cổ đông theo § 251(c).</w:t>
      </w:r>
    </w:p>
    <w:p>
      <w:pPr>
        <w:spacing w:after="80"/>
      </w:pPr>
      <w:r>
        <w:rPr>
          <w:b w:val="0"/>
          <w:i w:val="0"/>
        </w:rPr>
        <w:t>Chính dựa trên những tiêu chuẩn đó mà hành vi của các giám đốc của Trans Union phải được kiểm nghiệm, cả về mặt pháp lý lẫn về mặt thực tế, liên quan đến việc họ có thực hiện một phán đoán kinh doanh đầy đủ thông tin khi bỏ phiếu phê duyệt đề xuất sáp nhập của Pritzker hay không.</w:t>
      </w:r>
    </w:p>
    <w:p>
      <w:pPr>
        <w:spacing w:after="80"/>
      </w:pPr>
      <w:r>
        <w:rPr>
          <w:b w:val="0"/>
          <w:i w:val="0"/>
        </w:rPr>
        <w:t xml:space="preserve">Các bị đơn lập luận rằng những gì các giám đốc đã làm và đã biết sau ngày 20 tháng 9 và cho đến ngày 26 tháng 1 năm 1981 đã được Tòa án Sơ thẩm (Trial Court) xem xét một cách thích đáng trong việc xác định liệu phán đoán của Hội đồng quản trị có phải là một phán đoán đầy đủ thông tin hay không. Chúng tôi không đồng ý với cách tiếp cận </w:t>
      </w:r>
      <w:r>
        <w:rPr>
          <w:b w:val="0"/>
          <w:i/>
        </w:rPr>
        <w:t>hậu nghiệm</w:t>
      </w:r>
      <w:r>
        <w:rPr>
          <w:b w:val="0"/>
          <w:i w:val="0"/>
        </w:rPr>
        <w:t xml:space="preserve"> (post hoc) này.</w:t>
      </w:r>
    </w:p>
    <w:p>
      <w:pPr>
        <w:spacing w:after="80"/>
      </w:pPr>
      <w:r>
        <w:rPr>
          <w:b w:val="0"/>
          <w:i w:val="0"/>
        </w:rPr>
        <w:t>Vấn đề liệu các giám đốc có đạt được một quyết định đầy đủ thông tin để "bán" Công ty vào ngày 20 tháng 9 năm 1980 hay không phải được xác định chỉ dựa trên cơ sở những thông tin khi đó có sẵn một cách hợp lý cho các giám đốc và có liên quan đến quyết định chấp nhận đề xuất sáp nhập của Pritzker của họ. Điều này không có nghĩa là các giám đốc bị ngăn cản thay đổi kế hoạch hành động ban đầu của mình, nếu họ đã làm như vậy một cách đầy đủ thông tin. Điều chúng tôi muốn nói là câu hỏi liệu các giám đốc có đạt được một phán đoán kinh doanh đầy đủ thông tin khi đồng ý bán Công ty theo các điều khoản của Thỏa thuận ngày 20 tháng 9 hay không, trên thực tế, đặt ra hai câu hỏi: (A) liệu các giám đốc có đạt được một phán đoán kinh doanh đầy đủ thông tin vào ngày 20 tháng 9 năm 1980 hay không; và (B) nếu họ không đạt được, liệu những hành động của các giám đốc được thực hiện sau ngày 20 tháng 9 có đủ để khắc phục bất kỳ khiếm khuyết nào trong hành động của họ vào ngày 20 tháng 9 hay không. Trước tiên, chúng tôi xem xét các hành động ngày 20 tháng 9 của các giám đốc dưới góc độ họ có đạt được một phán đoán kinh doanh đầy đủ thông tin hay không.</w:t>
      </w:r>
    </w:p>
    <w:p>
      <w:pPr>
        <w:spacing w:after="80"/>
      </w:pPr>
      <w:r>
        <w:rPr>
          <w:b w:val="0"/>
          <w:i w:val="0"/>
        </w:rPr>
        <w:t>Dựa trên hồ sơ trước chúng tôi, chúng tôi phải kết luận rằng Hội đồng quản trị đã không đạt được một phán đoán kinh doanh đầy đủ thông tin vào ngày 20 tháng 9 năm 1980 khi bỏ phiếu "bán" Công ty với giá $55 mỗi cổ phần theo đề xuất sáp nhập thu tiền mặt (cash-out merger) của Pritzker. Tóm tắt các lý do của chúng tôi như sau: Các giám đốc (1) đã không tự trang bị đầy đủ thông tin về vai trò của Van Gorkom trong việc thúc ép "bán" Công ty và trong việc thiết lập giá mua mỗi cổ phần; (2) đã không được thông tin về giá trị nội tại (intrinsic value) của Công ty; và (3) trong những hoàn cảnh này, tối thiểu là đã sơ suất nghiêm trọng khi phê duyệt việc "bán" Công ty chỉ sau hai giờ cân nhắc, không có thông báo trước, và không có tình huống khẩn cấp hay cấp bách nào.</w:t>
      </w:r>
    </w:p>
    <w:p>
      <w:pPr>
        <w:spacing w:after="80"/>
      </w:pPr>
      <w:r>
        <w:rPr>
          <w:b w:val="0"/>
          <w:i w:val="0"/>
        </w:rPr>
        <w:t>Như đã được nêu, Hội đồng quản trị đã dựa quyết định ngày 20 tháng 9 của mình để phê duyệt việc sáp nhập thu tiền mặt chủ yếu vào những trình bày của Van Gorkom. Không giám đốc nào, ngoài Van Gorkom và Chelberg, có bất kỳ hiểu biết trước nào rằng mục đích của cuộc họp là đề xuất một vụ sáp nhập thu tiền mặt của Trans Union. Không có thành viên nào của Ban Điều hành Cấp cao (Senior Management) có mặt, ngoài Chelberg, Romans và Peterson; và hai người sau chỉ mới biết về đề xuất bán này một giờ trước đó.</w:t>
      </w:r>
    </w:p>
    <w:p>
      <w:pPr>
        <w:spacing w:after="80"/>
      </w:pPr>
      <w:r>
        <w:rPr>
          <w:b w:val="0"/>
          <w:i w:val="0"/>
        </w:rPr>
        <w:t>Không có bất kỳ tài liệu nào trước mặt họ liên quan đến giao dịch được đề xuất, các thành viên của Hội đồng quản trị buộc phải hoàn toàn dựa vào bài trình bày miệng kéo dài 20 phút của Van Gorkom về đề xuất đó. Không có bản tóm tắt bằng văn bản nào về các điều khoản của vụ sáp nhập được trình bày; các giám đốc không được cung cấp bất kỳ tài liệu nào để hỗ trợ cho tính thỏa đáng của mức giá $55 mỗi cổ phần cho việc bán Công ty; và Hội đồng quản trị không có gì trước mặt ngoài lời tuyên bố của Van Gorkom về sự hiểu biết của ông về nội dung của một thỏa thuận mà chính ông thừa nhận là chưa từng đọc, và cũng chưa từng có thành viên nào của Hội đồng quản trị nhìn thấy.</w:t>
      </w:r>
    </w:p>
    <w:p>
      <w:pPr>
        <w:spacing w:after="80"/>
      </w:pPr>
      <w:r>
        <w:rPr>
          <w:b w:val="0"/>
          <w:i w:val="0"/>
        </w:rPr>
        <w:t>Theo § 141(e), "các giám đốc được bảo vệ đầy đủ khi dựa vào một cách thiện chí (good faith) vào các báo cáo do các cán bộ (officers) lập ra." Thuật ngữ "báo cáo" (report) đã được giải thích một cách rộng rãi để bao gồm các báo cáo về những cuộc điều tra cá nhân không chính thức do các cán bộ công ty thực hiện. Tuy nhiên, không có bằng chứng nào cho thấy bất kỳ "báo cáo" nào, theo định nghĩa tại § 141(e), liên quan đến đề xuất của Pritzker, đã được trình cho Hội đồng quản trị vào ngày 20 tháng 9. Bài trình bày miệng của Van Gorkom về sự hiểu biết của ông đối với các điều khoản của Thỏa thuận Sáp nhập được đề xuất, mà ông chưa từng nhìn thấy, và lời tuyên bố miệng ngắn gọn của Romans về nghiên cứu sơ bộ của ông liên quan đến tính khả thi của một vụ mua lại bằng đòn bẩy (leveraged buy-out) đối với Trans Union, không đủ tiêu chuẩn là các "báo cáo" theo § 141(e) vì những lý do sau: Báo cáo thứ nhất thiếu nội dung thực chất vì Van Gorkom về cơ bản không được thông tin về những điều khoản thiết yếu của chính văn bản mà ông đang nói tới. Lời tuyên bố của Romans không liên quan đến các vấn đề trước Hội đồng quản trị vì nó không tự nhận là một nghiên cứu định giá (valuation study). Tối thiểu, để một báo cáo được hưởng địa vị mà § 141(e) trao cho, nó phải thích hợp với chủ đề mà hội đồng quản trị được yêu cầu hành động, và ngoài ra phải xứng đáng được dựa vào một cách thiện chí, chứ không phải dựa vào một cách mù quáng. Xem xét tất cả các hoàn cảnh xung quanh — việc triệu tập cuộc họp một cách vội vàng mà không có thông báo trước về chủ đề của nó, việc đề xuất bán Công ty mà không có bất kỳ sự cân nhắc trước nào về vấn đề này hay về sự cần thiết phải làm vậy, những ràng buộc thời gian cấp bách do Pritzker áp đặt, và việc hoàn toàn không có bất kỳ tài liệu nào — các giám đốc có nghĩa vụ phải thực hiện việc hỏi han hợp lý đối với Van Gorkom và Romans, và nếu họ đã làm như vậy, thì sự không thỏa đáng của những gì mà họ nay tuyên bố là đã dựa vào ắt hẳn đã trở nên rõ ràng.</w:t>
      </w:r>
    </w:p>
    <w:p>
      <w:pPr>
        <w:spacing w:after="80"/>
      </w:pPr>
      <w:r>
        <w:rPr>
          <w:b w:val="0"/>
          <w:i w:val="0"/>
        </w:rPr>
        <w:t xml:space="preserve">Các bị đơn dựa vào những yếu tố sau đây để duy trì phát hiện của Tòa án Sơ thẩm rằng quyết định của Hội đồng quản trị là một quyết định đầy đủ thông tin: (1) mức độ lớn của phần phụ trội (premium) hay khoảng chênh lệch giữa giá chào bán $55 của Pritzker và giá thị trường hiện tại $38 mỗi cổ phần của Trans Union; (2) việc sửa đổi Thỏa thuận như đã được trình vào ngày 20 tháng 9 để cho phép Hội đồng quản trị chấp nhận bất kỳ đề nghị tốt hơn nào trong giai đoạn "kiểm tra thị trường" (market test); (3) kinh nghiệm và chuyên môn tập thể của các giám đốc "nội bộ" (inside) và "bên ngoài" (outside) của Hội đồng quản trị; và (4) việc họ dựa vào lời khuyên pháp lý của Brennan rằng các giám đốc có thể bị kiện nếu họ từ chối đề xuất của Pritzker. Chúng tôi lần lượt thảo luận từng căn cứ này </w:t>
      </w:r>
      <w:r>
        <w:rPr>
          <w:b w:val="0"/>
          <w:i/>
        </w:rPr>
        <w:t>theo thứ tự:</w:t>
      </w:r>
    </w:p>
    <w:p>
      <w:pPr>
        <w:spacing w:after="80"/>
      </w:pPr>
      <w:r>
        <w:rPr>
          <w:b w:val="0"/>
          <w:i w:val="0"/>
        </w:rPr>
        <w:t>(1) Một phần phụ trội đáng kể có thể cung cấp một lý do để đề xuất một vụ sáp nhập, nhưng trong trường hợp không có thông tin định giá lành mạnh khác, chỉ riêng việc có phần phụ trội không cung cấp một cơ sở thỏa đáng để đánh giá tính công bằng của một mức giá chào bán. Ở đây, phán đoán đạt được về tính thỏa đáng của phần phụ trội dựa trên sự so sánh giữa giá thị trường Trans Union vốn đã bị suy giảm trong lịch sử và số tiền chào bán của Pritzker. Việc sử dụng giá thị trường làm cơ sở để kết luận rằng phần phụ trội phản ánh một cách thỏa đáng giá trị thực sự của công ty là một tiền đề rõ ràng sai lầm, thậm chí là ngụy biện, như chính bằng chứng của các bị đơn đã chứng minh.</w:t>
      </w:r>
    </w:p>
    <w:p>
      <w:pPr>
        <w:spacing w:after="80"/>
      </w:pPr>
      <w:r>
        <w:rPr>
          <w:b w:val="0"/>
          <w:i w:val="0"/>
        </w:rPr>
        <w:t>Hồ sơ cho thấy rõ rằng trước ngày 20 tháng 9, Van Gorkom và các thành viên khác của Hội đồng quản trị Trans Union đều biết rằng thị trường đã liên tục đánh giá thấp giá trị cổ phiếu của Trans Union, bất chấp thu nhập hoạt động của Công ty tăng đều đặn trong bảy năm trước vụ sáp nhập. Hội đồng quản trị cho rằng hiện tượng này phần lớn là do Trans Union không thể sử dụng các khoản tín dụng thuế đầu tư (ITCs) của mình như đã nêu trước đó. Van Gorkom đã làm chứng rằng ông không tin giá thị trường phản ánh chính xác giá trị thực sự của Trans Union; và một số giám đốc đã làm chứng rằng, theo nguyên tắc chung, hầu hết các giám đốc điều hành cho rằng thị trường đánh giá thấp cổ phiếu của công ty họ. Vậy mà, vào ngày 20 tháng 9, Hội đồng quản trị Trans Union dường như lại tin rằng giá cổ phiếu thị trường phản ánh chính xác giá trị của công ty cho mục đích xác định tính thỏa đáng của phần phụ trội cho việc bán nó.</w:t>
      </w:r>
    </w:p>
    <w:p>
      <w:pPr>
        <w:spacing w:after="80"/>
      </w:pPr>
      <w:r>
        <w:rPr>
          <w:b w:val="0"/>
          <w:i w:val="0"/>
        </w:rPr>
        <w:t>Các bên không tranh cãi rằng giá cổ phiếu được giao dịch công khai chỉ là một thước đo giá trị của một vị thế thiểu số (minority position) và do đó, giá thị trường chỉ đại diện cho giá trị của một cổ phần đơn lẻ. Tuy nhiên, vào ngày 20 tháng 9, Hội đồng quản trị đã đánh giá tính thỏa đáng của phần phụ trội so với thị trường mà Pritzker chào bán chỉ bằng cách so sánh nó với giá cổ phiếu hiện tại và trong lịch sử của Trans Union.</w:t>
      </w:r>
    </w:p>
    <w:p>
      <w:pPr>
        <w:spacing w:after="80"/>
      </w:pPr>
      <w:r>
        <w:rPr>
          <w:b w:val="0"/>
          <w:i w:val="0"/>
        </w:rPr>
        <w:t>Thật vậy, tính đến ngày 20 tháng 9, Hội đồng quản trị không có thông tin nào khác để làm cơ sở xác định giá trị nội tại của Trans Union với tư cách là một doanh nghiệp đang hoạt động (going concern). Tính đến ngày 20 tháng 9, Hội đồng quản trị đã không thực hiện bất kỳ đánh giá nào về Công ty nhằm định giá toàn bộ doanh nghiệp, cũng như Hội đồng quản trị chưa từng bao giờ cân nhắc việc bán Công ty hay đồng ý cho một vụ sáp nhập mua lại. Do đó, tính thỏa đáng của một phần phụ trội là không thể xác định được trừ khi nó được đánh giá dựa trên những thông tin định giá có năng lực và lành mạnh khác phản ánh giá trị của doanh nghiệp cụ thể đó.</w:t>
      </w:r>
    </w:p>
    <w:p>
      <w:pPr>
        <w:spacing w:after="80"/>
      </w:pPr>
      <w:r>
        <w:rPr>
          <w:b w:val="0"/>
          <w:i w:val="0"/>
        </w:rPr>
        <w:t>Bất chấp những sự kiện và hoàn cảnh nêu trên, hội đồng quản trị đã không yêu cầu bất kỳ nghiên cứu định giá nào hay tài liệu nào về mức giá $55 mỗi cổ phần như một thước đo giá trị hợp lý của Công ty trong bối cảnh thu tiền mặt, dù là vào ngày 20 tháng 9 hay sau đó. Không thể tranh cãi rằng tài sản chính của Trans Union là dòng tiền (cash flow) của nó. Vậy mà, vào bất kỳ thời điểm nào, Hội đồng quản trị cũng không yêu cầu một nghiên cứu định giá có tính đến yếu tố vô cùng quan trọng đó trong tài sản của Công ty.</w:t>
      </w:r>
    </w:p>
    <w:p>
      <w:pPr>
        <w:spacing w:after="80"/>
      </w:pPr>
      <w:r>
        <w:rPr>
          <w:b w:val="0"/>
          <w:i w:val="0"/>
        </w:rPr>
        <w:t>Chúng tôi không ngụ ý rằng một nghiên cứu định giá từ bên ngoài là thiết yếu để hỗ trợ một phán đoán kinh doanh đầy đủ thông tin; cũng không tuyên bố rằng các ý kiến về tính công bằng (fairness opinions) của các ngân hàng đầu tư độc lập là bắt buộc như một vấn đề pháp lý. Thường thì những người nội bộ quen thuộc với hoạt động kinh doanh của một doanh nghiệp đang hoạt động lại ở vị trí tốt hơn những người bên ngoài trong việc thu thập thông tin liên quan; và trong những hoàn cảnh thích hợp, những giám đốc như vậy có thể được bảo vệ đầy đủ khi dựa vào một cách thiện chí vào các báo cáo định giá của ban điều hành của họ.</w:t>
      </w:r>
    </w:p>
    <w:p>
      <w:pPr>
        <w:spacing w:after="80"/>
      </w:pPr>
      <w:r>
        <w:rPr>
          <w:b w:val="0"/>
          <w:i w:val="0"/>
        </w:rPr>
        <w:t>Theo hồ sơ trước chúng tôi: Hội đồng quản trị chỉ dựa vào câu trả lời mà Romans đưa ra rằng con số $55 nằm trong “khoảng giá hợp lý” trong bối cảnh một thương vụ mua lại bằng đòn bẩy (leveraged buy-out). Không giám đốc nào tìm kiếm thêm thông tin từ Romans. Không giám đốc nào hỏi ông ấy tại sao lại đặt $55 ở mức thấp nhất trong khoảng giá của mình. Không giám đốc nào hỏi Romans bất kỳ chi tiết nào về nghiên cứu của ông, lý do nó được thực hiện hay độ sâu của nó. Không giám đốc nào yêu cầu xem nghiên cứu đó; và không giám đốc nào hỏi Romans liệu bộ phận tài chính của Trans Union có thể thực hiện một nghiên cứu về tính hợp lý (fairness study) trong khoảng thời gian 36 giờ còn lại theo đề nghị của Pritzker hay không.</w:t>
      </w:r>
    </w:p>
    <w:p>
      <w:pPr>
        <w:spacing w:after="80"/>
      </w:pPr>
      <w:r>
        <w:rPr>
          <w:b w:val="0"/>
          <w:i w:val="0"/>
        </w:rPr>
        <w:t>Nếu Hội đồng quản trị, hoặc bất kỳ thành viên nào, đã hỏi Romans, ông ấy hẳn sẽ trả lời như lời khai của mình: rằng các tính toán của ông là sơ bộ và thô; và rằng nghiên cứu đó không được thiết kế để xác định giá trị hợp lý của Công ty, mà là để đánh giá tính khả thi của một thương vụ mua lại bằng đòn bẩy được tài trợ bằng dòng tiền dự phóng của Công ty, với một số giả định nhất định về nhu cầu vay vốn của bên mua. Romans hẳn cũng sẽ thông báo cho Hội đồng quản trị về quan điểm của ông, và quan điểm phổ biến của Ban Điều hành cấp cao, rằng thời điểm của đề nghị là sai và đề nghị là không thỏa đáng.</w:t>
      </w:r>
    </w:p>
    <w:p>
      <w:pPr>
        <w:spacing w:after="80"/>
      </w:pPr>
      <w:r>
        <w:rPr>
          <w:b w:val="0"/>
          <w:i w:val="0"/>
        </w:rPr>
        <w:t>Hồ sơ cũng cho thấy Hội đồng quản trị đã chấp nhận mà không xem xét kỹ lưỡng lời trình bày của Van Gorkom về tính hợp lý của mức giá $55 mỗi cổ phần cho việc bán Công ty—một vấn đề mà Hội đồng quản trị chưa từng xem xét trước đây. Do đó, Hội đồng quản trị đã không phát hiện ra rằng Van Gorkom đã đề xuất mức giá $55 với Pritzker và, quan trọng nhất, rằng Van Gorkom đã đi đến con số $55 dựa trên các tính toán được thiết kế chỉ nhằm xác định tính khả thi của một thương vụ mua lại bằng đòn bẩy. Không có câu hỏi nào được đặt ra về tác động thuế của một thương vụ sáp nhập thanh toán bằng tiền mặt (cash-out merger) hay về cách tính giá cho quyền chọn một triệu cổ phần được cấp cho Pritzker.</w:t>
      </w:r>
    </w:p>
    <w:p>
      <w:pPr>
        <w:spacing w:after="80"/>
      </w:pPr>
      <w:r>
        <w:rPr>
          <w:b w:val="0"/>
          <w:i w:val="0"/>
        </w:rPr>
        <w:t>Chúng tôi không nói rằng Hội đồng quản trị không có quyền dành chút tin tưởng cho lời trình bày của Van Gorkom rằng $55 là một mức giá thỏa đáng hoặc hợp lý. Theo § 141(e), các giám đốc có quyền dựa vào ý kiến của chủ tịch hội đồng về giá trị và tính thỏa đáng, miễn là ý kiến đó được đưa ra trên một cơ sở vững chắc. Ở đây, vấn đề là liệu các giám đốc có tự trang bị cho mình mọi thông tin sẵn có một cách hợp lý cho họ hay không. Nếu họ đã làm vậy, họ sẽ biết được nguồn gốc và cách suy ra mức giá $55 và không thể dựa vào đó một cách hợp lý với thiện chí.</w:t>
      </w:r>
    </w:p>
    <w:p>
      <w:pPr>
        <w:spacing w:after="80"/>
      </w:pPr>
      <w:r>
        <w:rPr>
          <w:b w:val="0"/>
          <w:i w:val="0"/>
        </w:rPr>
        <w:t>Không giám đốc nào, dù trong Ban Điều hành hay bên ngoài, là chuyên gia ngân hàng đầu tư hay nhà phân tích tài chính. Tuy vậy, Hội đồng quản trị đã không xem xét việc tạm hoãn cuộc họp đến một giờ muộn hơn trong ngày hôm đó (hoặc yêu cầu gia hạn thời hạn tối Chủ nhật của Pritzker) để có thời gian thu thập thêm thông tin về tính thỏa đáng của đề nghị, từ Ban Điều hành nội bộ (đặc biệt là Romans) hoặc từ ngân hàng đầu tư của chính Trans Union, Salomon Brothers, mà chuyên gia về sáp nhập và mua lại ở Chicago của họ đã được Hội đồng quản trị biết đến và quen thuộc với các vấn đề của Trans Union.</w:t>
      </w:r>
    </w:p>
    <w:p>
      <w:pPr>
        <w:spacing w:after="80"/>
      </w:pPr>
      <w:r>
        <w:rPr>
          <w:b w:val="0"/>
          <w:i w:val="0"/>
        </w:rPr>
        <w:t>Do đó, hồ sơ buộc phải đi đến kết luận rằng vào ngày 20 tháng 9, Hội đồng quản trị thiếu thông tin định giá đầy đủ để đưa ra một phán đoán kinh doanh được thông tin đầy đủ về tính hợp lý của mức $55 mỗi cổ phần cho việc bán Công ty.</w:t>
      </w:r>
    </w:p>
    <w:p>
      <w:pPr>
        <w:spacing w:after="80"/>
      </w:pPr>
      <w:r>
        <w:rPr>
          <w:b w:val="0"/>
          <w:i w:val="0"/>
        </w:rPr>
        <w:t>(2) Điều này đưa chúng ta đến “phép thử thị trường” (market test) sau ngày 20 tháng 9 mà các bị đơn cuối cùng dựa vào để xác nhận tính hợp lý của quyết định sau ngày 20 tháng 9 của họ nhằm chấp nhận đề nghị của Pritzker. Về điểm này, các giám đốc đưa ra một lập luận gồm hai phần: (a) rằng bằng cách đặt “phép thử thị trường” đối với đề nghị $55 mỗi cổ phần của Pritzker làm điều kiện cho quyết định ngày 20 tháng 9 của họ nhằm chấp nhận đề nghị của ông, họ không thể bị coi là đã hành động bốc đồng hoặc thiếu thông tin vào ngày 20 tháng 9; và (b) rằng tính thỏa đáng của mức chênh lệch $17 cho việc bán Công ty đã được chứng minh một cách dứt khoát trong vòng 90 đến 120 ngày bằng bằng chứng đáng tin cậy nhất hiện có—thị trường. Do đó, các bị đơn ngầm cho rằng “phép thử thị trường” đã loại bỏ nhu cầu Hội đồng quản trị phải thực hiện bất kỳ hình thức kiểm tra tính hợp lý nào khác, dù vào ngày 20 tháng 9 hay sau đó.</w:t>
      </w:r>
    </w:p>
    <w:p>
      <w:pPr>
        <w:spacing w:after="80"/>
      </w:pPr>
      <w:r>
        <w:rPr>
          <w:b w:val="0"/>
          <w:i w:val="0"/>
        </w:rPr>
        <w:t>Một lần nữa, các sự kiện trong hồ sơ không ủng hộ lập luận của các bị đơn. Không có bằng chứng: (a) rằng Thỏa thuận Sáp nhập đã được sửa đổi một cách hiệu quả để trao cho Hội đồng quản trị quyền tự do đưa Trans Union ra bán đấu giá cho người trả giá cao nhất; hoặc (b) rằng một cuộc đấu giá công khai thực sự đã được phép diễn ra.</w:t>
      </w:r>
    </w:p>
    <w:p>
      <w:pPr>
        <w:spacing w:after="80"/>
      </w:pPr>
      <w:r>
        <w:rPr>
          <w:b w:val="0"/>
          <w:i w:val="0"/>
        </w:rPr>
        <w:t>Van Gorkom nói rằng Thỏa thuận như được trình nộp đã bao gồm các yếu tố cho một phép thử thị trường bằng cách cho phép Trans Union tiếp nhận các đề nghị cạnh tranh trong khoảng thời gian 90 ngày tiếp theo. Tuy nhiên, ông thừa nhận rằng Thỏa thuận ngăn Trans Union chủ động mời gọi các đề nghị như vậy và cung cấp cho các bên quan tâm bất kỳ thông tin nào về Công ty ngoài những gì đã có trong phạm vi công cộng. . . . Van Gorkom, thừa nhận rằng ông chưa bao giờ đọc Thỏa thuận, nói rằng ông đang dựa vào sự hiểu biết của mình rằng, theo luật công ty, các giám đốc luôn có quyền cố hữu, cũng như nghĩa vụ ủy thác (fiduciary duty), để chấp nhận một đề nghị tốt hơn bất chấp một cam kết hợp đồng hiện có của Hội đồng quản trị.</w:t>
      </w:r>
    </w:p>
    <w:p>
      <w:pPr>
        <w:spacing w:after="80"/>
      </w:pPr>
      <w:r>
        <w:rPr>
          <w:b w:val="0"/>
          <w:i w:val="0"/>
        </w:rPr>
        <w:t>Các giám đốc bị đơn khẳng định rằng họ đã “khăng khăng” đòi đưa hai sửa đổi vào Thỏa thuận, qua đó cho phép một phép thử thị trường: (1) trao cho Trans Union quyền chấp nhận một đề nghị tốt hơn; và (2) bảo lưu cho Trans Union quyền phân phối thông tin độc quyền về Công ty cho các bên đấu giá thay thế. Tuy vậy, các bị đơn thừa nhận rằng họ đã không tìm cách sửa đổi Thỏa thuận để cho phép Trans Union mời gọi các đề nghị cạnh tranh.</w:t>
      </w:r>
    </w:p>
    <w:p>
      <w:pPr>
        <w:spacing w:after="80"/>
      </w:pPr>
      <w:r>
        <w:rPr>
          <w:b w:val="0"/>
          <w:i w:val="0"/>
        </w:rPr>
        <w:t>Do đó, bất chấp những gì mà một số giám đốc bên ngoài sau này tuyên bố là họ đã “nghĩ” rằng đã xảy ra tại cuộc họp, hồ sơ buộc phải đi đến kết luận rằng Hội đồng quản trị của Trans Union không có cơ sở hợp lý nào để kết luận vào ngày 20 tháng 9 hoặc trong những ngày ngay sau đó rằng việc Hội đồng quản trị chấp nhận đề nghị của Pritzker là có điều kiện dựa trên (1) một “phép thử thị trường” đối với đề nghị; và (2) quyền của Hội đồng quản trị được rút khỏi Thỏa thuận Pritzker và chấp nhận bất kỳ đề nghị cao hơn nào nhận được trước cuộc họp cổ đông.</w:t>
      </w:r>
    </w:p>
    <w:p>
      <w:pPr>
        <w:spacing w:after="80"/>
      </w:pPr>
      <w:r>
        <w:rPr>
          <w:b w:val="0"/>
          <w:i w:val="0"/>
        </w:rPr>
        <w:t xml:space="preserve">(3) Việc các giám đốc dựa vào cả mức chênh lệch lẫn phép thử thị trường một cách vô căn cứ làm cơ sở để chấp nhận đề nghị của Pritzker đã làm suy yếu lập luận còn lại của các bị đơn rằng kinh nghiệm và sự am hiểu tập thể của Hội đồng quản trị là cơ sở đầy đủ để kết luận rằng họ đã đi đến quyết định ngày 20 tháng 9 của mình với sự cân nhắc hợp lý, được thông tin đầy đủ. </w:t>
      </w:r>
      <w:r>
        <w:rPr>
          <w:b w:val="0"/>
          <w:i/>
        </w:rPr>
        <w:t>So sánh Gimbel v. Signal Companies, Inc.</w:t>
      </w:r>
      <w:r>
        <w:rPr>
          <w:b w:val="0"/>
          <w:i w:val="0"/>
        </w:rPr>
        <w:t xml:space="preserve"> , 316 A.2d 599 (Del. Ch. 1974), </w:t>
      </w:r>
      <w:r>
        <w:rPr>
          <w:b w:val="0"/>
          <w:i/>
        </w:rPr>
        <w:t>được giữ nguyên per curiam</w:t>
      </w:r>
      <w:r>
        <w:rPr>
          <w:b w:val="0"/>
          <w:i w:val="0"/>
        </w:rPr>
        <w:t xml:space="preserve"> , 316 A.2d 619 (Del. 1974). Ở đó, Tòa án Chancery đã ra lệnh cấm sơ bộ đối với việc hội đồng quản trị bán cổ phần của công ty con do mình sở hữu toàn bộ với một mức giá bị cho là thấp một cách nghiêm trọng. Tòa đã làm vậy dựa trên phát hiện rằng quy tắc phán đoán kinh doanh (business judgment rule) đã bị xuyên thủng do ban điều hành không trao cho hội đồng quản trị “cơ hội để đưa ra một quyết định hợp lý và có lý lẽ.” 316 A.2d tại 615. Tòa ở đó đã đi đến kết quả này bất chấp sự am hiểu và kinh nghiệm của hội đồng quản trị; nhu cầu tiền mặt tức thời của công ty; và nhu cầu hành động nhanh chóng của hội đồng quản trị do tác động của một cuộc khủng hoảng năng lượng lên giá trị của các tài sản cơ sở đang được bán—toàn bộ các quyền lợi dầu khí của công ty con.</w:t>
      </w:r>
    </w:p>
    <w:p>
      <w:pPr>
        <w:spacing w:after="80"/>
      </w:pPr>
      <w:r>
        <w:rPr>
          <w:b w:val="0"/>
          <w:i w:val="0"/>
        </w:rPr>
        <w:t>(4) Một phần của biện pháp bào chữa dựa trên tuyên bố rằng các giám đốc đã dựa vào lời tư vấn pháp lý do James Brennan, Esquire, đưa ra tại cuộc họp ngày 20 tháng 9, người có mặt theo yêu cầu của Van Gorkom. Đáng tiếc thay, Brennan đã không xuất hiện và làm chứng tại phiên tòa mặc dù công ty luật của ông tham gia vào việc bào chữa cho vụ kiện này.</w:t>
      </w:r>
    </w:p>
    <w:p>
      <w:pPr>
        <w:spacing w:after="80"/>
      </w:pPr>
      <w:r>
        <w:rPr>
          <w:b w:val="0"/>
          <w:i w:val="0"/>
        </w:rPr>
        <w:t>Một số bị đơn đã làm chứng rằng Brennan đã khuyên họ rằng luật Delaware không yêu cầu một ý kiến về tính hợp lý (fairness opinion) hay một định giá bên ngoài đối với công ty trước khi Hội đồng quản trị có thể hành động theo đề nghị của Pritzker. Nếu được đưa ra, lời khuyên đó là đúng. Tuy nhiên, điều đó không kết thúc vấn đề. Trừ khi các giám đốc có trước mình thông tin đầy đủ về giá trị nội tại của Công ty, để trên cơ sở đó có thể thực hiện một phán đoán kinh doanh đúng đắn, thì lời khuyên chỉ thuộc loại này là vô nghĩa; và, với hồ sơ về những thất bại của các bị đơn này, nó không tạo thành biện pháp bào chữa nào ở đây.</w:t>
      </w:r>
    </w:p>
    <w:p>
      <w:pPr>
        <w:spacing w:after="80"/>
      </w:pPr>
      <w:r>
        <w:rPr>
          <w:b w:val="0"/>
          <w:i w:val="0"/>
        </w:rPr>
        <w:t>Một tuyên bố thứ hai là cố vấn đã khuyên Hội đồng quản trị rằng họ sẽ bị kiện nếu từ chối đề nghị $55 mỗi cổ phần. Tất nhiên, đó là một thực tế của đời sống công ty rằng ngày nay khi đối mặt với những vấn đề khó khăn hoặc nhạy cảm, các giám đốc thường bị kiện, bất kể họ đưa ra quyết định gì. Tuy nhiên, việc cố vấn chỉ thừa nhận tình huống này không thể được chuyển một cách hợp lý thành lý lẽ biện minh cho việc một hội đồng quản trị để mình bị cuốn phăng vào một hành động rõ ràng là thiếu thận trọng. Trong khi việc kiện tụng có thể phát sinh từ việc từ chối một thương vụ sáp nhập hay đề nghị chào mua, luật Delaware làm rõ rằng một hội đồng quản trị hành động trong phạm vi quy tắc phán đoán kinh doanh không phải đối mặt với trách nhiệm pháp lý cuối cùng nào. Do đó, chúng tôi không thể kết luận rằng chỉ riêng mối đe dọa kiện tụng, được cố vấn thừa nhận, tạo thành tư vấn pháp lý hay bất kỳ cơ sở hợp lệ nào để theo đuổi một con đường thiếu thông tin.</w:t>
      </w:r>
    </w:p>
    <w:p>
      <w:pPr>
        <w:spacing w:after="80"/>
      </w:pPr>
      <w:r>
        <w:rPr>
          <w:b w:val="0"/>
          <w:i w:val="0"/>
        </w:rPr>
        <w:t>Giờ chúng ta xem xét hành vi của Hội đồng quản trị sau ngày 20 tháng 9 nhằm xác định thứ nhất, liệu nó có được thông tin đầy đủ và không cẩu thả nghiêm trọng; và thứ hai, nếu được thông tin đầy đủ, liệu nó có đủ để sửa chữa và khắc phục một cách hợp pháp những sai sót của Hội đồng quản trị vào ngày 20 tháng 9 hay không.</w:t>
      </w:r>
    </w:p>
    <w:p>
      <w:pPr>
        <w:spacing w:after="80"/>
      </w:pPr>
      <w:r>
        <w:rPr>
          <w:b w:val="0"/>
          <w:i w:val="0"/>
        </w:rPr>
        <w:t>Việc công bố công khai về thương vụ sáp nhập Pritzker đã dẫn đến một cuộc nổi dậy "hàng loạt" của Ban Điều hành Cấp cao của Trans Union. Người đứng đầu bộ phận vận hành toa xe chở dầu của Trans Union (bộ phận sinh lời nhất của công ty) đã thông báo với Van Gorkom rằng nếu thương vụ sáp nhập không bị hủy bỏ, mười lăm nhân sự chủ chốt sẽ từ chức.</w:t>
      </w:r>
    </w:p>
    <w:p>
      <w:pPr>
        <w:spacing w:after="80"/>
      </w:pPr>
      <w:r>
        <w:rPr>
          <w:b w:val="0"/>
          <w:i w:val="0"/>
        </w:rPr>
        <w:t>Van Gorkom sau đó đã thông báo với Ban Điều hành Cấp cao rằng Thỏa thuận sẽ được sửa đổi để trao cho Trans Union quyền tìm kiếm các đề nghị cạnh tranh đến hết tháng 1 năm 1981, nếu họ đồng ý ở lại với Trans Union. Ban Điều hành Cấp cao tạm thời được xoa dịu, và Van Gorkom sau đó đã triệu tập một cuộc họp đặc biệt của Hội đồng Quản trị Trans Union vào ngày 8 tháng 10.</w:t>
      </w:r>
    </w:p>
    <w:p>
      <w:pPr>
        <w:spacing w:after="80"/>
      </w:pPr>
      <w:r>
        <w:rPr>
          <w:b w:val="0"/>
          <w:i w:val="0"/>
        </w:rPr>
        <w:t>Trong một phiên họp ngắn, các giám đốc đã phê duyệt phần trình bày bằng lời của Van Gorkom về nội dung của các sửa đổi được đề xuất, mà các điều khoản của chúng mãi đến ngày 10 tháng 10 mới được ghi thành văn bản. Nhưng thay vì chờ xem xét các sửa đổi, Hội đồng lại một lần nữa phê duyệt chúng mà không hề nhìn thấy và giải tán, trao cho Van Gorkom quyền ký kết các giấy tờ khi ông nhận được chúng.</w:t>
      </w:r>
    </w:p>
    <w:p>
      <w:pPr>
        <w:spacing w:after="80"/>
      </w:pPr>
      <w:r>
        <w:rPr>
          <w:b w:val="0"/>
          <w:i w:val="0"/>
        </w:rPr>
        <w:t>Hồ sơ không chứng minh một cách khẳng định rằng các giám đốc của Trans Union đã từng đọc các sửa đổi ngày 10 tháng 10.</w:t>
      </w:r>
    </w:p>
    <w:p>
      <w:pPr>
        <w:spacing w:after="80"/>
      </w:pPr>
      <w:r>
        <w:rPr>
          <w:b w:val="0"/>
          <w:i w:val="0"/>
        </w:rPr>
        <w:t>Chúng tôi kết luận rằng Hội đồng đã hành động một cách vô cùng cẩu thả vào ngày 8 tháng 10, và rằng những lời trình bày của Van Gorkom mà Hội đồng dựa vào để đưa ra hành động của mình không cấu thành "báo cáo" theo § 141(e) mà các giám đốc có thể đã dựa vào một cách hợp lý.</w:t>
      </w:r>
    </w:p>
    <w:p>
      <w:pPr>
        <w:spacing w:after="80"/>
      </w:pPr>
      <w:r>
        <w:rPr>
          <w:b w:val="0"/>
          <w:i w:val="0"/>
        </w:rPr>
        <w:t>Tiếp theo, về các tác động "khắc phục" từ hành vi của Hội đồng sau ngày 20 tháng 9, chúng tôi xem xét chi tiết hơn phản ứng của Van Gorkom đối với đề nghị của KKR và kết quả của "kiểm tra thị trường" do Hội đồng bảo trợ. Đề nghị của KKR là đề nghị đầu tiên và duy nhất nhận được sau Thỏa thuận Sáp nhập Pritzker. Vào ngày 2 tháng 12, Kravis [của KKR] và Romans đã trao tận tay cho Van Gorkom một lá thư đề nghị chính thức để mua toàn bộ tài sản của Trans Union và nhận toàn bộ các khoản nợ của công ty với tổng khoản tiền mặt tương đương 60 đô la mỗi cổ phiếu. Đề nghị này có điều kiện tiên quyết là hoàn tất việc huy động vốn cổ phần và vốn ngân hàng trị giá 650 triệu đô la, mà Kravis cho biết đã hoàn thành được 80%.</w:t>
      </w:r>
    </w:p>
    <w:p>
      <w:pPr>
        <w:spacing w:after="80"/>
      </w:pPr>
      <w:r>
        <w:rPr>
          <w:b w:val="0"/>
          <w:i w:val="0"/>
        </w:rPr>
        <w:t>Phản ứng của Van Gorkom đối với đề nghị của KKR hoàn toàn tiêu cực; ông không xem đề nghị này là chắc chắn vì điều kiện tài chính của nó. Người ta đã chỉ ra, nhưng vô ích, rằng đề nghị của Pritzker không chỉ có điều kiện tương tự mà còn được chấp nhận một cách gấp rút. Van Gorkom đã từ chối yêu cầu của Kravis rằng Trans Union phát hành một thông cáo báo chí công bố đề nghị của KKR, với lý do rằng nó có thể "làm nguội" bất kỳ đề nghị nào khác.</w:t>
      </w:r>
    </w:p>
    <w:p>
      <w:pPr>
        <w:spacing w:after="80"/>
      </w:pPr>
      <w:r>
        <w:rPr>
          <w:b w:val="0"/>
          <w:i w:val="0"/>
        </w:rPr>
        <w:t>Trong vòng vài giờ và ngay trước cuộc họp Hội đồng đã được lên lịch, Kravis đã rút lại lá thư đề nghị của mình. Ông đưa ra lý do là một quyết định đột ngột của Giám đốc Điều hành bộ phận cho thuê toa xe đường sắt của Trans Union về việc rút khỏi nhóm mua của KKR. Van Gorkom đã nói chuyện với vị giám đốc đó về việc tham gia vào đề nghị của KKR ngay sau cuộc gặp của ông với Romans và Kravis. Tuy nhiên, Van Gorkom phủ nhận mọi trách nhiệm về việc vị giám đốc đó thay đổi ý định. Tại cuộc họp Hội đồng vào chiều hôm đó, Van Gorkom đã không thông báo cho các giám đốc về đề nghị của KKR vì ông cho rằng nó đã "chết".</w:t>
      </w:r>
    </w:p>
    <w:p>
      <w:pPr>
        <w:spacing w:after="80"/>
      </w:pPr>
      <w:r>
        <w:rPr>
          <w:b w:val="0"/>
          <w:i w:val="0"/>
        </w:rPr>
        <w:t>Việc xem xét hồ sơ của chúng tôi buộc phải đưa ra kết luận rằng việc xác nhận tính thích hợp của đề nghị Pritzker bằng một cuộc kiểm tra thị trường tự do, không bị ràng buộc, hầu như vô nghĩa trước các điều khoản và giới hạn thời gian của Thỏa thuận Sáp nhập của Trans Union với Pritzker đã được sửa đổi ngày 10 tháng 10 năm 1980.</w:t>
      </w:r>
    </w:p>
    <w:p>
      <w:pPr>
        <w:spacing w:after="80"/>
      </w:pPr>
      <w:r>
        <w:rPr>
          <w:b w:val="0"/>
          <w:i w:val="0"/>
        </w:rPr>
        <w:t>Cuối cùng, chúng tôi chuyển sang cuộc họp của Hội đồng ngày 26 tháng 1 năm 1981. Các giám đốc bị đơn dựa vào hành động được thực hiện tại đó để bác bỏ lập luận rằng họ đã không đạt được một phán quyết kinh doanh được thông tin đầy đủ khi phê duyệt thương vụ sáp nhập Pritzker.</w:t>
      </w:r>
    </w:p>
    <w:p>
      <w:pPr>
        <w:spacing w:after="80"/>
      </w:pPr>
      <w:r>
        <w:rPr>
          <w:b w:val="0"/>
          <w:i w:val="0"/>
        </w:rPr>
        <w:t xml:space="preserve">Hội đồng không thể vừa tiếp tục cam kết với thương vụ sáp nhập Pritzker vừa khuyến nghị các cổ đông bỏ phiếu chống lại nó; cũng không thể giữ thái độ trung lập và giao phó cho các cổ đông quyết định thiếu thông tin về việc chấp nhận hay từ chối thương vụ sáp nhập. Theo § 251(b), Hội đồng chỉ có hai lựa chọn: (1) tiến hành thương vụ sáp nhập và cuộc họp cổ đông, với khuyến nghị phê duyệt của Hội đồng; </w:t>
      </w:r>
      <w:r>
        <w:rPr>
          <w:b w:val="0"/>
          <w:i/>
        </w:rPr>
        <w:t>hoặc</w:t>
      </w:r>
      <w:r>
        <w:rPr>
          <w:b w:val="0"/>
          <w:i w:val="0"/>
        </w:rPr>
        <w:t xml:space="preserve"> (2) hủy bỏ thỏa thuận với Pritzker, rút lại sự phê duyệt thương vụ sáp nhập, và thông báo cho các cổ đông rằng cuộc họp cổ đông được đề xuất đã bị hủy. Không có bằng chứng nào cho thấy Hội đồng đã xem xét đến những phương án hành động thay thế hợp pháp duy nhất này.</w:t>
      </w:r>
    </w:p>
    <w:p>
      <w:pPr>
        <w:spacing w:after="80"/>
      </w:pPr>
      <w:r>
        <w:rPr>
          <w:b w:val="0"/>
          <w:i w:val="0"/>
        </w:rPr>
        <w:t>Nhưng phương án thứ hai rõ ràng sẽ liên quan đến một rủi ro đáng kể—rằng Hội đồng sẽ phải đối mặt với vụ kiện của Pritzker về vi phạm hợp đồng dựa trên thỏa thuận ngày 20 tháng 9 đã được sửa đổi ngày 10 tháng 10. Như đã lưu ý trước đó, theo các điều khoản của sửa đổi ngày 10 tháng 10, lý do duy nhất để Hội đồng thoát khỏi thỏa thuận với Pritzker là việc ký kết một thỏa thuận chung cuộc thuận lợi hơn để bán Công ty cho một bên thứ ba. . . . Rõ ràng Hội đồng không được "tự do" rút khỏi thỏa thuận với Pritzker vào ngày 26 tháng 1 chỉ bằng cách dựa vào việc chính mình tự gây ra thất bại trong việc đạt được một phán quyết kinh doanh được thông tin đầy đủ vào thời điểm ký kết thỏa thuận ban đầu.</w:t>
      </w:r>
    </w:p>
    <w:p>
      <w:pPr>
        <w:spacing w:after="80"/>
      </w:pPr>
      <w:r>
        <w:rPr>
          <w:b w:val="0"/>
          <w:i w:val="0"/>
        </w:rPr>
        <w:t>Dựa trên những điều nêu trên, chúng tôi cho rằng hành vi sau ngày 20 tháng 9 của các bị đơn đã không khắc phục được những thiếu sót trong hành vi ngày 20 tháng 9 của họ; và do đó, Tòa án Sơ thẩm đã sai lầm khi dành cho các bị đơn những lợi ích của quy tắc phán quyết kinh doanh.</w:t>
      </w:r>
    </w:p>
    <w:p>
      <w:pPr>
        <w:spacing w:after="80"/>
      </w:pPr>
      <w:r>
        <w:rPr>
          <w:b w:val="0"/>
          <w:i w:val="0"/>
        </w:rPr>
        <w:t xml:space="preserve">Phản hồi của các bên, bao gồm cả việc tranh luận lại, đã dẫn đa số Thẩm phán của Tòa án đi đến kết luận: (1) rằng vì tất cả các giám đốc bị đơn, cả bên ngoài lẫn bên trong, đều giữ một lập trường thống nhất, chúng tôi buộc phải coi tất cả các giám đốc là một khi xét xem liệu họ có được hưởng sự bảo vệ của quy tắc phán quyết kinh doanh hay không; và (2) rằng những cân nhắc về thiện chí, bao gồm giả định rằng các giám đốc đã hành động với thiện chí, là không liên quan trong việc xác định vấn đề ngưỡng là liệu các giám đốc với tư cách là một Hội đồng có thực hiện một phán quyết kinh doanh được thông tin đầy đủ hay không. Vì cùng lý do đó, chúng tôi phải bác bỏ lập luận </w:t>
      </w:r>
      <w:r>
        <w:rPr>
          <w:b w:val="0"/>
          <w:i/>
        </w:rPr>
        <w:t>ad hominem</w:t>
      </w:r>
      <w:r>
        <w:rPr>
          <w:b w:val="0"/>
          <w:i w:val="0"/>
        </w:rPr>
        <w:t xml:space="preserve"> của luật sư bào chữa để giữ nguyên phán quyết: rằng việc đảo ngược có thể dẫn đến một phán quyết tập thể trị giá hàng triệu đô la chống lại các bị đơn vì đã đưa ra một phán quyết kinh doanh được cho là thiếu thông tin trong một giao dịch không liên quan đến bất kỳ lợi ích cá nhân, tự giao dịch hay cáo buộc thiếu thiện chí nào.</w:t>
      </w:r>
    </w:p>
    <w:p>
      <w:pPr>
        <w:spacing w:after="80"/>
      </w:pPr>
      <w:r>
        <w:rPr>
          <w:b w:val="0"/>
          <w:i w:val="0"/>
        </w:rPr>
        <w:t>Các nguyên đơn đã không khiếu nại, và Tòa án Sơ thẩm cũng không phán quyết, rằng 55 đô la là một mức giá mỗi cổ phiếu thấp một cách thô bạo cho việc bán Công ty. Vì vậy, giả định rằng phán quyết của hội đồng về tính thích hợp của giá cả thể hiện một sự thực thi trung thực của phán quyết kinh doanh (khi không có bằng chứng rằng giá bán thấp một cách thô bạo) là không liên quan đến câu hỏi ngưỡng là liệu một phán quyết được thông tin đầy đủ đã được đưa ra hay chưa.</w:t>
      </w:r>
    </w:p>
    <w:p>
      <w:pPr>
        <w:spacing w:after="80"/>
      </w:pPr>
      <w:r>
        <w:rPr>
          <w:b w:val="0"/>
          <w:i w:val="0"/>
        </w:rPr>
        <w:t>Cuối cùng, các bị đơn dựa vào cuộc bỏ phiếu của cổ đông ngày 10 tháng 2 để được miễn trừ trách nhiệm. Các bị đơn lập luận rằng cuộc bỏ phiếu "áp đảo" của các cổ đông phê duyệt Thỏa thuận Sáp nhập Pritzker có hiệu lực pháp lý khắc phục mọi thất bại của Hội đồng trong việc đạt được một phán quyết kinh doanh được thông tin đầy đủ khi phê duyệt thương vụ sáp nhập.</w:t>
      </w:r>
    </w:p>
    <w:p>
      <w:pPr>
        <w:spacing w:after="80"/>
      </w:pPr>
      <w:r>
        <w:rPr>
          <w:b w:val="0"/>
          <w:i w:val="0"/>
        </w:rPr>
        <w:t>Các bên mặc nhiên đồng ý rằng việc Hội đồng quản trị không đưa ra được một phán đoán kinh doanh đầy đủ thông tin khi phê duyệt thương vụ sáp nhập cấu thành một hành vi có thể bị hủy bỏ, chứ không phải vô hiệu. Do đó, thương vụ sáp nhập vẫn có thể được duy trì, bất chấp sự khiếm khuyết trong hành động của Hội đồng quản trị, nếu việc phê duyệt bằng đa số phiếu của cổ đông được xác định là dựa trên một cử tri đoàn được thông tin đầy đủ. Bất đồng giữa các bên nảy sinh xoay quanh: (1) nghĩa vụ của Hội đồng quản trị trong việc công bố cho cổ đông mọi thông tin liên quan và trọng yếu; và (2) tính đầy đủ của bằng chứng về việc liệu Hội đồng quản trị có hoàn thành nghĩa vụ đó hay không.</w:t>
      </w:r>
    </w:p>
    <w:p>
      <w:pPr>
        <w:spacing w:after="80"/>
      </w:pPr>
      <w:r>
        <w:rPr>
          <w:b w:val="0"/>
          <w:i w:val="0"/>
        </w:rPr>
        <w:t xml:space="preserve">Quy tắc đã được xác lập ở Delaware là "khi đa số cổ đông được thông tin đầy đủ phê chuẩn hành động của các giám đốc dù là có liên quan lợi ích, thì việc tấn công vào giao dịch đã được phê chuẩn thông thường phải thất bại." </w:t>
      </w:r>
      <w:r>
        <w:rPr>
          <w:b w:val="0"/>
          <w:i/>
        </w:rPr>
        <w:t>Gerlach v. Gillam</w:t>
      </w:r>
      <w:r>
        <w:rPr>
          <w:b w:val="0"/>
          <w:i w:val="0"/>
        </w:rPr>
        <w:t xml:space="preserve"> , 139 A.2d 591, 593 (Del. Ch. 1958). Câu hỏi liệu cổ đông đã được thông tin đầy đủ để lá phiếu của họ có thể được coi là phê chuẩn hành động của giám đốc hay chưa "phụ thuộc vào tính công bằng và đầy đủ của các tài liệu ủy quyền do ban lãnh đạo trình lên . . . cổ đông." </w:t>
      </w:r>
      <w:r>
        <w:rPr>
          <w:b w:val="0"/>
          <w:i/>
        </w:rPr>
        <w:t>Michelson v. Duncan</w:t>
      </w:r>
      <w:r>
        <w:rPr>
          <w:b w:val="0"/>
          <w:i w:val="0"/>
        </w:rPr>
        <w:t xml:space="preserve"> , 407 A.2d 211, 220 (Del. 1979).</w:t>
      </w:r>
    </w:p>
    <w:p>
      <w:pPr>
        <w:spacing w:after="80"/>
      </w:pPr>
      <w:r>
        <w:rPr>
          <w:b w:val="0"/>
          <w:i w:val="0"/>
        </w:rPr>
        <w:t>Tòa án này đã phán quyết rằng các giám đốc công ty có nghĩa vụ tín thác đối với cổ đông của họ là phải công bố mọi sự kiện liên quan đến giao dịch đang được xem xét trong một bầu không khí hoàn toàn thẳng thắn. . . . Trên thực tế, "liên quan" có nghĩa là các sự kiện trọng yếu.</w:t>
      </w:r>
    </w:p>
    <w:p>
      <w:pPr>
        <w:spacing w:after="80"/>
      </w:pPr>
      <w:r>
        <w:rPr>
          <w:b w:val="0"/>
          <w:i w:val="0"/>
        </w:rPr>
        <w:t>Áp dụng tiêu chuẩn này vào hồ sơ trước mắt, chúng tôi nhận thấy rằng các cổ đông của Trans Union đã không được thông tin đầy đủ về mọi sự kiện trọng yếu đối với lá phiếu của họ về Thương vụ Sáp nhập Pritzker và rằng phán quyết của Tòa án Sơ thẩm ngược lại là rõ ràng sai lầm.</w:t>
      </w:r>
    </w:p>
    <w:p>
      <w:pPr>
        <w:spacing w:after="80"/>
      </w:pPr>
      <w:r>
        <w:rPr>
          <w:b w:val="0"/>
          <w:i w:val="0"/>
        </w:rPr>
        <w:t>Nghĩa vụ phải thuộc về các bị đơn, những người tuyên bố có sự phê chuẩn dựa trên lá phiếu của cổ đông, để chứng minh rằng sự chấp thuận của cổ đông là kết quả từ một cử tri đoàn được thông tin đầy đủ. Trên hồ sơ trước mắt, rõ ràng là Hội đồng quản trị đã không hoàn thành nghĩa vụ đó.</w:t>
      </w:r>
    </w:p>
    <w:p>
      <w:pPr>
        <w:spacing w:after="80"/>
      </w:pPr>
      <w:r>
        <w:rPr>
          <w:b w:val="0"/>
          <w:i w:val="0"/>
        </w:rPr>
        <w:t>Tóm lại: chúng tôi phán quyết rằng các giám đốc của Trans Union đã vi phạm nghĩa vụ tín thác của họ đối với cổ đông (1) do không tự thông tin cho mình về mọi thông tin có sẵn một cách hợp lý cho họ và liên quan đến quyết định đề xuất thương vụ sáp nhập Pritzker; và (2) do không công bố mọi thông tin trọng yếu mà một cổ đông hợp lý sẽ coi là quan trọng khi quyết định có phê duyệt đề nghị của Pritzker hay không.</w:t>
      </w:r>
    </w:p>
    <w:p>
      <w:pPr>
        <w:spacing w:after="80"/>
      </w:pPr>
      <w:r>
        <w:rPr>
          <w:b w:val="0"/>
          <w:i w:val="0"/>
        </w:rPr>
        <w:t>Do đó, chúng tôi phán quyết rằng Tòa án Sơ thẩm đã phạm lỗi có thể khắc phục được khi áp dụng quy tắc phán đoán kinh doanh có lợi cho các bị đơn là giám đốc trong vụ án này.</w:t>
      </w:r>
    </w:p>
    <w:p>
      <w:pPr>
        <w:spacing w:after="80"/>
      </w:pPr>
      <w:r>
        <w:rPr>
          <w:b w:val="0"/>
          <w:i w:val="0"/>
        </w:rPr>
        <w:t>Khi chuyển lại, Tòa án Chancery sẽ tiến hành một phiên điều trần chứng cứ để xác định giá trị hợp lý của số cổ phần mà nhóm nguyên đơn đại diện, dựa trên giá trị nội tại của Trans Union vào ngày 20 tháng 9 năm 1980. Sau đó, một phán quyết bồi thường thiệt hại có thể được đưa ra trong phạm vi giá trị hợp lý của Trans Union vượt quá $55 mỗi cổ phần.</w:t>
      </w:r>
    </w:p>
    <w:p>
      <w:pPr>
        <w:spacing w:after="80"/>
      </w:pPr>
      <w:r>
        <w:rPr>
          <w:b w:val="0"/>
          <w:i w:val="0"/>
        </w:rPr>
        <w:t>Bị đảo ngược và chuyển lại để tiến hành các thủ tục phù hợp với phán quyết này.</w:t>
      </w:r>
    </w:p>
    <w:p>
      <w:pPr>
        <w:spacing w:after="80"/>
      </w:pPr>
      <w:r>
        <w:rPr>
          <w:b w:val="0"/>
          <w:i w:val="0"/>
        </w:rPr>
        <w:t>MC NEILLY , THẨM PHÁN , PHẢN ĐỐI :</w:t>
      </w:r>
    </w:p>
    <w:p>
      <w:pPr>
        <w:spacing w:after="80"/>
      </w:pPr>
      <w:r>
        <w:rPr>
          <w:b w:val="0"/>
          <w:i w:val="0"/>
        </w:rPr>
        <w:t>Ý kiến của đa số đọc như bài phát biểu kết thúc của một luật sư biện hộ trước một bồi thẩm đoàn thù địch. Và tôi nói điều đó không phải nhẹ nhàng. Xuyên suốt ý kiến, sự nhấn mạnh lớn chỉ hướng đến mặt tiêu cực, mà chẳng có gì hơn ngoài lời nói suông dành cho các khía cạnh tích cực của vụ án này.</w:t>
      </w:r>
    </w:p>
    <w:p>
      <w:pPr>
        <w:spacing w:after="80"/>
      </w:pPr>
      <w:r>
        <w:rPr>
          <w:b w:val="0"/>
          <w:i w:val="0"/>
        </w:rPr>
        <w:t>Sẽ chẳng có mục đích hữu ích nào, đặc biệt là vào thời điểm muộn màng này, để tôi phản đối với độ dài lớn. Tôi tự kiềm chế không làm vậy, nhưng cảm thấy buộc phải ít nhất chỉ ra những gì tôi coi là những thiếu sót rõ ràng nhất trong ý kiến của đa số. Đa số đã lên tiếng và đã nói một cách hiệu quả rằng các Giám đốc của Trans Union đã là nạn nhân của một "màn xáo trộn nhanh" bởi Van Gorkom và Pritzker. Đó là khởi đầu cho vở hài kịch sai lầm của đa số. Sai lầm đầu tiên và quan trọng nhất được tạo ra là đánh giá của đa số về kiến thức của các giám đốc đối với các vấn đề của Trans Union và khả năng kết hợp của họ để hành động trong tình huống này dưới sự bảo vệ của quy tắc phán đoán kinh doanh.</w:t>
      </w:r>
    </w:p>
    <w:p>
      <w:pPr>
        <w:spacing w:after="80"/>
      </w:pPr>
      <w:r>
        <w:rPr>
          <w:b w:val="0"/>
          <w:i w:val="0"/>
        </w:rPr>
        <w:t>Hội đồng quản trị của Trans Union bao gồm mười người đàn ông, năm người trong số đó là giám đốc "nội bộ" và năm người là giám đốc "bên ngoài". Các giám đốc "nội bộ" là Van Gorkom, Chelberg, Bonser, William B. Browder, Phó Chủ tịch Cấp cao - Pháp lý, và Thomas P. O'Boyle, Phó Chủ tịch Cấp cao - Hành chính. Vào thời điểm thương vụ sáp nhập được đề xuất, năm giám đốc nội bộ đã cùng nhau làm việc cho Công ty trong 116 năm và có 68 năm kinh nghiệm kết hợp với vai trò giám đốc. Các giám đốc "bên ngoài" là A.W. Wallis, William B. Johnson, Joseph B. Lanterman, Graham J. Morgan và Robert W. Reneker. Ngoại trừ Wallis, tất cả đều là giám đốc điều hành của các tập đoàn có trụ sở tại Chicago ít nhất là lớn bằng Trans Union. Năm giám đốc "bên ngoài" có 78 năm kinh nghiệm kết hợp với vai trò giám đốc điều hành, và 53 năm phục vụ tích lũy với vai trò giám đốc của Trans Union.</w:t>
      </w:r>
    </w:p>
    <w:p>
      <w:pPr>
        <w:spacing w:after="80"/>
      </w:pPr>
      <w:r>
        <w:rPr>
          <w:b w:val="0"/>
          <w:i w:val="0"/>
        </w:rPr>
        <w:t>Các giám đốc ở tầm cỡ này thông thường không bị lừa bởi một "màn xáo trộn nhanh". Tôi cho rằng họ đã không bị cuốn vào giao dịch doanh nghiệp trị giá hàng triệu đô la này mà không được thông tin đầy đủ và nhận thức về tình hình hiện tại liên quan đến toàn bộ bức tranh doanh nghiệp của Trans Union. Đúng là, ngay cả những giám đốc như thế này, với sự nhạy bén kinh doanh, sự quan tâm và chuyên môn của họ, cũng có thể đi lạc hướng. Tôi không tin rằng đó là trường hợp ở đây. Những người đàn ông này biết Trans Union như lòng bàn tay của họ và có đủ điều kiện hơn cả để đưa ra các phán đoán kinh doanh đầy đủ thông tin ngay tại chỗ liên quan đến các vấn đề của Trans Union bao gồm cả việc bán 100% công ty. Để chúng ta đừng quên, thế giới doanh nghiệp xưa và nay vận hành theo cái được gọi một cách rất thích hợp là "đường cao tốc". Những người đàn ông này vào thời điểm đó là một phần không thể tách rời của thế giới đó, tất cả đều là những doanh nhân chuyên nghiệp, không phải những nhân vật trí thức hư danh.</w:t>
      </w:r>
    </w:p>
    <w:p>
      <w:pPr>
        <w:spacing w:after="80"/>
      </w:pPr>
      <w:r>
        <w:rPr>
          <w:b w:val="0"/>
          <w:i w:val="0"/>
        </w:rPr>
        <w:t xml:space="preserve">Đa số của Tòa án này phán quyết rằng quyết định của Hội đồng quản trị, được đưa ra vào ngày 20 tháng 9 năm 1980, để phê duyệt thương vụ sáp nhập không phải là sản phẩm của một phán đoán kinh doanh </w:t>
      </w:r>
      <w:r>
        <w:rPr>
          <w:b w:val="0"/>
          <w:i/>
        </w:rPr>
        <w:t>đầy đủ thông tin</w:t>
      </w:r>
      <w:r>
        <w:rPr>
          <w:b w:val="0"/>
          <w:i w:val="0"/>
        </w:rPr>
        <w:t xml:space="preserve">, rằng những nỗ lực sau đó của Hội đồng quản trị nhằm sửa đổi Thỏa thuận Sáp nhập và thực hiện các hành động khắc phục khác là </w:t>
      </w:r>
      <w:r>
        <w:rPr>
          <w:b w:val="0"/>
          <w:i/>
        </w:rPr>
        <w:t>không hiệu quả về mặt pháp lý và thực tế</w:t>
      </w:r>
      <w:r>
        <w:rPr>
          <w:b w:val="0"/>
          <w:i w:val="0"/>
        </w:rPr>
        <w:t xml:space="preserve">, và rằng Hội đồng quản trị đã </w:t>
      </w:r>
      <w:r>
        <w:rPr>
          <w:b w:val="0"/>
          <w:i/>
        </w:rPr>
        <w:t>không đối xử với sự thẳng thắn hoàn toàn</w:t>
      </w:r>
      <w:r>
        <w:rPr>
          <w:b w:val="0"/>
          <w:i w:val="0"/>
        </w:rPr>
        <w:t xml:space="preserve"> với cổ đông do không công bố mọi sự kiện trọng yếu, mà họ biết hoặc lẽ ra phải biết, trước khi giành được sự chấp thuận của cổ đông đối với thương vụ sáp nhập. Tôi không đồng ý.</w:t>
      </w:r>
    </w:p>
    <w:p>
      <w:pPr>
        <w:spacing w:after="80"/>
      </w:pPr>
      <w:r>
        <w:rPr>
          <w:b w:val="0"/>
          <w:i w:val="0"/>
        </w:rPr>
        <w:t>Vào thời điểm cuộc họp ngày 20 tháng 9 năm 1980, Hội đồng quản trị đã nhận thức sâu sắc về Trans Union và triển vọng của nó. Các vấn đề do tín dụng thuế đầu tư tích lũy và khấu hao nhanh gây ra đã được thảo luận nhiều lần tại các cuộc họp Hội đồng quản trị, và tất cả các giám đốc đều hiểu thấu đáo vấn đề này. Hơn nữa, tại cuộc họp Hội đồng quản trị tháng 7 năm 1980, các giám đốc đã xem xét dự báo năm năm mới được chuẩn bị của Trans Union, và tại cuộc họp tháng 8 năm 1980, Van Gorkom đã trình bày kết quả của một nghiên cứu toàn diện về Trans Union do The Boston Consulting Group thực hiện. Nghiên cứu này được chuẩn bị trong khoảng thời gian 18 tháng và bao gồm một phân tích chi tiết về tất cả các công ty con của Trans Union, bao gồm khả năng cạnh tranh, lợi nhuận, dòng tiền thải ra, tiêu thụ tiền mặt, năng lực kỹ thuật và triển vọng tương lai đóng góp vào thu nhập ròng hợp nhất của Trans Union.</w:t>
      </w:r>
    </w:p>
    <w:p>
      <w:pPr>
        <w:spacing w:after="80"/>
      </w:pPr>
      <w:r>
        <w:rPr>
          <w:b w:val="0"/>
          <w:i w:val="0"/>
        </w:rPr>
        <w:t>Tại cuộc họp ngày 20 tháng 9, Van Gorkom đã xem xét tất cả các khía cạnh của giao dịch được đề xuất và nhắc lại lời giải thích về giao dịch Pritzker cùng lời giải thích về đề nghị của Pritzker mà ông đã trình bày trước đó với ban lãnh đạo cấp cao. Sau khi nghe Van Gorkom giải thích về đề nghị của Pritzker và Brennan giải thích về các tài liệu sáp nhập, các giám đốc đã thảo luận vấn đề. Từ cuộc thảo luận này nảy sinh sự khăng khăng của các giám đốc rằng phải thực hiện hai sửa đổi đối với đề nghị. Thứ nhất, họ yêu cầu rằng bất kỳ bên đấu thầu cạnh tranh tiềm năng nào cũng phải được tiếp cận cùng thông tin về Trans Union như đã cung cấp cho Pritzkers. Thứ hai, các tài liệu sáp nhập phải được sửa đổi để phản ánh thực tế rằng các giám đốc có thể chấp nhận một đề nghị tốt hơn và sẽ không bắt buộc phải đề xuất đề nghị của Pritzker nếu có một đề nghị tốt hơn được đưa ra.</w:t>
      </w:r>
    </w:p>
    <w:p>
      <w:pPr>
        <w:spacing w:after="80"/>
      </w:pPr>
      <w:r>
        <w:rPr>
          <w:b w:val="0"/>
          <w:i w:val="0"/>
        </w:rPr>
        <w:t>Tôi không có gì phản đối phân tích của đa số về quy tắc phán đoán kinh doanh (business judgment rule). Chính việc áp dụng quy tắc đó vào những tình tiết này mới là sai. Một cái nhìn tổng quan về toàn bộ hồ sơ, thay vì cái nhìn hạn hẹp về từng mảnh nhỏ mà đa số đã bung ra như bỏng ngô, thuyết phục tôi rằng các giám đốc đã đưa ra một phán đoán kinh doanh được thông tin đầy đủ, và phán đoán đó còn được củng cố bởi phép thử thị trường của họ.</w:t>
      </w:r>
    </w:p>
    <w:p>
      <w:pPr>
        <w:pStyle w:val="Heading5"/>
      </w:pPr>
      <w:r>
        <w:rPr>
          <w:rFonts w:ascii="Calibri" w:hAnsi="Calibri"/>
          <w:b/>
          <w:i/>
          <w:sz w:val="22"/>
        </w:rPr>
        <w:t>Bình luận và Câu hỏi</w:t>
      </w:r>
    </w:p>
    <w:p>
      <w:pPr>
        <w:spacing w:after="80"/>
      </w:pPr>
      <w:r>
        <w:rPr>
          <w:b w:val="0"/>
          <w:i w:val="0"/>
        </w:rPr>
        <w:t>1. Đa số đặt nền tảng cho ý kiến của mình dựa trên kết luận rằng “Hội đồng quản trị Trans Union đã cẩu thả nghiêm trọng (grossly negligent) khi không hành động với sự cân nhắc hợp lý được thông tin đầy đủ.” Kết luận này có hợp lý không? Đa số có nhầm lẫn giữa tiêu chuẩn cẩn trọng (standard of care) với quy tắc phán đoán kinh doanh không? Các chính sách ủng hộ quy tắc phán đoán kinh doanh có bị xâm phạm khi buộc các giám đốc bên ngoài phải chịu trách nhiệm bồi thường thiệt hại cho cổ đông vì hành vi ít đáng trách hơn sự bất trung có chủ ý không?</w:t>
      </w:r>
    </w:p>
    <w:p>
      <w:pPr>
        <w:spacing w:after="80"/>
      </w:pPr>
      <w:r>
        <w:rPr>
          <w:b w:val="0"/>
          <w:i w:val="0"/>
        </w:rPr>
        <w:t xml:space="preserve">2. Sau vụ </w:t>
      </w:r>
      <w:r>
        <w:rPr>
          <w:b w:val="0"/>
          <w:i/>
        </w:rPr>
        <w:t>Van Gorkom</w:t>
      </w:r>
      <w:r>
        <w:rPr>
          <w:b w:val="0"/>
          <w:i w:val="0"/>
        </w:rPr>
        <w:t xml:space="preserve"> , cơ quan lập pháp Delaware đã sửa đổi Mục 141(e) của luật công ty đại chúng bang này để làm rõ rằng các giám đốc được quyền dựa vào các báo cáo, ý kiến và tuyên bố (bao gồm báo cáo tài chính) do các cán bộ hoặc nhân viên của công ty đưa ra mà giám đốc tin tưởng một cách hợp lý rằng họ đáng tin cậy và có năng lực trong các vấn đề được trình bày. Xét việc hội đồng quản trị Trans Union đã dựa vào Van Gorkom để đàm phán việc bán công ty, và hơn nữa, dựa vào phán đoán của Van Gorkom về giá trị của công ty cũng như tính thỏa đáng của mức giá mà Pritzker đưa ra, thì tại sao việc hội đồng quản trị dựa vào ông lại không hợp lý trong hoàn cảnh đó? Với tư cách là chủ sở hữu một khối cổ phần đáng kể của Trans Union, chẳng phải lợi ích của Van Gorkom phù hợp với lợi ích chung của cổ đông, tức là tối đa hóa giá bán sao?</w:t>
      </w:r>
    </w:p>
    <w:p>
      <w:pPr>
        <w:spacing w:after="80"/>
      </w:pPr>
      <w:r>
        <w:rPr>
          <w:b w:val="0"/>
          <w:i w:val="0"/>
        </w:rPr>
        <w:t>3. Bất chấp thiện chí và tính hợp lý của họ, đa số thẩm phán của tòa đã kết luận rằng các giám đốc Trans Union đã vi phạm nghĩa vụ cẩn trọng (duty of care) khi không triển khai các quy trình thỏa đáng để tự trang bị thông tin về giá trị thực sự của công ty. Hội đồng quản trị lẽ ra nên sử dụng những quy trình nào để đưa ra một quyết định kinh doanh được thông tin đầy đủ về việc sáp nhập được đề xuất?</w:t>
      </w:r>
    </w:p>
    <w:p>
      <w:pPr>
        <w:spacing w:after="80"/>
      </w:pPr>
      <w:r>
        <w:rPr>
          <w:b w:val="0"/>
          <w:i w:val="0"/>
        </w:rPr>
        <w:t>4. Bạn nghĩ tại sao hội đồng quản trị giàu kinh nghiệm của Trans Union lại giao cho Van Gorkom quyền đàm phán đơn phương với Pritzker? Các giám đốc Trans Union có hành động bất hợp lý khi làm vậy không? Các giám đốc Trans Union có hành động bất hợp lý khi không phản đối lúc Van Gorkom trình bày trước hội đồng quản trị một đề nghị đã được đàm phán hoàn tất không?</w:t>
      </w:r>
    </w:p>
    <w:p>
      <w:pPr>
        <w:spacing w:after="80"/>
      </w:pPr>
      <w:r>
        <w:rPr>
          <w:b w:val="0"/>
          <w:i w:val="0"/>
        </w:rPr>
        <w:t>5. Tại sao đa số thẩm phán của tòa bác bỏ lập luận của các bị đơn rằng họ có đủ trình độ, kinh nghiệm, sự tinh thông và hiểu biết về tình hình tài chính cũng như triển vọng của công ty để đưa ra quyết định được thông tin đầy đủ về tính thỏa đáng của đề nghị? Điều này có hợp lý không? Giả sử các giám đốc Trans Union đã có đủ dữ kiện và thông tin cần thiết để đưa ra phán đoán được thông tin đầy đủ về đề nghị của Pritzker, thì thêm quy trình nữa sẽ đạt được điều gì?</w:t>
      </w:r>
    </w:p>
    <w:p>
      <w:pPr>
        <w:spacing w:after="80"/>
      </w:pPr>
      <w:r>
        <w:rPr>
          <w:b w:val="0"/>
          <w:i w:val="0"/>
        </w:rPr>
        <w:t xml:space="preserve">Sau vụ </w:t>
      </w:r>
      <w:r>
        <w:rPr>
          <w:b w:val="0"/>
          <w:i/>
        </w:rPr>
        <w:t>Van Gorkom</w:t>
      </w:r>
      <w:r>
        <w:rPr>
          <w:b w:val="0"/>
          <w:i w:val="0"/>
        </w:rPr>
        <w:t xml:space="preserve"> , các hội đồng quản trị thường thuê các ngân hàng đầu tư để cung cấp định giá và ý kiến về tính công bằng (fairness opinions) cho các thương vụ sáp nhập và mua lại được đề xuất. Ai được lợi từ việc thuê các chuyên gia bên ngoài này? Ai trả hóa đơn cho lời khuyên và ý kiến chính thức của họ? Những chi phí phát sinh thêm này có thể tác động thế nào đến số lượng giao dịch bán? Tại sao cổ đông có thể nhận được lợi nhuận thấp hơn từ các thương vụ đã hoàn tất?</w:t>
      </w:r>
    </w:p>
    <w:p>
      <w:pPr>
        <w:spacing w:after="80"/>
      </w:pPr>
      <w:r>
        <w:rPr>
          <w:b w:val="0"/>
          <w:i w:val="0"/>
        </w:rPr>
        <w:t>6. Khi xét xử các thách thức của cổ đông đối với những thương vụ sáp nhập và mua lại gần đây hơn, các tòa án Delaware đã nhấn mạnh “vai trò trung tâm của các ngân hàng đầu tư trong việc đánh giá, khám phá, lựa chọn và triển khai các phương án chiến lược” đối với các hội đồng quản trị đang cân nhắc những giao dịch được đề xuất. Xét việc tòa án xét xử phải xác định tính thỏa đáng của thông tin mà hội đồng quản trị đã cân nhắc, tòa án “tất yếu sẽ xem xét mức độ mà hội đồng quản trị đã dựa vào các cố vấn chuyên gia.” Các cố vấn tài chính “đảm nhận một chức năng then chốt bằng việc thực hiện định giá doanh nghiệp mà các chủ sở hữu dựa vào để quyết định có ủng hộ việc bán hay không. Trước khi cổ đông có thể tin tưởng vào một ý kiến về tính công bằng hoặc dựa vào nó ở mức độ thích hợp, những xung đột và những động cơ khuyến khích có phần nghịch lý có thể ảnh hưởng đến cố vấn tài chính trong việc thực thi phán đoán và quyền tự quyết của họ phải được công bố đầy đủ và công bằng.” Các tòa án Delaware đã công nhận rằng các cố vấn ngân hàng đầu tư, “những người đôi khi dẫn dắt các giám đốc thiếu kinh nghiệm qua quá trình [sáp nhập và mua lại]”, là “then chốt” để bảo vệ lợi ích của cổ đông.</w:t>
      </w:r>
    </w:p>
    <w:p>
      <w:pPr>
        <w:spacing w:after="80"/>
      </w:pPr>
      <w:r>
        <w:rPr>
          <w:b w:val="0"/>
          <w:i w:val="0"/>
        </w:rPr>
        <w:t>7. Tòa án đã bác bỏ cáo buộc về sự bất thiện chí (bad faith) của nguyên đơn, nhưng liệu Jerome Van Gorkom có nên bị buộc trách nhiệm vì đã giữ lại thông tin quan trọng đối với quyết định của các đồng nghiệp trong hội đồng quản trị không? Thật vậy, liệu nguyên đơn có thể đưa ra khiếu nại rằng Van Gorkom đã vi phạm nghĩa vụ trung thực (duty of candor) của mình và do đó vi phạm nghĩa vụ trung thành (duty of loyalty) với công ty không?</w:t>
      </w:r>
    </w:p>
    <w:p>
      <w:pPr>
        <w:spacing w:after="80"/>
      </w:pPr>
      <w:r>
        <w:rPr>
          <w:b w:val="0"/>
          <w:i w:val="0"/>
        </w:rPr>
        <w:t>8. Tòa án Tối cao Delaware đã chuyển vụ án về Tòa án Chancery kèm chỉ thị cho tòa cấp dưới xác định giá trị thị trường hợp lý của số cổ phần Trans Union của nguyên đơn; các bị đơn bị lệnh phải trả bồi thường trong phạm vi giá trị hợp lý vượt quá 55 đô la mỗi cổ phần. Tuy nhiên, trước khi tòa cấp dưới xác định giá trị hợp lý của cổ phần, vụ án đã được dàn xếp, với khoảng 12.000 cổ đông cũ của Trans Union nhận được tổng số tiền dàn xếp là 23,5 triệu đô la. Trong tổng quỹ dàn xếp, bảo hiểm trách nhiệm của giám đốc và cán bộ đã trả 10 triệu đô la, và Jay Pritzker trả 13,5 triệu đô la còn lại. Với kết quả này, liệu việc thách thức quyết định thiện chí của các giám đốc có thực sự vì lợi ích của cổ đông không?</w:t>
      </w:r>
    </w:p>
    <w:p>
      <w:pPr>
        <w:pStyle w:val="Heading2"/>
      </w:pPr>
      <w:r>
        <w:rPr>
          <w:rFonts w:ascii="Calibri" w:hAnsi="Calibri"/>
          <w:b/>
          <w:i w:val="0"/>
          <w:sz w:val="32"/>
        </w:rPr>
        <w:t xml:space="preserve">III. Sau vụ </w:t>
      </w:r>
      <w:r>
        <w:rPr>
          <w:rFonts w:ascii="Calibri" w:hAnsi="Calibri"/>
          <w:b/>
          <w:i/>
          <w:sz w:val="32"/>
        </w:rPr>
        <w:t>Smith v. Van Gorkom</w:t>
      </w:r>
    </w:p>
    <w:p>
      <w:pPr>
        <w:spacing w:after="80"/>
      </w:pPr>
      <w:r>
        <w:rPr>
          <w:b w:val="0"/>
          <w:i w:val="0"/>
        </w:rPr>
        <w:t>Những người chỉ trích đã lên án gay gắt phán quyết của Tòa án Tối cao Delaware là một sự rời bỏ không mạch lạc khỏi luật đã được định rõ, một quyết định đe dọa các chính sách công quan trọng ủng hộ việc tôn trọng quyền tự quyết của giám đốc theo quy tắc phán đoán kinh doanh. Những người phản đối này nhấn mạnh rằng thương vụ sáp nhập được hội đồng quản trị Trans Union phê duyệt đã mang lại cho cổ đông công ty mức phụ trội gần 60 phần trăm so với giá trị thị trường của cổ phần họ. Điều đáng lo ngại không kém là quyết định của tòa đã trừng phạt những giám đốc đủ tiêu chuẩn với sự nhạy bén kinh doanh đáng kể vì họ đã dựa vào những tuyên bố của CEO công ty một cách hợp lý và thiện chí.</w:t>
      </w:r>
    </w:p>
    <w:p>
      <w:pPr>
        <w:spacing w:after="80"/>
      </w:pPr>
      <w:r>
        <w:rPr>
          <w:b w:val="0"/>
          <w:i w:val="0"/>
        </w:rPr>
        <w:t xml:space="preserve">Trong những tuần và tháng sau khi phán quyết </w:t>
      </w:r>
      <w:r>
        <w:rPr>
          <w:b w:val="0"/>
          <w:i/>
        </w:rPr>
        <w:t>Van Gorkom</w:t>
      </w:r>
      <w:r>
        <w:rPr>
          <w:b w:val="0"/>
          <w:i w:val="0"/>
        </w:rPr>
        <w:t xml:space="preserve"> được lưu hành, một số giám đốc của các công ty Delaware đã đe dọa từ chức. “99% các hội đồng quản trị không nghĩ rằng có điều gì sai trái đã xảy ra. Hầu hết mọi người viết về quyết định này như thể ‘các tòa án Delaware đang phát điên.’” Cố vấn pháp lý doanh nghiệp khăng khăng rằng các công ty phải thuê ngân hàng đầu tư để cung cấp cho các giám đốc đang lo lắng những định giá và ý kiến về tính công bằng. Đồng thời, phí bảo hiểm trách nhiệm của giám đốc và cán bộ (D&amp;O) đã tăng đáng kể. Những diễn biến này tạo áp lực buộc các nhà lập pháp Delaware phải hành động lập pháp. Họ đã phản hồi vào năm 1986 bằng việc sửa đổi Luật Công ty Đại chúng của bang để cho phép các công ty miễn trừ trách nhiệm cho giám đốc của mình.</w:t>
      </w:r>
    </w:p>
    <w:p>
      <w:pPr>
        <w:spacing w:after="80"/>
      </w:pPr>
      <w:r>
        <w:rPr>
          <w:b w:val="0"/>
          <w:i w:val="0"/>
        </w:rPr>
        <w:t>DGCL § 102. Nội dung của giấy chứng nhận thành lập</w:t>
      </w:r>
    </w:p>
    <w:p>
      <w:pPr>
        <w:spacing w:after="80"/>
      </w:pPr>
      <w:r>
        <w:rPr>
          <w:b w:val="0"/>
          <w:i w:val="0"/>
        </w:rPr>
        <w:t>(b) Ngoài những nội dung bắt buộc phải được ghi trong giấy chứng nhận thành lập theo quy định tại khoản (a) của điều này, giấy chứng nhận thành lập cũng có thể bao gồm bất kỳ hoặc tất cả các nội dung sau đây:</w:t>
      </w:r>
    </w:p>
    <w:p>
      <w:pPr>
        <w:spacing w:after="80"/>
      </w:pPr>
      <w:r>
        <w:rPr>
          <w:b w:val="0"/>
          <w:i w:val="0"/>
        </w:rPr>
        <w:t>(7) Một điều khoản loại bỏ hoặc giới hạn trách nhiệm cá nhân của một giám đốc đối với công ty hoặc các cổ đông của công ty về thiệt hại bằng tiền do vi phạm nghĩa vụ ủy thác với tư cách là giám đốc, với điều kiện điều khoản đó không được loại bỏ hoặc giới hạn trách nhiệm của một giám đốc:</w:t>
      </w:r>
    </w:p>
    <w:p>
      <w:pPr>
        <w:spacing w:after="80"/>
      </w:pPr>
      <w:r>
        <w:rPr>
          <w:b w:val="0"/>
          <w:i w:val="0"/>
        </w:rPr>
        <w:t>(i) Đối với bất kỳ hành vi vi phạm nghĩa vụ trung thành của giám đốc đối với công ty hoặc các cổ đông của công ty;</w:t>
      </w:r>
    </w:p>
    <w:p>
      <w:pPr>
        <w:spacing w:after="80"/>
      </w:pPr>
      <w:r>
        <w:rPr>
          <w:b w:val="0"/>
          <w:i w:val="0"/>
        </w:rPr>
        <w:t>(ii) đối với các hành vi hoặc thiếu sót không trung thực hoặc liên quan đến hành vi sai trái cố ý hoặc vi phạm pháp luật một cách có chủ đích;</w:t>
      </w:r>
    </w:p>
    <w:p>
      <w:pPr>
        <w:spacing w:after="80"/>
      </w:pPr>
      <w:r>
        <w:rPr>
          <w:b w:val="0"/>
          <w:i w:val="0"/>
        </w:rPr>
        <w:t>(iii) theo § 174 của tiêu đề này; hoặc</w:t>
      </w:r>
    </w:p>
    <w:p>
      <w:pPr>
        <w:spacing w:after="80"/>
      </w:pPr>
      <w:r>
        <w:rPr>
          <w:b w:val="0"/>
          <w:i w:val="0"/>
        </w:rPr>
        <w:t>(iv) đối với bất kỳ giao dịch nào mà giám đốc thu được lợi ích cá nhân không chính đáng.</w:t>
      </w:r>
    </w:p>
    <w:p>
      <w:pPr>
        <w:spacing w:after="80"/>
      </w:pPr>
      <w:r>
        <w:rPr>
          <w:b w:val="0"/>
          <w:i w:val="0"/>
        </w:rPr>
        <w:t>Không có điều khoản nào như vậy được loại bỏ hoặc giới hạn trách nhiệm của một giám đốc đối với bất kỳ hành vi hoặc thiếu sót nào xảy ra trước ngày điều khoản đó có hiệu lực. Mọi tham chiếu trong đoạn này đến một giám đốc cũng được coi là tham chiếu đến những người khác, nếu có, mà theo một điều khoản của giấy chứng nhận thành lập phù hợp với § 141(a) của tiêu đề này, thực hiện hoặc thi hành bất kỳ quyền hạn hoặc nghĩa vụ nào mà tiêu đề này trao cho hoặc áp đặt lên hội đồng quản trị.</w:t>
      </w:r>
    </w:p>
    <w:p>
      <w:pPr>
        <w:spacing w:after="80"/>
      </w:pPr>
      <w:r>
        <w:rPr>
          <w:b w:val="0"/>
          <w:i w:val="0"/>
        </w:rPr>
        <w:t>Theo quy chế miễn trừ trách nhiệm trong điều lệ của Delaware, các công ty có thể chọn sửa đổi điều lệ thành lập của mình để bảo vệ giám đốc công ty khỏi trách nhiệm do vi phạm nghĩa vụ cẩn trọng. Lưu ý rằng các công ty Delaware không được phép miễn trừ trách nhiệm cho các cán bộ điều hành, cũng như công ty không được bảo vệ giám đốc khỏi trách nhiệm do vi phạm nghĩa vụ trung thành, nhận lợi ích cá nhân không chính đáng, hành vi sai trái có chủ đích, cho phép phân phối bất hợp pháp, hoặc các quyết định đưa ra không trung thực. Ngoài ra, giám đốc vẫn phải chịu trách nhiệm với bên thứ ba.</w:t>
      </w:r>
    </w:p>
    <w:p>
      <w:pPr>
        <w:spacing w:after="80"/>
      </w:pPr>
      <w:r>
        <w:rPr>
          <w:b w:val="0"/>
          <w:i w:val="0"/>
        </w:rPr>
        <w:t>Sau khi Mục 102(b)(7) được ban hành, các công ty Delaware hầu như luôn sửa đổi điều lệ của mình để bao gồm các điều khoản miễn trừ trách nhiệm (đôi khi được gọi là "điều khoản áo mưa"), và các bang khác nhanh chóng noi theo Delaware, ban hành luật quy định tương tự cho điều lệ công ty của mình. Giống như quy chế của Delaware, các bang khác cho phép điều lệ công ty có các điều khoản loại bỏ trách nhiệm cá nhân của giám đốc về thiệt hại do vi phạm nghĩa vụ cẩn trọng. Một số ít cơ quan lập pháp bang mở rộng bảo vệ cho người ủy thác xa hơn Delaware. Ví dụ, một số bang sửa đổi luật để cho phép công ty miễn trừ trách nhiệm cho cả cán bộ điều hành và giám đốc, trong khi những bang khác ban hành ít ngoại lệ miễn trừ hơn Delaware. Một vài bang loại bỏ trách nhiệm của giám đốc một cách trực tiếp.</w:t>
      </w:r>
    </w:p>
    <w:p>
      <w:pPr>
        <w:spacing w:after="80"/>
      </w:pPr>
      <w:r>
        <w:rPr>
          <w:b w:val="0"/>
          <w:i w:val="0"/>
        </w:rPr>
        <w:t>Ngày nay, điều lệ của tất cả các công ty lớn của Hoa Kỳ đều bao gồm các điều khoản áo mưa rộng rãi, bảo vệ giám đốc công ty khỏi trách nhiệm do vi phạm nghĩa vụ cẩn trọng. Các điều khoản miễn trừ trong điều lệ rõ ràng đã thúc đẩy lợi ích của giám đốc trong giới doanh nghiệp Hoa Kỳ, nhưng việc miễn trừ trách nhiệm cho giám đốc ảnh hưởng đến lợi ích của công ty như thế nào? Có lẽ, các cổ đông sẽ bỏ phiếu chống lại những sửa đổi điều lệ này nếu việc thông qua chúng, xét trên tổng thể, gây hại cho công ty. Vậy thì, liệu có hợp lý không khi các cổ đông loại bỏ các động lực pháp lý để giám đốc hành xử với sự cẩn trọng hợp lý? Có những giải thích nào khác cho việc cổ đông thông qua rộng rãi các điều khoản miễn trừ trách nhiệm? Liệu các công ty đại chúng có thể thu hút được giám đốc chất lượng mà không cung cấp cho họ sự bảo vệ như vậy không? Làm sao chúng ta biết được? Cũng hãy xem xét rằng "một khi ban điều hành đạt được việc thông qua [một điều khoản miễn trừ trong điều lệ], điều khoản đó vẫn tồn tại, bất kể mong muốn của cổ đông, cho đến khi ban điều hành quyết định khởi xướng thay đổi."</w:t>
      </w:r>
    </w:p>
    <w:p>
      <w:pPr>
        <w:spacing w:after="80"/>
      </w:pPr>
      <w:r>
        <w:rPr>
          <w:b w:val="0"/>
          <w:i w:val="0"/>
        </w:rPr>
        <w:t>—————</w:t>
      </w:r>
    </w:p>
    <w:p>
      <w:pPr>
        <w:spacing w:after="80"/>
      </w:pPr>
      <w:r>
        <w:rPr>
          <w:b w:val="0"/>
          <w:i w:val="0"/>
        </w:rPr>
        <w:t>Liệu các điều khoản áo mưa có nhất thiết ngăn cản việc kiện tụng các khiếu nại của cổ đông cáo buộc rằng giám đốc vi phạm nghĩa vụ ủy thác của họ không? Nếu không, thì giám đốc thực thi các điều khoản miễn trừ trong điều lệ như thế nào? Tòa án Tối cao Delaware đã giải quyết những câu hỏi này trong vụ án sau đây.</w:t>
      </w:r>
    </w:p>
    <w:p>
      <w:pPr>
        <w:pStyle w:val="Heading4"/>
      </w:pPr>
      <w:r>
        <w:rPr>
          <w:rFonts w:ascii="Calibri" w:hAnsi="Calibri"/>
          <w:b/>
          <w:i w:val="0"/>
          <w:sz w:val="23"/>
        </w:rPr>
        <w:t>Malpiede v. Townson</w:t>
      </w:r>
    </w:p>
    <w:p>
      <w:pPr>
        <w:spacing w:after="80"/>
      </w:pPr>
      <w:r>
        <w:rPr>
          <w:b w:val="0"/>
          <w:i w:val="0"/>
        </w:rPr>
        <w:t>Tòa án Tối cao Delaware</w:t>
      </w:r>
      <w:r>
        <w:br/>
      </w:r>
      <w:r>
        <w:rPr>
          <w:b w:val="0"/>
          <w:i w:val="0"/>
        </w:rPr>
        <w:t xml:space="preserve"> 780 A.2d 1075 (2001)</w:t>
      </w:r>
    </w:p>
    <w:p>
      <w:pPr>
        <w:spacing w:after="80"/>
      </w:pPr>
      <w:r>
        <w:rPr>
          <w:b w:val="0"/>
          <w:i w:val="0"/>
        </w:rPr>
        <w:t>VEASEY, CHÁNH ÁN:</w:t>
      </w:r>
    </w:p>
    <w:p>
      <w:pPr>
        <w:spacing w:after="80"/>
      </w:pPr>
      <w:r>
        <w:rPr>
          <w:b w:val="0"/>
          <w:i w:val="0"/>
        </w:rPr>
        <w:t>Trong kháng cáo này, chúng tôi giữ nguyên phán quyết của Tòa án Chancery rằng các cáo buộc trong đơn kiện tập thể thách thức một vụ sáp nhập không hỗ trợ các khiếu nại của cổ đông cáo buộc: (1) vi phạm nghĩa vụ trung thành của hội đồng quản trị mục tiêu hoặc nghĩa vụ công bố thông tin của họ; và (2) tiếp tay và xúi giục can thiệp trái pháp luật bởi công ty mua lại. Chúng tôi cũng giữ nguyên việc chấp thuận động thái bác bỏ khiếu nại về nghĩa vụ cẩn trọng của nguyên đơn với lý do rằng điều khoản miễn trừ trong điều lệ của công ty mục tiêu được cho phép bởi § 102(b)(7), ngăn cản bất kỳ khiếu nại nào đòi bồi thường thiệt hại bằng tiền đối với các bị đơn là giám đốc chỉ dựa trên cáo buộc hội đồng quản trị vi phạm nghĩa vụ cẩn trọng của mình.</w:t>
      </w:r>
    </w:p>
    <w:p>
      <w:pPr>
        <w:spacing w:after="80"/>
      </w:pPr>
      <w:r>
        <w:rPr>
          <w:b w:val="0"/>
          <w:i w:val="0"/>
        </w:rPr>
        <w:t>Sự kiện</w:t>
      </w:r>
    </w:p>
    <w:p>
      <w:pPr>
        <w:spacing w:after="80"/>
      </w:pPr>
      <w:r>
        <w:rPr>
          <w:b w:val="0"/>
          <w:i w:val="0"/>
        </w:rPr>
        <w:t>Frederick's of Hollywood là nhà bán lẻ đồ lót và quần áo nữ có trụ sở tại Los Angeles, California. Tình huống này xoay quanh việc Frederick's sáp nhập vào Knightsbridge Capital Corporation trong bối cảnh công ty trở thành mục tiêu trong một cuộc đấu thầu.</w:t>
      </w:r>
    </w:p>
    <w:p>
      <w:pPr>
        <w:spacing w:after="80"/>
      </w:pPr>
      <w:r>
        <w:rPr>
          <w:b w:val="0"/>
          <w:i w:val="0"/>
        </w:rPr>
        <w:t>Ngày 14 tháng 6 năm 1996, hội đồng quản trị Frederick's công bố quyết định thuê một ngân hàng đầu tư, Janney Montgomery Scott, Inc. (“JMS”), để tư vấn cho hội đồng trong việc tìm kiếm người mua phù hợp cho công ty. Tháng 1 năm 1997, JMS khởi động đàm phán với Knightsbridge.</w:t>
      </w:r>
    </w:p>
    <w:p>
      <w:pPr>
        <w:spacing w:after="80"/>
      </w:pPr>
      <w:r>
        <w:rPr>
          <w:b w:val="0"/>
          <w:i w:val="0"/>
        </w:rPr>
        <w:t>Ngày 13 tháng 6 năm 1997, hội đồng quản trị Frederick's phê duyệt đề nghị từ Knightsbridge mua toàn bộ cổ phiếu Class A và Class B đang lưu hành của Frederick's với giá $6.14 mỗi cổ phiếu bằng tiền mặt trong một giao dịch sáp nhập hai bước. Các điều khoản của thỏa thuận sáp nhập mà hội đồng Frederick's ký kết cấm hội đồng chào mời thêm các đề nghị từ bên thứ ba, nhưng thỏa thuận cho phép hội đồng đàm phán với các bên đấu thầu thứ ba khi nghĩa vụ ủy thác (fiduciary duties) của hội đồng yêu cầu làm vậy. Hội đồng Frederick's sau đó gửi cho cổ đông một Tuyên bố Xin Chấp thuận (Consent Solicitation Statement) đề nghị họ phê duyệt giao dịch, dự kiến hoàn tất vào ngày 27 tháng 8 năm 1997.</w:t>
      </w:r>
    </w:p>
    <w:p>
      <w:pPr>
        <w:spacing w:after="80"/>
      </w:pPr>
      <w:r>
        <w:rPr>
          <w:b w:val="0"/>
          <w:i w:val="0"/>
        </w:rPr>
        <w:t>Ngày 21 tháng 8 năm 1997, Frederick's nhận được một đề nghị tiền mặt không được mời, đã được tài trợ đầy đủ, với giá $7.00 mỗi cổ phiếu từ một bên đấu thầu thứ ba, Milton Partners.</w:t>
      </w:r>
    </w:p>
    <w:p>
      <w:pPr>
        <w:spacing w:after="80"/>
      </w:pPr>
      <w:r>
        <w:rPr>
          <w:b w:val="0"/>
          <w:i w:val="0"/>
        </w:rPr>
        <w:t>Ngày 27 tháng 8 năm 1997, hội đồng Frederick's nhận được đề nghị tiền mặt không được mời, đã được tài trợ đầy đủ, với giá $7.75 từ Veritas Capital Fund. Trước những diễn biến này, hội đồng hoãn việc sáp nhập với Knightsbridge để sắp xếp cuộc gặp với hai nhà đấu thầu mới. Ngày 2 tháng 9 năm 1997, hội đồng gửi một bản ghi nhớ cho Milton và Veritas nêu rõ các điều kiện để tham gia quá trình đấu thầu. Bản ghi nhớ yêu cầu mỗi nhà đấu thầu ký gửi $2.5 triệu vào một tài khoản ký quỹ (escrow account) và nộp, trước ngày 4 tháng 9 năm 1997, một thỏa thuận sáp nhập đã chỉnh sửa với các điều khoản cơ bản giống như thỏa thuận sáp nhập với Knightsbridge. Veritas đã nộp một thỏa thuận sáp nhập và khoản ký quỹ $2.5 triệu theo đúng các điều kiện này. Milton thì không.</w:t>
      </w:r>
    </w:p>
    <w:p>
      <w:pPr>
        <w:spacing w:after="80"/>
      </w:pPr>
      <w:r>
        <w:rPr>
          <w:b w:val="0"/>
          <w:i w:val="0"/>
        </w:rPr>
        <w:t>Ngày 3 tháng 9 năm 1997, hội đồng Frederick's gặp gỡ đại diện của Veritas để thảo luận các điều khoản của đề nghị Veritas. Theo các nguyên đơn, hội đồng khẳng định rằng tại cuộc gặp này, hội đồng đã thông báo bằng lời cho Veritas rằng họ phải đưa ra “đề nghị cuối cùng, tốt nhất” trước ngày 4 tháng 9 năm 1997. Các nguyên đơn còn cáo buộc rằng trên thực tế hội đồng đã không thông báo cho Veritas về yêu cầu này.</w:t>
      </w:r>
    </w:p>
    <w:p>
      <w:pPr>
        <w:spacing w:after="80"/>
      </w:pPr>
      <w:r>
        <w:rPr>
          <w:b w:val="0"/>
          <w:i w:val="0"/>
        </w:rPr>
        <w:t>Cùng ngày hội đồng gặp Veritas, Knightsbridge và các Trust đã sửa đổi thỏa thuận mua cổ phiếu của họ để loại bỏ quyền chấm dứt của các Trust và các điều kiện khác đối với việc bán cổ phần của các Trust. Ngày 4 tháng 9 năm 1997, Knightsbridge thực hiện quyền của mình theo thỏa thuận và mua cổ phần của các Trust. Knightsbridge ngay lập tức thông báo cho hội đồng về việc mua lại cổ phần của các Trust và nhắc lại ý định bỏ phiếu chống lại bất kỳ đề nghị cạnh tranh nào từ bên thứ ba.</w:t>
      </w:r>
    </w:p>
    <w:p>
      <w:pPr>
        <w:spacing w:after="80"/>
      </w:pPr>
      <w:r>
        <w:rPr>
          <w:b w:val="0"/>
          <w:i w:val="0"/>
        </w:rPr>
        <w:t>Một ngày sau khi Knightsbridge mua cổ phần của các Trust, hội đồng Frederick's tham gia một cuộc gọi hội nghị với Veritas để thảo luận thêm về các điều khoản của đề nghị sáp nhập. Trong cuộc gọi hội nghị này, đại diện Veritas gợi ý rằng, nếu hội đồng chọn chấp nhận đề nghị của Veritas, hội đồng có thể phát hành một quyền chọn (option) cho Veritas để mua cổ phần Frederick's đã được ủy quyền nhưng chưa phát hành như một cách để lách qua khối 41% cổ phần biểu quyết mà Knightsbridge đã mua từ các Trust.</w:t>
      </w:r>
    </w:p>
    <w:p>
      <w:pPr>
        <w:spacing w:after="80"/>
      </w:pPr>
      <w:r>
        <w:rPr>
          <w:b w:val="0"/>
          <w:i w:val="0"/>
        </w:rPr>
        <w:t>Ngày 6 tháng 9 năm 1997, Knightsbridge tăng giá chào mua để ngang bằng đề nghị $7.75 của Veritas, nhưng với điều kiện hội đồng chấp nhận nhiều điều khoản được thiết kế để hạn chế khả năng theo đuổi các đề nghị tốt hơn của hội đồng. Cùng ngày, hội đồng Frederick's phê duyệt thỏa thuận này và chấm dứt hiệu quả quá trình đấu thầu. Hai ngày sau, Knightsbridge mua thêm cổ phiếu Class A của Frederick's trên thị trường mở, với giá trung bình $8.21 mỗi cổ phiếu, qua đó nắm giữ đa số cả hai loại cổ phiếu của Frederick's.</w:t>
      </w:r>
    </w:p>
    <w:p>
      <w:pPr>
        <w:spacing w:after="80"/>
      </w:pPr>
      <w:r>
        <w:rPr>
          <w:b w:val="0"/>
          <w:i w:val="0"/>
        </w:rPr>
        <w:t>Ngày 11 tháng 9 năm 1997, Veritas tăng đề nghị tiền mặt lên $9.00 mỗi cổ phiếu. Dựa vào (1) điều khoản “không đàm phán” (no-talk) trong thỏa thuận sáp nhập, (2) ý định đã tuyên bố của Knightsbridge sẽ bỏ phiếu chống lại các đề nghị của bên thứ ba, và (3) yêu cầu của Veritas về một quyền chọn để pha loãng lợi ích của Knightsbridge, hội đồng đã từ chối đề nghị Veritas đã sửa đổi.</w:t>
      </w:r>
    </w:p>
    <w:p>
      <w:pPr>
        <w:spacing w:after="80"/>
      </w:pPr>
      <w:r>
        <w:rPr>
          <w:b w:val="0"/>
          <w:i w:val="0"/>
        </w:rPr>
        <w:t>Trước khi việc sáp nhập hoàn tất, các nguyên đơn đã nộp lên Tòa án Chancery đơn khiếu nại tập thể (class action complaint) được cho là tiền thân của đơn khiếu nại sửa đổi đang được xem xét trước chúng ta.</w:t>
      </w:r>
    </w:p>
    <w:p>
      <w:pPr>
        <w:spacing w:after="80"/>
      </w:pPr>
      <w:r>
        <w:rPr>
          <w:b w:val="0"/>
          <w:i w:val="0"/>
        </w:rPr>
        <w:t>Tòa án Chancery đã chấp thuận động thái của các giám đốc yêu cầu bác bỏ đơn khiếu nại sửa đổi theo Quy tắc Chancery 12(b)(6), kết luận rằng . . . điều khoản miễn trừ trách nhiệm (exculpatory provision) trong điều lệ của Frederick's loại trừ việc bồi thường thiệt hại bằng tiền đối với các giám đốc cho bất kỳ vi phạm nào về nghĩa vụ cẩn trọng (duty of care) của hội đồng. . . .</w:t>
      </w:r>
    </w:p>
    <w:p>
      <w:pPr>
        <w:spacing w:after="80"/>
      </w:pPr>
      <w:r>
        <w:rPr>
          <w:b w:val="0"/>
          <w:i w:val="0"/>
        </w:rPr>
        <w:t>Khiếu nại về Nghĩa vụ Cẩn trọng</w:t>
      </w:r>
    </w:p>
    <w:p>
      <w:pPr>
        <w:spacing w:after="80"/>
      </w:pPr>
      <w:r>
        <w:rPr>
          <w:b w:val="0"/>
          <w:i w:val="0"/>
        </w:rPr>
        <w:t>Sau khi kết luận rằng đơn khiếu nại đã được bác bỏ đúng đắn theo Quy tắc Chancery 12(b)(6) vì không nêu được khiếu nại mà tòa có thể cho phép khắc phục đối với các khiếu nại về nghĩa vụ ủy thác khác, giờ chúng ta chuyển sang khiếu nại về nghĩa vụ cẩn trọng. Vấn đề cẩn trọng chính là liệu hội đồng có sơ suất nghiêm trọng (grossly negligent), và do đó vi phạm nghĩa vụ cẩn trọng của mình, khi không triển khai một chiến lược phòng thủ thông thường có thể cho phép hội đồng đàm phán để có giá chào cao hơn hoặc tạo ra lợi thế chiến thuật để nâng cao giá trị cho cổ đông hay không.</w:t>
      </w:r>
    </w:p>
    <w:p>
      <w:pPr>
        <w:spacing w:after="80"/>
      </w:pPr>
      <w:r>
        <w:rPr>
          <w:b w:val="0"/>
          <w:i w:val="0"/>
        </w:rPr>
        <w:t>Trong trường hợp này, chiến lược thông thường đó sẽ là việc các giám đốc sử dụng một viên thuốc độc (poison pill) để đẩy lùi các bước tiến của Knightsbridge và qua đó ngăn Knightsbridge chặn đứng quá trình đấu thầu. Nếu họ đã làm vậy, các nguyên đơn dường như cáo buộc rằng các giám đốc có thể đã bảo toàn được các lựa chọn phù hợp cho một quá trình đấu thầu được thiết kế để đạt giá trị tốt nhất cho các cổ đông.</w:t>
      </w:r>
    </w:p>
    <w:p>
      <w:pPr>
        <w:spacing w:after="80"/>
      </w:pPr>
      <w:r>
        <w:rPr>
          <w:b w:val="0"/>
          <w:i w:val="0"/>
        </w:rPr>
        <w:t>Diễn giải đơn kiện sửa đổi theo hướng có lợi nhất cho các nguyên đơn, có thể hiểu rằng họ cáo buộc hội đồng quản trị đã cẩu thả nghiêm trọng (grossly negligent) khi ngay lập tức chấp nhận đề nghị của Knightsbridge và đồng ý với nhiều hạn chế khác nhau đối với các cuộc đàm phán tiếp theo mà không trước tiên xác định liệu Veritas có đưa ra đề nghị đối ứng hay không. Mặc dù hội đồng quản trị đã tiến hành tìm kiếm người mua trong hơn một năm, các nguyên đơn dường như cho rằng hội đồng quản trị đã thiếu thận trọng và vội vàng khi đồng ý một thỏa thuận sáp nhập đầy hạn chế ngay trong ngày nó được đề xuất—đặc biệt là khi các nhà thầu khác gần đây đã bày tỏ sự quan tâm. Mặc dù sự vội vàng của hội đồng quản trị, tự nó, có thể không cấu thành vi phạm nghĩa vụ cẩn trọng (duty of care) của hội đồng quản trị vì hội đồng quản trị đã tiến hành một quy trình bán kéo dài, các nguyên đơn lập luận rằng quyết định của hội đồng quản trị chấp nhận những hạn chế hợp đồng được cho là cực đoan đã ảnh hưởng đến khả năng đạt được giá bán cao hơn của hội đồng quản trị. Nhận thấy rằng, xét cho cùng, các nguyên đơn sẽ phải đối mặt với một cuộc chiến khó khăn để vượt qua giả định của quy tắc phán đoán kinh doanh (business judgment rule), chúng ta phải dành cho các nguyên đơn lợi ích của sự nghi ngờ ở giai đoạn lập luận kiện tụng (pleading stage) này để xác định liệu họ có đưa ra được một khiếu nại về nghĩa vụ cẩn trọng hay không. Tuy nhiên, do quyết định cuối cùng của chúng ta, chúng ta không cần phải giải quyết dứt khoát câu hỏi này trong vụ án này.</w:t>
      </w:r>
    </w:p>
    <w:p>
      <w:pPr>
        <w:spacing w:after="80"/>
      </w:pPr>
      <w:r>
        <w:rPr>
          <w:b w:val="0"/>
          <w:i w:val="0"/>
        </w:rPr>
        <w:t>Do đó, chúng ta giả định, mà không phán quyết, rằng một khiếu nại đòi bồi thường dựa trên sự cẩu thả nghiêm trọng trong quá trình đấu giá của hội đồng quản trị được đưa ra bởi những suy luận có lợi nhất cho các nguyên đơn xuất phát từ những cáo buộc này. Vấn đề sau đó trở thành liệu đơn kiện sửa đổi có thể bị bác bỏ theo động thái Rule 12(b)(6) hay không do sự tồn tại và hiệu lực pháp lý của điều khoản miễn trừ trách nhiệm (exculpatory provision) trong . . . điều lệ công ty (certificate of incorporation) của Frederick, được thông qua theo § 102(b)(7). Điều khoản đó sẽ miễn trừ các giám đốc khỏi trách nhiệm cá nhân về bồi thường thiệt hại với một số ngoại lệ nhất định (</w:t>
      </w:r>
      <w:r>
        <w:rPr>
          <w:b w:val="0"/>
          <w:i/>
        </w:rPr>
        <w:t>ví dụ</w:t>
      </w:r>
      <w:r>
        <w:rPr>
          <w:b w:val="0"/>
          <w:i w:val="0"/>
        </w:rPr>
        <w:t xml:space="preserve"> , vi phạm nghĩa vụ trung thành (duty of loyalty)) không áp dụng ở đây.</w:t>
      </w:r>
    </w:p>
    <w:p>
      <w:pPr>
        <w:spacing w:after="80"/>
      </w:pPr>
      <w:r>
        <w:rPr>
          <w:b w:val="0"/>
          <w:i w:val="0"/>
        </w:rPr>
        <w:t xml:space="preserve">Áp dụng </w:t>
      </w:r>
      <w:r>
        <w:rPr>
          <w:b w:val="0"/>
          <w:i/>
        </w:rPr>
        <w:t>Emerald Partners</w:t>
      </w:r>
    </w:p>
    <w:p>
      <w:pPr>
        <w:spacing w:after="80"/>
      </w:pPr>
      <w:r>
        <w:rPr>
          <w:b w:val="0"/>
          <w:i w:val="0"/>
        </w:rPr>
        <w:t xml:space="preserve">Bây giờ chúng ta giải quyết lập luận của các nguyên đơn rằng tòa án cấp sơ thẩm đã mắc lỗi, dựa trên một số ngôn từ trong </w:t>
      </w:r>
      <w:r>
        <w:rPr>
          <w:b w:val="0"/>
          <w:i/>
        </w:rPr>
        <w:t>Emerald Partners</w:t>
      </w:r>
      <w:r>
        <w:rPr>
          <w:b w:val="0"/>
          <w:i w:val="0"/>
        </w:rPr>
        <w:t xml:space="preserve"> , khi ngăn chặn các khiếu nại về nghĩa vụ cẩn trọng của họ. Các lập luận của nguyên đơn về điểm này dựa trên một tiền đề sai lầm, và quyết định của chúng ta ở đây không mâu thuẫn với </w:t>
      </w:r>
      <w:r>
        <w:rPr>
          <w:b w:val="0"/>
          <w:i/>
        </w:rPr>
        <w:t>Emerald Partners.</w:t>
      </w:r>
    </w:p>
    <w:p>
      <w:pPr>
        <w:spacing w:after="80"/>
      </w:pPr>
      <w:r>
        <w:rPr>
          <w:b w:val="0"/>
          <w:i w:val="0"/>
        </w:rPr>
        <w:t xml:space="preserve">Trong </w:t>
      </w:r>
      <w:r>
        <w:rPr>
          <w:b w:val="0"/>
          <w:i/>
        </w:rPr>
        <w:t>Emerald Partners</w:t>
      </w:r>
      <w:r>
        <w:rPr>
          <w:b w:val="0"/>
          <w:i w:val="0"/>
        </w:rPr>
        <w:t xml:space="preserve"> , chúng ta đã đưa ra hai điểm quan trọng về việc viện dẫn các điều khoản điều lệ theo Mục 102(b)(7). Đầu tiên chúng ta nói: "[L]á chắn khỏi trách nhiệm pháp lý được cung cấp bởi một điều khoản điều lệ công ty được thông qua theo § 102(b)(7) mang tính chất của một biện pháp phòng vệ khẳng định (affirmative defense)." Thứ hai, chúng ta nói: "[K]hi cơ sở thực tế cho một khiếu nại </w:t>
      </w:r>
      <w:r>
        <w:rPr>
          <w:b w:val="0"/>
          <w:i/>
        </w:rPr>
        <w:t>chỉ</w:t>
      </w:r>
      <w:r>
        <w:rPr>
          <w:b w:val="0"/>
          <w:i w:val="0"/>
        </w:rPr>
        <w:t xml:space="preserve"> liên quan đến vi phạm nghĩa vụ cẩn trọng, tòa án này đã chỉ ra rằng các biện pháp bảo vệ của một điều khoản điều lệ như vậy có thể được viện dẫn và áp dụng một cách hợp lý." [lược bỏ trích dẫn]</w:t>
      </w:r>
    </w:p>
    <w:p>
      <w:pPr>
        <w:spacing w:after="80"/>
      </w:pPr>
      <w:r>
        <w:rPr>
          <w:b w:val="0"/>
          <w:i w:val="0"/>
        </w:rPr>
        <w:t xml:space="preserve">Dựa trên ngôn từ này trong </w:t>
      </w:r>
      <w:r>
        <w:rPr>
          <w:b w:val="0"/>
          <w:i/>
        </w:rPr>
        <w:t>Emerald Partners</w:t>
      </w:r>
      <w:r>
        <w:rPr>
          <w:b w:val="0"/>
          <w:i w:val="0"/>
        </w:rPr>
        <w:t xml:space="preserve"> , các nguyên đơn đưa ra hai lập luận. Đầu tiên, họ lập luận rằng Tòa án Chancery trong vụ án này lẽ ra không nên bác bỏ các khiếu nại về nghĩa vụ cẩn trọng của họ vì những khiếu nại này gắn bó chặt chẽ với, và do đó không thể tách rời khỏi, các khiếu nại về nghĩa vụ trung thành và hành vi thiếu thiện chí (bad faith). Thứ hai, các nguyên đơn cho rằng Tòa án Chancery đã giao sai cho họ nghĩa vụ đưa ra bằng chứng.</w:t>
      </w:r>
    </w:p>
    <w:p>
      <w:pPr>
        <w:spacing w:after="80"/>
      </w:pPr>
      <w:r>
        <w:rPr>
          <w:b w:val="0"/>
          <w:i w:val="0"/>
        </w:rPr>
        <w:t>Tòa án Chancery đã đúng khi bác bỏ các khiếu nại chỉ dựa trên nghĩa vụ cẩn trọng</w:t>
      </w:r>
    </w:p>
    <w:p>
      <w:pPr>
        <w:spacing w:after="80"/>
      </w:pPr>
      <w:r>
        <w:rPr>
          <w:b w:val="0"/>
          <w:i w:val="0"/>
        </w:rPr>
        <w:t xml:space="preserve">Các nguyên đơn ở đây, mặc dù không thừa nhận rằng điều khoản điều lệ theo Mục 102(b)(7) có thể được xem xét trong động thái Rule 12(b)(6) này, tuy nhiên, trên thực tế, đã thừa nhận trong phần tranh luận tại Tòa án Chancery và tương tự trong phần tranh luận tại Tòa án này rằng nếu một đơn kiện khẳng định một cách rõ ràng và duy nhất chỉ một khiếu nại về nghĩa vụ cẩn trọng, thì đơn kiện đó có thể bị bác bỏ một khi điều khoản Mục 102(b)(7) của công ty được viện dẫn. Sự thừa nhận này phù hợp với phán quyết của chúng ta trong </w:t>
      </w:r>
      <w:r>
        <w:rPr>
          <w:b w:val="0"/>
          <w:i/>
        </w:rPr>
        <w:t>Emerald Partners</w:t>
      </w:r>
      <w:r>
        <w:rPr>
          <w:b w:val="0"/>
          <w:i w:val="0"/>
        </w:rPr>
        <w:t xml:space="preserve"> được trích dẫn ở trên.</w:t>
      </w:r>
    </w:p>
    <w:p>
      <w:pPr>
        <w:spacing w:after="80"/>
      </w:pPr>
      <w:r>
        <w:rPr>
          <w:b w:val="0"/>
          <w:i w:val="0"/>
        </w:rPr>
        <w:t>Tuy nhiên, các nguyên đơn đã tranh luận mạnh mẽ rằng điều khoản điều lệ theo Mục 102(b)(7) không áp dụng để ngăn chặn các khiếu nại của họ trong vụ án này vì đơn kiện sửa đổi cáo buộc vi phạm nghĩa vụ trung thành và các khiếu nại khác không bị điều khoản điều lệ ngăn chặn. Kết quả là, các nguyên đơn cho rằng, vụ án này không thể được thu gọn chỉ thành một vụ án về nghĩa vụ cẩn trọng. Họ lập luận, trên thực tế, rằng đơn kiện của họ được lập luận đầy đủ đến mức—</w:t>
      </w:r>
      <w:r>
        <w:rPr>
          <w:b w:val="0"/>
          <w:i/>
        </w:rPr>
        <w:t>như một vấn đề pháp lý</w:t>
      </w:r>
      <w:r>
        <w:rPr>
          <w:b w:val="0"/>
          <w:i w:val="0"/>
        </w:rPr>
        <w:t xml:space="preserve"> —các khiếu nại về nghĩa vụ cẩn trọng gắn bó chặt chẽ không thể tách rời với các khiếu nại về nghĩa vụ trung thành và hành vi thiếu thiện chí đến mức Mục 102(b)(7) không phải là rào cản đối với việc đòi bồi thường thiệt hại từ các giám đốc đó.</w:t>
      </w:r>
    </w:p>
    <w:p>
      <w:pPr>
        <w:spacing w:after="80"/>
      </w:pPr>
      <w:r>
        <w:rPr>
          <w:b w:val="0"/>
          <w:i w:val="0"/>
        </w:rPr>
        <w:t>Chúng ta không đồng ý. Chính các nguyên đơn có nghĩa vụ đưa ra "một tuyên bố ngắn gọn và rõ ràng về khiếu nại cho thấy người khởi kiện có quyền được hưởng biện pháp khắc phục." Các nguyên đơn được hưởng tất cả các suy luận hợp lý xuất phát từ lập luận kiện tụng của họ, nhưng nếu những suy luận đó không hỗ trợ một khiếu nại pháp lý hợp lệ, thì đơn kiện nên bị bác bỏ mà không cần các bị đơn phải nộp bản trả lời và không cần tiến hành giai đoạn thu thập chứng cứ (discovery). Ở đây, chúng ta đã giả định, mà không phán quyết, rằng đơn kiện sửa đổi trên bề mặt của nó nêu ra một khiếu nại về nghĩa vụ cẩn trọng. Vì chúng ta đã xác định rằng đơn kiện không viện dẫn đúng cách các khiếu nại về nghĩa vụ trung thành và hành vi thiếu thiện chí, chúng ta chỉ còn lại một khiếu nại về nghĩa vụ cẩn trọng. Các bị đơn có nghĩa vụ viện dẫn rào cản của Mục 102(b)(7) như một biện pháp phòng vệ, và họ đã làm như vậy. Như các nguyên đơn đã thừa nhận trong phần tranh luận tại tòa án này, nếu chỉ có một khiếu nại về nghĩa vụ cẩn trọng còn lại rõ ràng và duy nhất và không có gì khác—</w:t>
      </w:r>
      <w:r>
        <w:rPr>
          <w:b w:val="0"/>
          <w:i/>
        </w:rPr>
        <w:t>như một vấn đề pháp lý</w:t>
      </w:r>
      <w:r>
        <w:rPr>
          <w:b w:val="0"/>
          <w:i w:val="0"/>
        </w:rPr>
        <w:t xml:space="preserve"> —thì Mục 102(b)(7) sẽ ngăn chặn khiếu nại đó. Theo đó, Tòa án Chancery đã không mắc lỗi khi bác bỏ khiếu nại về nghĩa vụ cẩn trọng của các nguyên đơn trong vụ án này.</w:t>
      </w:r>
    </w:p>
    <w:p>
      <w:pPr>
        <w:spacing w:after="80"/>
      </w:pPr>
      <w:r>
        <w:rPr>
          <w:b w:val="0"/>
          <w:i w:val="0"/>
        </w:rPr>
        <w:t>Tòa án Chancery đã áp dụng đúng</w:t>
      </w:r>
      <w:r>
        <w:br/>
      </w:r>
      <w:r>
        <w:rPr>
          <w:b w:val="0"/>
          <w:i w:val="0"/>
        </w:rPr>
        <w:t xml:space="preserve"> Nghĩa vụ chứng minh tương ứng của các bên</w:t>
      </w:r>
    </w:p>
    <w:p>
      <w:pPr>
        <w:spacing w:after="80"/>
      </w:pPr>
      <w:r>
        <w:rPr>
          <w:b w:val="0"/>
          <w:i w:val="0"/>
        </w:rPr>
        <w:t>Các nguyên đơn cũng khẳng định rằng tòa án cấp sơ thẩm trong vụ án trước chúng ta đã đặt sai lên các nguyên đơn nghĩa vụ lập luận kiện tụng để phủ nhận các yếu tố của điều khoản điều lệ 102(b)(7).</w:t>
      </w:r>
    </w:p>
    <w:p>
      <w:pPr>
        <w:spacing w:after="80"/>
      </w:pPr>
      <w:r>
        <w:rPr>
          <w:b w:val="0"/>
          <w:i w:val="0"/>
        </w:rPr>
        <w:t>Nhưng chúng ta đã phán quyết rằng đơn kiện sửa đổi ở đây không cáo buộc vi phạm nghĩa vụ trung thành hay vi phạm khác thuộc các ngoại lệ của điều khoản miễn trừ trách nhiệm theo Mục 102(b)(7). Tương tự, chúng ta đã phán quyết rằng, ngay cả khi các nguyên đơn đã nêu ra một khiếu nại về sự cẩu thả nghiêm trọng, một khiếu nại được lập luận đầy đủ như vậy cũng không có hiệu lực vì các bị đơn đã đưa ra điều khoản điều lệ theo Mục 102(b)(7) ngăn chặn những khiếu nại như vậy. Đây là kết thúc của vụ án.</w:t>
      </w:r>
    </w:p>
    <w:p>
      <w:pPr>
        <w:spacing w:after="80"/>
      </w:pPr>
      <w:r>
        <w:rPr>
          <w:b w:val="0"/>
          <w:i w:val="0"/>
        </w:rPr>
        <w:t xml:space="preserve">Và điều đó là đúng đắn, xét về chính sách công của tiểu bang này. Mục 102(b)(7) đã được Đại hội đồng Delaware thông qua vào năm 1986 sau một cuộc khủng hoảng trách nhiệm bảo hiểm của các giám đốc và cán bộ, và sau phán quyết năm 1985 của Tòa án Tối cao Delaware trong vụ </w:t>
      </w:r>
      <w:r>
        <w:rPr>
          <w:b w:val="0"/>
          <w:i/>
        </w:rPr>
        <w:t>Smith v. Van Gorkom.</w:t>
      </w:r>
      <w:r>
        <w:rPr>
          <w:b w:val="0"/>
          <w:i w:val="0"/>
        </w:rPr>
        <w:t xml:space="preserve"> Mục đích của đạo luật này là cho phép các cổ đông thông qua một điều khoản trong điều lệ công ty để giải phóng các giám đốc khỏi trách nhiệm cá nhân về bồi thường thiệt hại đối với các vi phạm nghĩa vụ cẩn trọng, nhưng không phải đối với các vi phạm nghĩa vụ trung thành, các khiếu nại về hành vi thiếu thiện chí, và một số hành vi khác. Một điều khoản điều lệ như vậy, khi được thông qua, sẽ không ảnh hưởng đến các thủ tục lệnh cấm (injunctive proceedings) dựa trên sự cẩu thả nghiêm trọng. Một khi đạo luật được thông qua, các cổ đông thường chấp thuận các sửa đổi điều lệ chứa những điều khoản này vì nó giải phóng các giám đốc để chấp nhận rủi ro kinh doanh mà không phải lo lắng về các vụ kiện do sơ suất.</w:t>
      </w:r>
    </w:p>
    <w:p>
      <w:pPr>
        <w:spacing w:after="80"/>
      </w:pPr>
      <w:r>
        <w:rPr>
          <w:b w:val="0"/>
          <w:i w:val="0"/>
        </w:rPr>
        <w:t>Án lệ của chúng ta kể từ khi đạo luật được thông qua đã liên tục khẳng định quan điểm rằng một điều khoản điều lệ theo Mục 102(b)(7) ngăn chặn một khiếu nại được xác định chỉ nêu ra vi phạm nghĩa vụ cẩn trọng. Vì chúng ta đã giả định rằng đơn kiện sửa đổi ở đây thực sự nêu ra một khiếu nại về nghĩa vụ cẩn trọng, sự miễn trừ trách nhiệm được đạo luật dành cho phải được các giám đốc bị đơn viện dẫn một cách khẳng định. Các giám đốc đã làm như vậy trong vụ án này, và Tòa án Chancery đã áp dụng đúng điều khoản điều lệ của Frederick để bác bỏ khiếu nại về nghĩa vụ cẩn trọng của các nguyên đơn.</w:t>
      </w:r>
    </w:p>
    <w:p>
      <w:pPr>
        <w:spacing w:after="80"/>
      </w:pPr>
      <w:r>
        <w:rPr>
          <w:b w:val="0"/>
          <w:i w:val="0"/>
        </w:rPr>
        <w:t>Kết luận</w:t>
      </w:r>
    </w:p>
    <w:p>
      <w:pPr>
        <w:spacing w:after="80"/>
      </w:pPr>
      <w:r>
        <w:rPr>
          <w:b w:val="0"/>
          <w:i w:val="0"/>
        </w:rPr>
        <w:t>Chúng tôi đã kết luận rằng . . . đơn khiếu nại sửa đổi không đưa ra đủ cáo buộc về việc hội đồng quản trị của Frederick vi phạm nghĩa vụ trung thành hay nghĩa vụ công bố thông tin . . . [và] điều khoản miễn trừ trách nhiệm trong điều lệ của Frederick có hiệu lực ngăn chặn các yêu cầu bồi thường thiệt hại bằng tiền đối với các giám đốc do hành vi vi phạm nghĩa vụ cẩn trọng của hội đồng quản trị bị cáo buộc. . . . Theo đó, chúng tôi giữ nguyên phán quyết của Tòa án Chancery về việc bác bỏ đơn khiếu nại sửa đổi đối với hội đồng quản trị của Frederick và Knightsbridge.</w:t>
      </w:r>
    </w:p>
    <w:p>
      <w:pPr>
        <w:pStyle w:val="Heading5"/>
      </w:pPr>
      <w:r>
        <w:rPr>
          <w:rFonts w:ascii="Calibri" w:hAnsi="Calibri"/>
          <w:b/>
          <w:i/>
          <w:sz w:val="22"/>
        </w:rPr>
        <w:t>Bình luận và Câu hỏi</w:t>
      </w:r>
    </w:p>
    <w:p>
      <w:pPr>
        <w:spacing w:after="80"/>
      </w:pPr>
      <w:r>
        <w:rPr>
          <w:b w:val="0"/>
          <w:i w:val="0"/>
        </w:rPr>
        <w:t>1. Tòa án Tối cao Delaware dường như thừa nhận rằng trừ khi các giám đốc bị đơn đã không hành động thiện chí hoặc vi phạm nghĩa vụ trung thành của họ, Điều 102(b)(7) sẽ bảo vệ họ khỏi trách nhiệm bồi thường thiệt hại bằng tiền và không cần xét xử về vấn đề hoàn toàn công bằng, ngay cả khi vi phạm nghĩa vụ cẩn trọng sẽ bác bỏ quy tắc phán đoán kinh doanh. Liệu phán quyết này có làm cho nghĩa vụ cẩn trọng không thể thực thi được, xét trên thực tế gần như tất cả các công ty Delaware, như sẽ thảo luận dưới đây, đều đã thông qua các điều khoản miễn trừ trách nhiệm trong điều lệ theo Điều 102(b)(7)?</w:t>
      </w:r>
    </w:p>
    <w:p>
      <w:pPr>
        <w:spacing w:after="80"/>
      </w:pPr>
      <w:r>
        <w:rPr>
          <w:b w:val="0"/>
          <w:i w:val="0"/>
        </w:rPr>
        <w:t>2. Khi một công ty đã thông qua điều khoản miễn trừ trách nhiệm trong điều lệ, các cổ đông tìm cách buộc các giám đốc công ty phải chịu trách nhiệm về hành vi sai trái thường sẽ lập luận rằng một trong các ngoại lệ luật định đối với việc miễn trừ trách nhiệm được áp dụng. Thường thì nguyên đơn sẽ viện dẫn ngoại lệ đối với các hành vi hoặc thiếu sót không được thực hiện một cách thiện chí; quan trọng là, thiện chí không được định nghĩa trong luật, và các tòa án cũng chưa đưa ra định nghĩa có thẩm quyền nào về thiện chí. Liệu thiện chí chỉ đơn thuần là sự vắng mặt của ác ý? Pháp luật nên phân biệt giữa sự thiếu cẩn trọng và các hành vi không được thực hiện một cách thiện chí như thế nào? Thiện chí khác biệt với trung thành ra sao? Những lợi ích và bất lợi của việc để các tòa án định nghĩa thiện chí theo từng trường hợp cụ thể là gì?</w:t>
      </w:r>
    </w:p>
    <w:p>
      <w:pPr>
        <w:spacing w:after="80"/>
      </w:pPr>
      <w:r>
        <w:rPr>
          <w:b w:val="0"/>
          <w:i w:val="0"/>
        </w:rPr>
        <w:t>3. Điều 102(b)(7) bảo vệ các giám đốc khỏi trách nhiệm khi vi phạm một số nghĩa vụ ủy thác nhất định, nhưng luật này không loại bỏ nghĩa vụ cẩn trọng của giám đốc. Do đó, “[n]hững giám đốc có hành động không đáp ứng được tiêu chuẩn xem xét áp dụng đã vi phạm nghĩa vụ ủy thác của họ, ngay cả khi họ không phải chịu trách nhiệm bồi thường thiệt hại khi việc miễn trừ trách nhiệm được áp dụng.” Đây có phải là sự phân biệt không có khác biệt? Liệu một công ty hoặc các cổ đông của nó có thể theo đuổi các biện pháp khắc phục công bằng đối với các giám đốc đã vi phạm nghĩa vụ cẩn trọng không? Trong những trường hợp nào một công ty bị thiệt hại có thể kiện để yêu cầu biện pháp khắc phục công bằng? Những biện pháp khắc phục công bằng nào có thể mang lại sự khắc phục có ý nghĩa cho công ty?</w:t>
      </w:r>
    </w:p>
    <w:p>
      <w:pPr>
        <w:spacing w:after="80"/>
      </w:pPr>
      <w:r>
        <w:rPr>
          <w:b w:val="0"/>
          <w:i w:val="0"/>
        </w:rPr>
        <w:t xml:space="preserve">4. Vài tháng sau phán quyết trong vụ </w:t>
      </w:r>
      <w:r>
        <w:rPr>
          <w:b w:val="0"/>
          <w:i/>
        </w:rPr>
        <w:t>Malpiede</w:t>
      </w:r>
      <w:r>
        <w:rPr>
          <w:b w:val="0"/>
          <w:i w:val="0"/>
        </w:rPr>
        <w:t xml:space="preserve"> , Tòa án Tối cao Delaware đã xét xử kháng cáo lần thứ ba trong vụ kiện </w:t>
      </w:r>
      <w:r>
        <w:rPr>
          <w:b w:val="0"/>
          <w:i/>
        </w:rPr>
        <w:t>Emerald Partners v. Berlin</w:t>
      </w:r>
      <w:r>
        <w:rPr>
          <w:b w:val="0"/>
          <w:i w:val="0"/>
        </w:rPr>
        <w:t xml:space="preserve"> (“</w:t>
      </w:r>
      <w:r>
        <w:rPr>
          <w:b w:val="0"/>
          <w:i/>
        </w:rPr>
        <w:t>Emerald Partners III</w:t>
      </w:r>
      <w:r>
        <w:rPr>
          <w:b w:val="0"/>
          <w:i w:val="0"/>
        </w:rPr>
        <w:t xml:space="preserve"> ” ). Ở đó, cổ đông kiểm soát đã bị loại khỏi vụ kiện ở giai đoạn đầu của tố tụng (do phá sản), chỉ còn lại các giám đốc không có quyền lợi liên quan phải chứng minh rằng giao dịch bị thách thức là hoàn toàn công bằng. Tòa án Tối cao đã phán quyết rằng ngay cả khi các giám đốc không có quyền lợi liên quan được bảo vệ đầy đủ theo điều khoản miễn trừ trách nhiệm trong điều lệ, tòa án sơ thẩm vẫn “được yêu cầu áp dụng tiêu chuẩn xem xét công bằng hoàn toàn ngay từ đầu tại phiên xét xử,” và trong trường hợp như vậy, “việc xác định rằng các giám đốc bị đơn được miễn trừ khỏi việc thanh toán thiệt hại bằng tiền chỉ có thể được thực hiện sau khi cơ sở cho trách nhiệm của họ đã được quyết định.” Phán quyết </w:t>
      </w:r>
      <w:r>
        <w:rPr>
          <w:b w:val="0"/>
          <w:i/>
        </w:rPr>
        <w:t>Emerald Partners</w:t>
      </w:r>
      <w:r>
        <w:rPr>
          <w:b w:val="0"/>
          <w:i w:val="0"/>
        </w:rPr>
        <w:t xml:space="preserve"> giải thích rằng nếu công bằng hoàn toàn là tiêu chuẩn xem xét được áp dụng, thì “tổn thất hoặc thiệt hại chỉ trở thành trọng tâm thích hợp sau khi một giao dịch được xác định là không hoàn toàn công bằng” và do đó, “hiệu lực miễn trừ trách nhiệm của một điều khoản theo Điều 102(b)(7) chỉ trở thành trọng tâm thích hợp của sự xem xét tư pháp sau khi trách nhiệm cá nhân tiềm tàng của các giám đốc đối với việc thanh toán thiệt hại bằng tiền đã được xác lập.”</w:t>
      </w:r>
    </w:p>
    <w:p>
      <w:pPr>
        <w:spacing w:after="80"/>
      </w:pPr>
      <w:r>
        <w:rPr>
          <w:b w:val="0"/>
          <w:i w:val="0"/>
        </w:rPr>
        <w:t xml:space="preserve">5. Các luật sư hành nghề và các nhà bình luận nhận thấy rằng </w:t>
      </w:r>
      <w:r>
        <w:rPr>
          <w:b w:val="0"/>
          <w:i/>
        </w:rPr>
        <w:t>Emerald Partners III</w:t>
      </w:r>
      <w:r>
        <w:rPr>
          <w:b w:val="0"/>
          <w:i w:val="0"/>
        </w:rPr>
        <w:t xml:space="preserve"> có thể được hiểu là mâu thuẫn với phán quyết trong vụ </w:t>
      </w:r>
      <w:r>
        <w:rPr>
          <w:b w:val="0"/>
          <w:i/>
        </w:rPr>
        <w:t>Malpiede</w:t>
      </w:r>
      <w:r>
        <w:rPr>
          <w:b w:val="0"/>
          <w:i w:val="0"/>
        </w:rPr>
        <w:t xml:space="preserve"> , khiến các giám đốc không có quyền lợi liên quan viện dẫn việc miễn trừ trách nhiệm bị bất lợi hơn về mặt thủ tục so với các giám đốc không có quyền lợi liên quan đã bỏ qua biện pháp bảo vệ khẳng định này trong câu trả lời của họ. Các bị đơn lập luận rằng phán quyết </w:t>
      </w:r>
      <w:r>
        <w:rPr>
          <w:b w:val="0"/>
          <w:i/>
        </w:rPr>
        <w:t>Emerald Partners III</w:t>
      </w:r>
      <w:r>
        <w:rPr>
          <w:b w:val="0"/>
          <w:i w:val="0"/>
        </w:rPr>
        <w:t xml:space="preserve"> cho phép các đơn khiếu nại không có căn cứ vượt qua các đề nghị bác bỏ đơn kiện được </w:t>
      </w:r>
      <w:r>
        <w:rPr>
          <w:b w:val="0"/>
          <w:i/>
        </w:rPr>
        <w:t>Malpiede</w:t>
      </w:r>
      <w:r>
        <w:rPr>
          <w:b w:val="0"/>
          <w:i w:val="0"/>
        </w:rPr>
        <w:t xml:space="preserve"> cho phép, kéo dài tố tụng tốn kém. Trong gần mười lăm năm sau </w:t>
      </w:r>
      <w:r>
        <w:rPr>
          <w:b w:val="0"/>
          <w:i/>
        </w:rPr>
        <w:t>Emerald Partners III</w:t>
      </w:r>
      <w:r>
        <w:rPr>
          <w:b w:val="0"/>
          <w:i w:val="0"/>
        </w:rPr>
        <w:t xml:space="preserve"> , các bên tranh tụng đã tranh chấp về tiêu chuẩn lập luận áp dụng cho các yêu cầu bồi thường thiệt hại bằng tiền của cổ đông thiểu số, cáo buộc rằng các giám đốc ủy thác không có quyền lợi liên quan đã vi phạm nghĩa vụ của họ bằng cách đàm phán, phê duyệt hoặc bằng cách khác tạo điều kiện cho các thương vụ của cổ đông kiểm soát (ví dụ, bằng cách phục vụ trong một ủy ban đặc biệt được giao nhiệm vụ đàm phán giao dịch thay mặt cho công ty). Các bị đơn khẳng định rằng nguyên đơn phải lập luận các sự kiện cụ thể làm nảy sinh suy luận rằng mỗi giám đốc bị đơn không có quyền lợi liên quan đã vi phạm một nghĩa vụ không được miễn trừ trách nhiệm. Nguyên đơn không đồng ý, lập luận rằng, theo </w:t>
      </w:r>
      <w:r>
        <w:rPr>
          <w:b w:val="0"/>
          <w:i/>
        </w:rPr>
        <w:t>Emerald Partners III</w:t>
      </w:r>
      <w:r>
        <w:rPr>
          <w:b w:val="0"/>
          <w:i w:val="0"/>
        </w:rPr>
        <w:t xml:space="preserve"> , họ chỉ cần lập luận rằng (1) cổ đông kiểm soát đứng ở cả hai phía của giao dịch, (2) giao dịch với cổ đông kiểm soát không hoàn toàn công bằng đối với cổ đông thiểu số, và (3) các giám đốc bị đơn không có quyền lợi liên quan đã đàm phán hoặc tạo điều kiện cho thương vụ.</w:t>
      </w:r>
    </w:p>
    <w:p>
      <w:pPr>
        <w:spacing w:after="80"/>
      </w:pPr>
      <w:r>
        <w:rPr>
          <w:b w:val="0"/>
          <w:i w:val="0"/>
        </w:rPr>
        <w:t xml:space="preserve">Tòa án Tối cao Delaware cuối cùng đã giải quyết tranh chấp, đứng về phía các giám đốc bị đơn không có quyền lợi liên quan trong phán quyết năm 2015 </w:t>
      </w:r>
      <w:r>
        <w:rPr>
          <w:b w:val="0"/>
          <w:i/>
        </w:rPr>
        <w:t>In re Cornerstone Therapeutics</w:t>
      </w:r>
      <w:r>
        <w:rPr>
          <w:b w:val="0"/>
          <w:i w:val="0"/>
        </w:rPr>
        <w:t xml:space="preserve"> . Trong vụ đó, một cổ đông thiểu số phản đối việc công ty bị cổ đông kiểm soát thâu tóm và đã kiện không chỉ cổ đông kiểm soát đó và các giám đốc liên kết với người kiểm soát mà còn cả các giám đốc không có quyền lợi liên quan, những người đã phục vụ trong một ủy ban đặc biệt đàm phán với người kiểm soát và phê duyệt thương vụ cuối cùng. Chấp nhận kháng cáo giữa kỳ của các bị đơn và đảo ngược Tòa án Chancery, Tòa án Tối cao phán quyết rằng để lập luận các yêu cầu có thể thụ lý được đối với các giám đốc không có quyền lợi liên quan được bảo vệ bởi điều khoản miễn trừ trách nhiệm, nguyên đơn phải cáo buộc rằng mỗi bị đơn đã vi phạm các nghĩa vụ không được miễn trừ trách nhiệm, bất kể tiêu chuẩn cơ bản được sử dụng để xem xét giao dịch đang tranh chấp. Cụ thể, nguyên đơn phải lập luận các sự kiện hỗ trợ một suy luận hợp lý rằng mỗi giám đốc bị đơn “nuôi dưỡng tư lợi xung đột với lợi ích của cổ đông, hành động để thúc đẩy tư lợi của một bên có quyền lợi liên quan mà [người đó] không thể được coi là hành động độc lập với họ, hoặc hành động với ác ý.” Tòa án đã phân biệt </w:t>
      </w:r>
      <w:r>
        <w:rPr>
          <w:b w:val="0"/>
          <w:i/>
        </w:rPr>
        <w:t>Emerald Partners III</w:t>
      </w:r>
      <w:r>
        <w:rPr>
          <w:b w:val="0"/>
          <w:i w:val="0"/>
        </w:rPr>
        <w:t xml:space="preserve"> và giới hạn phán quyết của mình cho các trường hợp liên quan đến một “yêu cầu trung thành khả thi, không được miễn trừ trách nhiệm” đối với một giám đốc không có quyền lợi liên quan.</w:t>
      </w:r>
    </w:p>
    <w:p>
      <w:pPr>
        <w:spacing w:after="80"/>
      </w:pPr>
      <w:r>
        <w:rPr>
          <w:b w:val="0"/>
          <w:i w:val="0"/>
        </w:rPr>
        <w:t>Nguyên đơn có thể điều tra những yêu cầu không được miễn trừ trách nhiệm nào đối với các giám đốc không có quyền lợi liên quan? Ở giai đoạn lập luận, làm thế nào nguyên đơn có thể phát hiện ra các sự kiện làm nảy sinh những yêu cầu không được miễn trừ trách nhiệm như vậy?</w:t>
      </w:r>
    </w:p>
    <w:p>
      <w:pPr>
        <w:spacing w:after="80"/>
      </w:pPr>
      <w:r>
        <w:rPr>
          <w:b w:val="0"/>
          <w:i w:val="0"/>
        </w:rPr>
        <w:t>—————</w:t>
      </w:r>
    </w:p>
    <w:p>
      <w:pPr>
        <w:spacing w:after="80"/>
      </w:pPr>
      <w:r>
        <w:rPr>
          <w:b w:val="0"/>
          <w:i w:val="0"/>
        </w:rPr>
        <w:t>Điều 102(b)(7) cho phép các công ty Delaware bảo vệ các giám đốc của họ khỏi một số trách nhiệm nhất định, nhưng luật này không bắt buộc họ phải làm như vậy. Các công ty có thể “chọn tham gia” vào cơ chế miễn trừ trách nhiệm, toàn phần hoặc một phần, bằng cách sửa đổi điều lệ công ty, một hành động cần có sự chấp thuận của cổ đông. Giả sử rằng các cổ đông thương lượng với các giám đốc, cách tiếp cận “sắp xếp tư nhân” này, về lý thuyết, có thể dẫn đến hiệu quả cao hơn. Trong bài viết sau đây, các tác giả đã xem xét cách các giám đốc và cổ đông của các công ty đại chúng lớn phản ứng với việc cơ quan lập pháp Delaware ban hành luật này.</w:t>
      </w:r>
    </w:p>
    <w:p>
      <w:pPr>
        <w:pStyle w:val="Heading4"/>
      </w:pPr>
      <w:r>
        <w:rPr>
          <w:rFonts w:ascii="Calibri" w:hAnsi="Calibri"/>
          <w:b/>
          <w:i w:val="0"/>
          <w:sz w:val="23"/>
        </w:rPr>
        <w:t>J. Robert Brown, Jr. &amp; Sandeep Gopalan,</w:t>
      </w:r>
      <w:r>
        <w:br/>
      </w:r>
      <w:r>
        <w:rPr>
          <w:rFonts w:ascii="Calibri" w:hAnsi="Calibri"/>
          <w:b/>
          <w:i w:val="0"/>
          <w:sz w:val="23"/>
        </w:rPr>
        <w:t xml:space="preserve"> </w:t>
      </w:r>
      <w:r>
        <w:rPr>
          <w:rFonts w:ascii="Calibri" w:hAnsi="Calibri"/>
          <w:b/>
          <w:i/>
          <w:sz w:val="23"/>
        </w:rPr>
        <w:t>Opting Only In: Contractarians, Waiver of Liability</w:t>
      </w:r>
      <w:r>
        <w:br/>
      </w:r>
      <w:r>
        <w:rPr>
          <w:rFonts w:ascii="Calibri" w:hAnsi="Calibri"/>
          <w:b/>
          <w:i/>
          <w:sz w:val="23"/>
        </w:rPr>
        <w:t xml:space="preserve"> Provisions, and the Race to the Bottom</w:t>
      </w:r>
    </w:p>
    <w:p>
      <w:pPr>
        <w:spacing w:after="80"/>
      </w:pPr>
      <w:r>
        <w:rPr>
          <w:b w:val="0"/>
          <w:i w:val="0"/>
        </w:rPr>
        <w:t>42 Ind. L. Rev. 285 (2009)</w:t>
      </w:r>
    </w:p>
    <w:p>
      <w:pPr>
        <w:spacing w:after="80"/>
      </w:pPr>
      <w:r>
        <w:rPr>
          <w:b w:val="0"/>
          <w:i w:val="0"/>
        </w:rPr>
        <w:t>Một quan điểm phổ biến trong giới học thuật là các công ty được phân tích tốt nhất như một “mạng lưới các hợp đồng.” Như Giáo sư Eisenberg lưu ý, “[t]heo quan niệm mạng lưới hợp đồng, tập thể cổ đông không được coi là sở hữu công ty. Thay vào đó, cổ đông được coi là chỉ có các yêu cầu theo hợp đồng đối với công ty.” Công ty được tạo ra bởi một “mạng lưới các thỏa thuận có đi có lại,” và vai trò của pháp luật nên là tạo điều kiện cho quá trình ký kết hợp đồng này. Các nhà quản lý, chủ sở hữu và những người khác thương lượng để có những mối quan hệ hiệu quả nhất, tức là những mối quan hệ phản ánh một cách độc đáo lợi ích của các bên cụ thể tham gia.</w:t>
      </w:r>
    </w:p>
    <w:p>
      <w:pPr>
        <w:spacing w:after="80"/>
      </w:pPr>
      <w:r>
        <w:rPr>
          <w:b w:val="0"/>
          <w:i w:val="0"/>
        </w:rPr>
        <w:t>Trong khi thừa nhận rằng các nhà quản lý có động cơ tư lợi để theo đuổi mục tiêu của mình bằng cách hy sinh cổ đông, những người theo thuyết hợp đồng dựa vào “bàn tay vô hình” để hạn chế hành vi như vậy. Các nhà đầu tư sẽ trừng phạt hành vi tư lợi bằng cách chiết khấu chứng khoán do những công ty đó phát hành, từ đó tạo ra động lực hiệu quả để các nhà quản lý hành động theo cách tối đa hóa phúc lợi cổ đông. Theo thời gian, các công ty có sắp xếp quản trị kém sẽ bị thị trường loại bỏ, và những công ty thể hiện sắp xếp tối ưu sẽ phát triển mạnh. Do đó, những người theo thuyết hợp đồng ủng hộ các điều khoản cho phép nơi các bên có thể chọn tham gia hoặc chọn không tham gia và tránh cách tiếp cận một kích cỡ phù hợp cho tất cả của các quy tắc phân loại. Trong khuôn khổ này, luật công ty chỉ nên cung cấp một tập hợp các quy tắc mặc định.</w:t>
      </w:r>
    </w:p>
    <w:p>
      <w:pPr>
        <w:spacing w:after="80"/>
      </w:pPr>
      <w:r>
        <w:rPr>
          <w:b w:val="0"/>
          <w:i w:val="0"/>
        </w:rPr>
        <w:t>Sự phản đối các quy tắc phân loại đã ảnh hưởng đến quan điểm của những người theo thuyết hợp đồng về sự phát triển của luật công ty. Ví dụ điển hình là Delaware—nơi các công ty chọn đăng ký thành lập vì hệ thống tư pháp chuyên môn của nó, đội ngũ luật sư tinh thông, và cam kết duy trì môi trường cho việc sắp xếp tư nhân. Những người theo thuyết hợp đồng coi luật công ty như một loại hàng hóa mà các bang đang cạnh tranh để cung cấp và các công ty chọn vì tính hiệu quả của các chế độ pháp lý được đưa ra. Họ mô tả sự chiếm ưu thế của các công ty đăng ký thành lập tại Delaware như một cuộc đua lên đỉnh chứ không phải xuống đáy.</w:t>
      </w:r>
    </w:p>
    <w:p>
      <w:pPr>
        <w:spacing w:after="80"/>
      </w:pPr>
      <w:r>
        <w:rPr>
          <w:b w:val="0"/>
          <w:i w:val="0"/>
        </w:rPr>
        <w:t>Mục 102(b)(7)</w:t>
      </w:r>
    </w:p>
    <w:p>
      <w:pPr>
        <w:spacing w:after="80"/>
      </w:pPr>
      <w:r>
        <w:rPr>
          <w:b w:val="0"/>
          <w:i w:val="0"/>
        </w:rPr>
        <w:t xml:space="preserve">Sự hoang mang do </w:t>
      </w:r>
      <w:r>
        <w:rPr>
          <w:b w:val="0"/>
          <w:i/>
        </w:rPr>
        <w:t>Van Gorkom</w:t>
      </w:r>
      <w:r>
        <w:rPr>
          <w:b w:val="0"/>
          <w:i w:val="0"/>
        </w:rPr>
        <w:t xml:space="preserve"> gây ra đã đe dọa lập trường thân thiện với ban quản trị của Delaware. Không bỏ qua điều này, giới luật sư và cơ quan lập pháp Delaware đã khiến Hội đồng thuộc Ban Luật Doanh nghiệp của Hiệp hội Luật sư Bang Delaware bắt tay vào soạn thảo một phản ứng lập pháp. Việc Indiana thông qua một đạo luật nhằm giảm trách nhiệm pháp lý chắc chắn càng làm tăng áp lực buộc Delaware phải hành động. Sau khi bác bỏ một số cách tiếp cận khác, Hội đồng cuối cùng đã đi đến thống nhất về điều khoản sau này trở thành Mục 102(b)(7). Dựa trên cách tiếp cận “tự nguyện tham gia” (opt-in), điều khoản này cho phép các công ty đưa vào điều lệ một quy định về cơ bản cho phép miễn trừ thiệt hại bằng tiền đối với ban quản trị khi vi phạm nghĩa vụ cẩn trọng. Nói cách khác, các công ty có thể miễn trách nhiệm cho giám đốc của mình đối với hành vi sơ suất nghiêm trọng.</w:t>
      </w:r>
    </w:p>
    <w:p>
      <w:pPr>
        <w:spacing w:after="80"/>
      </w:pPr>
      <w:r>
        <w:rPr>
          <w:b w:val="0"/>
          <w:i w:val="0"/>
        </w:rPr>
        <w:t xml:space="preserve">Bất chấp sự gần gũi về thời gian với </w:t>
      </w:r>
      <w:r>
        <w:rPr>
          <w:b w:val="0"/>
          <w:i/>
        </w:rPr>
        <w:t>Van Gorkom</w:t>
      </w:r>
      <w:r>
        <w:rPr>
          <w:b w:val="0"/>
          <w:i w:val="0"/>
        </w:rPr>
        <w:t>, lịch sử lập pháp của điều khoản này cho thấy động lực là “cuộc khủng hoảng” trên thị trường bảo hiểm trách nhiệm giám đốc và cán bộ (D&amp;O):</w:t>
      </w:r>
    </w:p>
    <w:p>
      <w:pPr>
        <w:spacing w:after="80"/>
      </w:pPr>
      <w:r>
        <w:rPr>
          <w:b w:val="0"/>
          <w:i w:val="0"/>
        </w:rPr>
        <w:t>Mục 102(b)(7) và các sửa đổi đối với Mục 145 thể hiện phản ứng lập pháp trước những thay đổi gần đây trên thị trường bảo hiểm trách nhiệm của giám đốc. Loại bảo hiểm này đã trở thành một điều kiện làm việc tương đối tiêu chuẩn đối với giám đốc. Những thay đổi gần đây trên thị trường đó, bao gồm việc không còn sẵn có các hợp đồng bảo hiểm truyền thống (và, trong nhiều trường hợp, không còn bất kỳ loại hợp đồng bảo hiểm nào từ các hãng bảo hiểm truyền thống), đã đe dọa chất lượng và sự ổn định của việc quản trị các công ty Delaware, bởi vì trong nhiều trường hợp, giám đốc không còn sẵn lòng phục vụ nếu không có sự bảo vệ mà loại bảo hiểm đó mang lại, và trong những trường hợp khác, họ có thể bị ngăn cản bởi việc không có bảo hiểm mà đưa ra các quyết định mang tính kinh doanh. Các sửa đổi này nhằm cho phép các công ty Delaware cung cấp sự bảo vệ thay thế, dưới nhiều hình thức khác nhau, cho giám đốc của mình và giới hạn trách nhiệm của giám đốc trong những tình huống nhất định.</w:t>
      </w:r>
    </w:p>
    <w:p>
      <w:pPr>
        <w:spacing w:after="80"/>
      </w:pPr>
      <w:r>
        <w:rPr>
          <w:b w:val="0"/>
          <w:i w:val="0"/>
        </w:rPr>
        <w:t>Nhận thức rằng “cuộc khủng hoảng” mang bản chất kinh tế (phản ánh chi phí bảo hiểm gia tăng), cơ quan lập pháp đã cố gắng gắn cải cách này với việc cải thiện quản trị. Các điều khoản miễn trừ trách nhiệm sẽ đảm bảo nguồn cung ổn định các giám đốc đủ năng lực.</w:t>
      </w:r>
    </w:p>
    <w:p>
      <w:pPr>
        <w:spacing w:after="80"/>
      </w:pPr>
      <w:r>
        <w:rPr>
          <w:b w:val="0"/>
          <w:i w:val="0"/>
        </w:rPr>
        <w:t>Lý lẽ này đáng ngờ, vì nó giải quyết một vấn đề trên thị trường bảo hiểm D&amp;O mà hoặc là không tồn tại, hoặc lẽ ra có thể được thị trường điều chỉnh một cách thích hợp hơn. Thứ nhất, nó giả định rằng “cuộc khủng hoảng” bảo hiểm bắt nguồn từ rủi ro trách nhiệm gia tăng theo nghĩa vụ cẩn trọng, một giả định chưa được chứng minh vào thời điểm đó và cuối cùng đã chứng minh là sai. Thứ hai, có mọi lý do để tin rằng vấn đề này sẽ chỉ tồn tại trong thời gian ngắn, khi thị trường dần dần thiết lập một trạng thái cân bằng mới. Trên thực tế, đến năm 1987, “cuộc khủng hoảng” phần lớn đã kết thúc.</w:t>
      </w:r>
    </w:p>
    <w:p>
      <w:pPr>
        <w:spacing w:after="80"/>
      </w:pPr>
      <w:r>
        <w:rPr>
          <w:b w:val="0"/>
          <w:i w:val="0"/>
        </w:rPr>
        <w:t xml:space="preserve">Mối lo ngại được cho là về quản trị doanh nghiệp chưa bao giờ được chứng minh. Trong khi một số “bằng chứng” giai thoại cho thấy số lượng giám đốc từ chức ngày càng tăng, bằng chứng đó chưa bao giờ được tập hợp để chứng minh rằng điều này bắt nguồn từ các vấn đề trên thị trường bảo hiểm D&amp;O hay rằng không có người thay thế thỏa đáng. Thật vậy, một số bằng chứng cho thấy giám đốc từ chức không phải vì nguy cơ trách nhiệm pháp lý mà vì, sau hậu quả của </w:t>
      </w:r>
      <w:r>
        <w:rPr>
          <w:b w:val="0"/>
          <w:i/>
        </w:rPr>
        <w:t>Van Gorkom</w:t>
      </w:r>
      <w:r>
        <w:rPr>
          <w:b w:val="0"/>
          <w:i w:val="0"/>
        </w:rPr>
        <w:t>, họ phải làm việc vất vả hơn. Hơn nữa, ngay cả khi nguồn nhân lực giám đốc đã suy giảm, các công ty vẫn có một cơ chế sẵn sàng để điều chỉnh sự mất cân bằng: tăng thù lao cho giám đốc.</w:t>
      </w:r>
    </w:p>
    <w:p>
      <w:pPr>
        <w:spacing w:after="80"/>
      </w:pPr>
      <w:r>
        <w:rPr>
          <w:b w:val="0"/>
          <w:i w:val="0"/>
        </w:rPr>
        <w:t xml:space="preserve">Việc thông qua miễn trừ trách nhiệm là một phản ứng quá rộng đối với những lo ngại được cho là về “sự không chắc chắn” trong việc áp dụng nghĩa vụ cẩn trọng. Các vấn đề phát sinh từ </w:t>
      </w:r>
      <w:r>
        <w:rPr>
          <w:b w:val="0"/>
          <w:i/>
        </w:rPr>
        <w:t>Van Gorkom</w:t>
      </w:r>
      <w:r>
        <w:rPr>
          <w:b w:val="0"/>
          <w:i w:val="0"/>
        </w:rPr>
        <w:t xml:space="preserve"> lẽ ra có thể được giải quyết theo cách hẹp hơn, chẳng hạn tập trung vào cơ sở để thiết lập một quyết định được đưa ra trên cơ sở đầy đủ thông tin. Tuy nhiên, điều khoản này đã vượt xa những vấn đề được cho là do phán quyết đó tạo ra, loại bỏ trách nhiệm ngay cả trong những tình huống không hề tồn tại sự không chắc chắn.</w:t>
      </w:r>
    </w:p>
    <w:p>
      <w:pPr>
        <w:spacing w:after="80"/>
      </w:pPr>
      <w:r>
        <w:rPr>
          <w:b w:val="0"/>
          <w:i w:val="0"/>
        </w:rPr>
        <w:t xml:space="preserve">Nói cách khác, cơ quan lập pháp Delaware đã thông qua các điều khoản miễn trừ trách nhiệm để khắc phục một “cuộc khủng hoảng” bảo hiểm chỉ tồn tại trong thời gian ngắn, và có khả năng mang tính cấu trúc, nhằm ngăn chặn những hậu quả bất lợi chưa được chứng minh đối với ban quản trị. Thay vì khắc phục những lo ngại được nhận thức từ </w:t>
      </w:r>
      <w:r>
        <w:rPr>
          <w:b w:val="0"/>
          <w:i/>
        </w:rPr>
        <w:t>Van Gorkom</w:t>
      </w:r>
      <w:r>
        <w:rPr>
          <w:b w:val="0"/>
          <w:i w:val="0"/>
        </w:rPr>
        <w:t xml:space="preserve"> bằng một cách tiếp cận được thiết kế hẹp, cơ quan lập pháp Delaware đã chọn một giải pháp quá rộng, miễn trừ trách nhiệm cho giám đốc khi vi phạm nghĩa vụ cẩn trọng trong mọi tình huống. Tóm lại, đó là một điều khoản được thiết kế ít nhằm giải quyết một vấn đề quản trị thực sự mà nhiều hơn là lợi dụng sự ồn ào xung quanh làm vỏ bọc để giảm trách nhiệm của giám đốc.</w:t>
      </w:r>
    </w:p>
    <w:p>
      <w:pPr>
        <w:spacing w:after="80"/>
      </w:pPr>
      <w:r>
        <w:rPr>
          <w:b w:val="0"/>
          <w:i w:val="0"/>
        </w:rPr>
        <w:t xml:space="preserve">Do đó, việc miễn trừ trách nhiệm đã không khôi phục thị trường bảo hiểm D&amp;O. Tuy nhiên, nó đã khôi phục lập trường thân thiện với ban quản trị của Delaware, điều đã bị tổn hại sau hậu quả của </w:t>
      </w:r>
      <w:r>
        <w:rPr>
          <w:b w:val="0"/>
          <w:i/>
        </w:rPr>
        <w:t>Van Gorkom</w:t>
      </w:r>
      <w:r>
        <w:rPr>
          <w:b w:val="0"/>
          <w:i w:val="0"/>
        </w:rPr>
        <w:t>. “Cuộc khủng hoảng” chẳng qua chỉ là vỏ bọc cho một thay đổi đáng kể, có lợi cho ban quản trị, trong các nghĩa vụ ủy thác.</w:t>
      </w:r>
    </w:p>
    <w:p>
      <w:pPr>
        <w:spacing w:after="80"/>
      </w:pPr>
      <w:r>
        <w:rPr>
          <w:b w:val="0"/>
          <w:i w:val="0"/>
        </w:rPr>
        <w:t>Ngay cả khi cuộc khủng hoảng bảo hiểm tan biến, các bang khác vẫn thông qua các đạo luật sao chép. Theo tiêu chuẩn cải cách luật doanh nghiệp, tốc độ mà các bang khác noi theo là đáng kinh ngạc. Trong vòng vài năm sau thiên niên kỷ mới, tất cả các bang đều có một phiên bản nào đó của việc miễn trừ trách nhiệm. Một số ít bang chọn cách tiếp cận “tự nguyện rút ra” (opt-out), loại bỏ thiệt hại bằng tiền khi vi phạm nghĩa vụ cẩn trọng nhưng cho phép các công ty khôi phục lại thiệt hại thông qua sửa đổi điều lệ. Tuy nhiên, phần lớn các bang đi theo mô hình Delaware và dựa trên cách tiếp cận “tự nguyện tham gia” (opt-in).</w:t>
      </w:r>
    </w:p>
    <w:p>
      <w:pPr>
        <w:spacing w:after="80"/>
      </w:pPr>
      <w:r>
        <w:rPr>
          <w:b w:val="0"/>
          <w:i w:val="0"/>
        </w:rPr>
        <w:t>Lý do có thể là gì? Không phải cuộc khủng hoảng bảo hiểm D&amp;O; nó đã kết thúc. Không phải hiệu quả. Thay vào đó, các đạo luật này được thiết kế để ngăn các công ty chuyển đến Delaware. Dù động cơ của Delaware là gì, các bang khác thông qua những điều khoản tương tự không phải vì quản trị được cải thiện hay hiệu quả, mà vì các đạo luật này mang lại lợi ích cho ban quản trị và tránh việc phải tái đăng ký thành lập, mặc dù một số bằng chứng cho thấy có hại cho giá trị cổ đông.</w:t>
      </w:r>
    </w:p>
    <w:p>
      <w:pPr>
        <w:spacing w:after="80"/>
      </w:pPr>
      <w:r>
        <w:rPr>
          <w:b w:val="0"/>
          <w:i w:val="0"/>
        </w:rPr>
        <w:t>Phản ứng của doanh nghiệp</w:t>
      </w:r>
    </w:p>
    <w:p>
      <w:pPr>
        <w:spacing w:after="80"/>
      </w:pPr>
      <w:r>
        <w:rPr>
          <w:b w:val="0"/>
          <w:i w:val="0"/>
        </w:rPr>
        <w:t>Kết luận rằng Delaware cho phép các điều khoản miễn trừ trách nhiệm để khôi phục danh tiếng thân thiện với ban quản trị của mình không nhất thiết loại trừ khả năng có sự gia tăng hiệu quả. Mô hình Delaware dựa trên cách tiếp cận “tự nguyện tham gia” (opt-in), về mặt lý thuyết cho phép chủ sở hữu và nhà quản lý thương lượng để đạt được những thỏa thuận hiệu quả nhất.</w:t>
      </w:r>
    </w:p>
    <w:p>
      <w:pPr>
        <w:spacing w:after="80"/>
      </w:pPr>
      <w:r>
        <w:rPr>
          <w:b w:val="0"/>
          <w:i w:val="0"/>
        </w:rPr>
        <w:t>Tuy nhiên, trên thực tế, điều này đã không xảy ra. Cách tiếp cận “tự nguyện tham gia” mà đạo luật Delaware sử dụng trao quyền độc quyền cho ban quản trị trong việc thiết lập một điều khoản miễn trừ trách nhiệm và soạn thảo ngôn ngữ phù hợp. Được cấu trúc như các sửa đổi điều lệ, chỉ có ban quản trị mới có thể khởi xướng thay đổi. Sự độc quyền trong việc khởi xướng này thực chất ngăn cản cổ đông quay lại tham gia chế độ mặc định. Do đó, ban quản trị có thể chọn thời điểm thuận lợi nhất để đưa ra đề xuất, và một khi đã được thiết lập, cổ đông không thể khởi xướng việc bãi bỏ. Cuối cùng, với tư cách là bên đề xuất, chính ban quản trị là bên soạn thảo ngôn ngữ trong các điều khoản miễn trừ.</w:t>
      </w:r>
    </w:p>
    <w:p>
      <w:pPr>
        <w:spacing w:after="80"/>
      </w:pPr>
      <w:r>
        <w:rPr>
          <w:b w:val="0"/>
          <w:i w:val="0"/>
        </w:rPr>
        <w:t>Quá trình thông qua, như có thể dự đoán, không chứa đựng yếu tố thương lượng hay sắp xếp tư nhân nào. Thay vào đó, đó là một quá trình do ban quản trị chi phối. Với những lợi ích mà ban quản trị thu được từ việc thông qua, sự kiểm soát của họ đối với quá trình, và việc cổ đông không thể khởi xướng bãi bỏ, thật khó để thấy được cơ hội cho thương lượng và sắp xếp tư nhân. Thay vào đó, người ta có thể dự đoán một cách hợp lý rằng theo thời gian, tất cả các công ty sẽ đưa những điều khoản này vào áp dụng và tất cả các điều khoản sẽ miễn trừ trách nhiệm ở mức tối đa mà pháp luật cho phép.</w:t>
      </w:r>
    </w:p>
    <w:p>
      <w:pPr>
        <w:spacing w:after="80"/>
      </w:pPr>
      <w:r>
        <w:rPr>
          <w:b w:val="0"/>
          <w:i w:val="0"/>
        </w:rPr>
        <w:t>Với những dự đoán này trong đầu, chúng ta hãy chuyển sang bằng chứng thực nghiệm. Nhiều tác giả đã ghi nhận sự phổ biến của các điều khoản miễn trừ trách nhiệm. Tuy nhiên, chưa có ai nghiên cứu hiện tượng này một cách có hệ thống.</w:t>
      </w:r>
    </w:p>
    <w:p>
      <w:pPr>
        <w:spacing w:after="80"/>
      </w:pPr>
      <w:r>
        <w:rPr>
          <w:b w:val="0"/>
          <w:i w:val="0"/>
        </w:rPr>
        <w:t>Chúng tôi đã chọn Fortune 100 tại Hoa Kỳ làm phạm vi khảo sát ban đầu. Trong nhóm đó, chín mươi chín công ty được thành lập theo luật tiểu bang. Freddie Mac, một thực thể được thành lập theo luật liên bang, là ngoại lệ duy nhất. Trong số còn lại, sáu mươi lăm công ty được thành lập tại Delaware, năm tại New York, bốn tại New Jersey, Minnesota và Pennsylvania, ba tại Ohio, Washington và North Carolina, hai tại Illinois và Massachusetts, và một tại Virginia, Maryland, California và Wisconsin.</w:t>
      </w:r>
    </w:p>
    <w:p>
      <w:pPr>
        <w:spacing w:after="80"/>
      </w:pPr>
      <w:r>
        <w:rPr>
          <w:b w:val="0"/>
          <w:i w:val="0"/>
        </w:rPr>
        <w:t>Một số tiểu bang này không yêu cầu điều khoản trong điều lệ để "chọn tham gia" (opt-in) việc miễn trừ trách nhiệm. Ở những tiểu bang như vậy, luật công ty nâng mức độ lỗi cần thiết để áp đặt bồi thường thiệt hại, với các công ty được phép "chọn rút ra" (opt-out). Điều này đúng ở Ohio và Wisconsin. Virginia áp đặt một mức trần nhưng cũng cho phép loại bỏ trách nhiệm trong điều lệ. Phần còn lại (ngoài Freddie Mac) mô phỏng theo mô hình Delaware, với một số khác biệt về ngôn từ.</w:t>
      </w:r>
    </w:p>
    <w:p>
      <w:pPr>
        <w:spacing w:after="80"/>
      </w:pPr>
      <w:r>
        <w:rPr>
          <w:b w:val="0"/>
          <w:i w:val="0"/>
        </w:rPr>
        <w:t>Trong số các công ty không thuộc liên bang và không phải công ty tương hỗ, chỉ có một công ty, Pepsi Co., là không có điều khoản miễn trừ trách nhiệm. Pepsi được thành lập tại Delaware năm 1919 và tái thành lập tại North Carolina năm 1986. Quy chế nội bộ (bylaws) có quy định về quyền bồi hoàn "trong phạm vi tối đa được pháp luật cho phép."</w:t>
      </w:r>
    </w:p>
    <w:p>
      <w:pPr>
        <w:spacing w:after="80"/>
      </w:pPr>
      <w:r>
        <w:rPr>
          <w:b w:val="0"/>
          <w:i w:val="0"/>
        </w:rPr>
        <w:t>Nghiên cứu của chúng tôi về điều lệ của các công ty này cho thấy tất cả đều miễn trừ trách nhiệm ở mức tối đa mà pháp luật cho phép. Một số công ty có phiên bản tối giản của điều khoản với ngôn từ như sau: "Một giám đốc của Công ty sẽ không có trách nhiệm cá nhân đối với Công ty hoặc các cổ đông của nó về thiệt hại bằng tiền do vi phạm nghĩa vụ ủy thác của mình với tư cách giám đốc trong phạm vi tối đa được pháp luật của Delaware General Corporation Law cho phép, kể cả khi luật này được sửa đổi theo thời gian." Những công ty khác thường lặp lại ngôn từ trong luật, quy định rằng giám đốc sẽ không chịu trách nhiệm về thiệt hại bằng tiền với một số ngoại lệ được liệt kê. Một số đề cập cụ thể đến sự liều lĩnh (recklessness), trong khi những công ty khác cấm việc bãi bỏ. Về trách nhiệm của giám đốc, không công ty nào trong Fortune 100 tuyên bố miễn trừ trách nhiệm theo cách giảm nhẹ nào đó.</w:t>
      </w:r>
    </w:p>
    <w:p>
      <w:pPr>
        <w:spacing w:after="80"/>
      </w:pPr>
      <w:r>
        <w:rPr>
          <w:b w:val="0"/>
          <w:i w:val="0"/>
        </w:rPr>
        <w:t>Điều gì giải thích sự đồng nhất kỳ lạ này? Dữ liệu cho thấy một quy tắc phân loại đã được thay thế bằng một quy tắc phân loại khác. Trong khi quy tắc cũ cho phép bồi thường thiệt hại trong trường hợp vi phạm nghĩa vụ cẩn trọng (duty of care), việc áp dụng cách tiếp cận "chọn tham gia" đối với thiệt hại bằng tiền đơn giản dẫn đến việc mọi người đều chọn tham gia. Kết quả cho thấy không có sự đa dạng nào như mà trật tự tư nhân (private ordering) dự đoán.</w:t>
      </w:r>
    </w:p>
    <w:p>
      <w:pPr>
        <w:spacing w:after="80"/>
      </w:pPr>
      <w:r>
        <w:rPr>
          <w:b w:val="0"/>
          <w:i w:val="0"/>
        </w:rPr>
        <w:t>Dữ liệu cho thấy các công ty không chọn tham gia trong bối cảnh miễn trừ trách nhiệm. Điều này là do những khó khăn áp đặt lên các cổ đông, những người có thể muốn tham gia vào một số loại đàm phán. Vì vậy, thực tế trên thực địa khiến việc thay đổi trở nên khó khăn bất chấp sự hiện diện của các cổ đông hoạt động (activist shareholders). Nhiều khó khăn trong số này mang tính hệ thống.</w:t>
      </w:r>
    </w:p>
    <w:p>
      <w:pPr>
        <w:spacing w:after="80"/>
      </w:pPr>
      <w:r>
        <w:rPr>
          <w:b w:val="0"/>
          <w:i w:val="0"/>
        </w:rPr>
        <w:t xml:space="preserve">Thứ nhất, chỉ ban điều hành mới có thẩm quyền đề xuất sửa đổi điều lệ công ty. Các giám đốc có thể chọn thời điểm thuận lợi nhất để đề xuất một vấn đề với cổ đông. Tuy nhiên, thẩm quyền này còn đi xa hơn nhiều so với quyền đề xuất. Trong phạm vi mà ban điều hành nhận thấy bất kỳ khả năng nào về việc thua một cuộc bỏ phiếu, họ có nhiều chiến thuật khác nhau có thể triển khai để ảnh hưởng đến kết quả. Một ví dụ là </w:t>
      </w:r>
      <w:r>
        <w:rPr>
          <w:b w:val="0"/>
          <w:i/>
        </w:rPr>
        <w:t>Mercier v. Inter-Tel (Del.), Inc.</w:t>
      </w:r>
      <w:r>
        <w:rPr>
          <w:b w:val="0"/>
          <w:i w:val="0"/>
        </w:rPr>
        <w:t xml:space="preserve"> , nơi một ủy ban đặc biệt của hội đồng quản trị tìm kiếm sự chấp thuận cho một vụ sáp nhập. Khi, ngay trước cuộc họp, rõ ràng rằng đề xuất sẽ thất bại, ủy ban đã cho phép hoãn cuộc họp. Điều này xảy ra bất chấp sự phản đối áp đảo đối với việc hoãn cuộc họp từ phía cổ đông.</w:t>
      </w:r>
    </w:p>
    <w:p>
      <w:pPr>
        <w:spacing w:after="80"/>
      </w:pPr>
      <w:r>
        <w:rPr>
          <w:b w:val="0"/>
          <w:i w:val="0"/>
        </w:rPr>
        <w:t>Thứ hai, các điều khoản miễn trừ trách nhiệm có thể được thực hiện mà không cần lợi ích của một cuộc bỏ phiếu trực tiếp của cổ đông. Các điều khoản này có thể có trong điều lệ khi công ty ra công chúng. Trong các trường hợp khác, chúng có thể được chèn vào điều lệ khi công ty tái thành lập, khiến cổ đông phải chấp thuận toàn bộ giao dịch, chứ không phải từng điều khoản riêng lẻ trong điều lệ. Các điều khoản miễn trừ trách nhiệm cũng có thể được chấp thuận ở các công ty có cổ đông kiểm soát, khiến ý kiến của cổ đông thiểu số trở nên không liên quan.</w:t>
      </w:r>
    </w:p>
    <w:p>
      <w:pPr>
        <w:spacing w:after="80"/>
      </w:pPr>
      <w:r>
        <w:rPr>
          <w:b w:val="0"/>
          <w:i w:val="0"/>
        </w:rPr>
        <w:t>Thứ ba, ngay cả khi được đệ trình để chấp thuận, cổ đông vẫn phải đối mặt với hàng loạt vấn đề hành động tập thể thường thấy. Họ thiếu thông tin, thường là hệ quả của sự thờ ơ hợp lý (rational apathy). Để chống lại ban điều hành, họ sẽ cần vận động các cổ đông khác, điều này vừa tốn kém vừa khó khăn do các quy tắc ủy quyền (proxy rules).</w:t>
      </w:r>
    </w:p>
    <w:p>
      <w:pPr>
        <w:spacing w:after="80"/>
      </w:pPr>
      <w:r>
        <w:rPr>
          <w:b w:val="0"/>
          <w:i w:val="0"/>
        </w:rPr>
        <w:t>Thứ tư, có một số lý do khiến cổ đông ít có khả năng phản đối các điều khoản miễn trừ trách nhiệm hơn. Một là hiện tượng NIMBY. Một lý do khác là sự phụ thuộc vào lối mòn (path dependence). Lại thêm một lý do nữa là hiện tượng "me-too", xảy ra khi một hội đồng quản trị có một điều khoản miễn trừ trách nhiệm để dựa vào, khiến mọi hội đồng quản trị khác đều đòi hỏi điều tương tự. Khi các điều khoản này đã phổ biến ở mọi nơi, cổ đông sẽ phải chấp nhận hậu quả của việc từ chối miễn trừ cho ban điều hành của mình trong khi tất cả các công ty lớn khác, kể cả đối thủ cạnh tranh, đều đã có điều khoản miễn trừ.</w:t>
      </w:r>
    </w:p>
    <w:p>
      <w:pPr>
        <w:spacing w:after="80"/>
      </w:pPr>
      <w:r>
        <w:rPr>
          <w:b w:val="0"/>
          <w:i w:val="0"/>
        </w:rPr>
        <w:t>Thứ năm, cổ đông thường muốn duy trì mối quan hệ tích cực với ban điều hành, thích "bỏ phiếu bằng đôi chân" (vote with their feet) khi không hài lòng. Vì vậy, họ sẽ không phản đối ban điều hành trong mọi đề xuất, ngay cả khi họ có những e ngại. Nói cách khác, sự phản đối đi kèm với những chi phí. Xét đến tầm quan trọng không đáng kể của nghĩa vụ cẩn trọng theo luật Delaware, những chi phí này có khả năng lớn hơn lợi ích có thể thu được từ sự phản đối.</w:t>
      </w:r>
    </w:p>
    <w:p>
      <w:pPr>
        <w:spacing w:after="80"/>
      </w:pPr>
      <w:r>
        <w:rPr>
          <w:b w:val="0"/>
          <w:i w:val="0"/>
        </w:rPr>
        <w:t>Các giám đốc có thể cảm thấy lo lắng bởi một điều khoản khác với các công ty khác. Trong những trường hợp như vậy, bằng chứng của chúng tôi có thể giải thích sự tồn tại dai dẳng của "sự đồng nhất dưới mức tối ưu" (suboptimal uniformity). Quy tắc dưới mức tối ưu miễn trừ trách nhiệm ở mức tối đa mà pháp luật cho phép đã trở nên đồng nhất vì việc học hỏi hoặc ngoại ứng mạng lưới (network externalities) là đáng kể, đặc biệt vì các điều khoản miễn trừ trách nhiệm được soạn thảo và đề xuất theo sự khăng khăng của ban điều hành. Xét đến chi phí đại diện (agency cost), các luật sư do ban điều hành trả lương khó có thể soạn thảo các điều khoản đi ngược lại lợi ích của ban điều hành, ngay cả khi những điều khoản đó vì lợi ích quản trị của cổ đông.</w:t>
      </w:r>
    </w:p>
    <w:p>
      <w:pPr>
        <w:spacing w:after="80"/>
      </w:pPr>
      <w:r>
        <w:rPr>
          <w:b w:val="0"/>
          <w:i w:val="0"/>
        </w:rPr>
        <w:t>Cách tiếp cận mạng lưới hợp đồng (nexus-of-contracts) là một khung lý thuyết đáng giá để xem xét các vấn đề liên quan đến quản trị công ty. Điều này đặc biệt đúng khi nhấn mạnh tầm quan trọng của trật tự tư nhân trong quá trình điều tiết. Tuy nhiên, tính hữu ích của nó sụp đổ khi cách tiếp cận này được dùng để giải thích mối quan hệ giữa cổ đông và ban điều hành. Có rất ít bằng chứng trong thực tế rằng mối quan hệ giữa cổ đông và nhà quản lý có thể được mô tả chính xác như một quá trình trật tự tư nhân. Thay vào đó, khi pháp luật nhường cho trật tự tư nhân, kết quả là ban điều hành được phép áp đặt lên cổ đông một quy tắc phân loại thể hiện lợi ích cá nhân của mình. Trong bối cảnh các điều khoản miễn trừ trách nhiệm, cách tiếp cận này đã dẫn đến việc một quy tắc phân loại bị thay thế bằng một quy tắc phân loại khác—chính xác là điều ngược lại với mong muốn của những người theo chủ nghĩa hợp đồng (contractarians).</w:t>
      </w:r>
    </w:p>
    <w:p>
      <w:pPr>
        <w:spacing w:after="80"/>
      </w:pPr>
      <w:r>
        <w:rPr>
          <w:b w:val="0"/>
          <w:i w:val="0"/>
        </w:rPr>
        <w:t>Vì vậy, có vẻ như cách tiếp cận theo chủ nghĩa hợp đồng không đưa ra lời giải thích thỏa đáng cho tình hình liên quan đến các điều khoản miễn trừ trách nhiệm. Dựa trên bằng chứng của chúng tôi, mô hình quản lý (managerial model) có thể đưa ra khả năng dự đoán tốt hơn. Ban điều hành sẽ luôn muốn giảm trách nhiệm. Xét đến các hiệu ứng học hỏi và mạng lưới, theo thời gian, những điều khoản như vậy sẽ trở nên phổ biến. Ban điều hành cũng sẽ muốn được bảo vệ ở mức tối đa được phép. Điều này sẽ tạo ra các điều khoản phù hợp với bằng chứng mà chúng tôi đã trình bày.</w:t>
      </w:r>
    </w:p>
    <w:p>
      <w:pPr>
        <w:spacing w:after="80"/>
      </w:pPr>
      <w:r>
        <w:rPr>
          <w:b w:val="0"/>
          <w:i w:val="0"/>
        </w:rPr>
        <w:t>Bằng chứng phù hợp với một cuộc đua xuống đáy (race to the bottom). Các điều khoản miễn trừ trách nhiệm không được thiết kế để giải quyết một vấn đề quản trị công ty, mà nhằm mang lại lợi ích cho ban điều hành. Vì ban điều hành kiểm soát quá trình tái thành lập, họ có thể chuyển công ty đến Delaware để tận dụng việc giảm trách nhiệm. Các tiểu bang khác nhanh chóng mô phỏng theo cách tiếp cận của Delaware, không phải vì nó thúc đẩy quản trị tốt hay hành vi hiệu quả, mà vì nó ngăn chặn việc công ty bỏ chạy đến Delaware.</w:t>
      </w:r>
    </w:p>
    <w:p>
      <w:pPr>
        <w:spacing w:after="80"/>
      </w:pPr>
      <w:r>
        <w:rPr>
          <w:b w:val="0"/>
          <w:i w:val="0"/>
        </w:rPr>
        <w:t>Để có được bất cứ điều gì tiệm cận với một hệ thống thương lượng hiệu quả, quá trình biểu quyết của cổ đông phải có ý nghĩa thực chất. Ban điều hành phải biết rằng cổ đông có khả năng phủ quyết hoặc đảo ngược một quyết định chọn tham gia (opt-in) hay chọn không tham gia (opt-out). Do đó, cần phải cải cách triệt để quá trình biểu quyết của cổ đông.</w:t>
      </w:r>
    </w:p>
    <w:p>
      <w:pPr>
        <w:spacing w:after="80"/>
      </w:pPr>
      <w:r>
        <w:rPr>
          <w:b w:val="0"/>
          <w:i w:val="0"/>
        </w:rPr>
        <w:t>Những cải cách này cần làm được vài việc. Thứ nhất, cổ đông cần có quyền hạn ngang bằng với ban điều hành để khởi xướng một quy trình chọn tham gia hoặc chọn không tham gia, hoặc để thay đổi một quyết định trước đó. Để làm được điều này, tất cả các điều khoản chọn tham gia hoặc chọn không tham gia hoặc cần phải nằm trong điều lệ công ty (bylaws) (với việc cổ đông được trao quyền hạn rõ ràng để khởi xướng, thay đổi hoặc bãi bỏ điều lệ), hoặc nằm trong điều lệ thành lập (articles of incorporation) với quyền hạn khởi xướng sửa đổi điều lệ thành lập.</w:t>
      </w:r>
    </w:p>
    <w:p>
      <w:pPr>
        <w:spacing w:after="80"/>
      </w:pPr>
      <w:r>
        <w:rPr>
          <w:b w:val="0"/>
          <w:i w:val="0"/>
        </w:rPr>
        <w:t>Thứ hai, cổ đông cần được trao quyền hạn rộng rãi hơn nhiều để đề xuất thay đổi các thỏa thuận tạo nên mạng lưới hợp đồng (nexus of contracts) tại bất kỳ công ty cụ thể nào. Có những lĩnh vực quản trị quan trọng bị cấm đối với cổ đông. Những lĩnh vực này thường xuất hiện trong bối cảnh các đề xuất có thể ảnh hưởng đến việc quản lý công ty. Lập luận rằng cổ đông không nên được phép quản lý vi mô (micromanage) hoạt động thường nhật của công ty đã được đưa ra như một bóng ma để hạn chế quyền lực của cổ đông trong những lĩnh vực mà xét cho cùng chỉ gây can thiệp tối thiểu (de minimis) vào việc quản lý thực tế của công ty. Cổ đông có thể đặt điều kiện ủng hộ một đề xuất chọn tham gia hoặc chọn không tham gia do ban điều hành khởi xướng vào việc ban điều hành ủng hộ thêm quyền hạn cho cổ đông, chẳng hạn như một cuộc biểu quyết tư vấn (advisory vote) về thù lao điều hành.</w:t>
      </w:r>
    </w:p>
    <w:p>
      <w:pPr>
        <w:spacing w:after="80"/>
      </w:pPr>
      <w:r>
        <w:rPr>
          <w:b w:val="0"/>
          <w:i w:val="0"/>
        </w:rPr>
        <w:t>Thứ ba, cần thực hiện các bước để giải quyết một số vấn đề hành động tập thể (collective action) cản trở quá trình phê duyệt của cổ đông. Những vấn đề này thường liên quan đến tổ chức và chi phí. Vấn đề chi phí xuất hiện rõ ràng nhất ở nhu cầu thu thập giấy ủy quyền (proxy), một quá trình tốn kém và mất thời gian. Việc cho phép tiếp cận rộng rãi bản tuyên bố ủy quyền (proxy statement) của công ty đối với các đề xuất của cổ đông sẽ là một cách để giảm chi phí liên quan đến hành động tập thể.</w:t>
      </w:r>
    </w:p>
    <w:p>
      <w:pPr>
        <w:pStyle w:val="Heading5"/>
      </w:pPr>
      <w:r>
        <w:rPr>
          <w:rFonts w:ascii="Calibri" w:hAnsi="Calibri"/>
          <w:b/>
          <w:i/>
          <w:sz w:val="22"/>
        </w:rPr>
        <w:t>Bình luận và Câu hỏi</w:t>
      </w:r>
    </w:p>
    <w:p>
      <w:pPr>
        <w:spacing w:after="80"/>
      </w:pPr>
      <w:r>
        <w:rPr>
          <w:b w:val="0"/>
          <w:i w:val="0"/>
        </w:rPr>
        <w:t>1. Trong số các công ty lớn được nghiên cứu, chỉ có một công ty, Pepsi, không đưa điều khoản miễn trừ trách nhiệm (waiver of liability) vào điều lệ thành lập của mình.</w:t>
      </w:r>
    </w:p>
    <w:p>
      <w:pPr>
        <w:spacing w:after="80"/>
      </w:pPr>
      <w:r>
        <w:rPr>
          <w:b w:val="0"/>
          <w:i w:val="0"/>
        </w:rPr>
        <w:t>2. Mục 102(b)(7) đã tác động đáng kể đến thị trường điều lệ thành lập công ty. Sau khi Delaware ban hành điều khoản này, một số lượng đáng kể công ty đã tái đăng ký thành lập tại đó. Hiểu được những hoàn cảnh dẫn đến việc ban hành Mục 102(b)(7) ở Delaware và việc các nhà lập pháp ở các bang khác thông qua những đạo luật tương tự, lịch sử này có cung cấp bằng chứng về một cuộc đua lên đỉnh (race to the top) hay một cuộc đua xuống đáy (race to the bottom) không? Hãy lập luận cho cả hai quan điểm.</w:t>
      </w:r>
    </w:p>
    <w:p>
      <w:pPr>
        <w:spacing w:after="80"/>
      </w:pPr>
      <w:r>
        <w:rPr>
          <w:b w:val="0"/>
          <w:i w:val="0"/>
        </w:rPr>
        <w:t>3. Cổ đông thường phê duyệt các điều khoản miễn trừ trách nhiệm, biểu quyết ủng hộ những sửa đổi điều lệ như vậy với tỷ lệ áp đảo. Bạn nghĩ tại sao cổ đông gần như luôn luôn biểu quyết để bảo vệ các giám đốc công ty khỏi trách nhiệm pháp lý? Chẳng phải cổ đông nên phản đối những đề xuất nhằm tước đi khoản bồi thường thiệt hại của họ trong trường hợp giám đốc vi phạm nghĩa vụ cẩn trọng (duty of care) sao?</w:t>
      </w:r>
    </w:p>
    <w:p>
      <w:pPr>
        <w:spacing w:after="80"/>
      </w:pPr>
      <w:r>
        <w:rPr>
          <w:b w:val="0"/>
          <w:i w:val="0"/>
        </w:rPr>
        <w:t>4. Với việc các điều khoản điều lệ miễn trừ trách nhiệm (exculpatory charter provisions) được áp dụng rộng rãi, liệu có chính xác khi mô tả chúng như những quy tắc mặc định (default rules) không? Điều gì sẽ xảy ra nếu cổ đông quyết định loại bỏ điều khoản miễn trừ trách nhiệm trong điều lệ thành lập của công ty? Liệu nhà đầu tư có thể sửa đổi điều lệ thành lập như vậy mà không cần hành động của hội đồng quản trị không?</w:t>
      </w:r>
    </w:p>
    <w:p>
      <w:pPr>
        <w:spacing w:after="80"/>
      </w:pPr>
      <w:r>
        <w:rPr>
          <w:b w:val="0"/>
          <w:i w:val="0"/>
        </w:rPr>
        <w:t xml:space="preserve">5. Các nhà bình luận đã chỉ trích ngôn ngữ của Mục 102(b)(7) là thiếu chính xác. Ví dụ, nó loại trừ các vi phạm nghĩa vụ trung thành (duty of loyalty) mà không định nghĩa thuật ngữ này. Hơn nữa, điều khoản này loại trừ cả các vi phạm về thiện chí (good faith) lẫn nghĩa vụ trung thành. Tuy nhiên, như chúng ta sẽ thấy, các tòa án Delaware đã định nghĩa các vi phạm về thiện chí là một sự vi phạm nghĩa vụ trung thành. </w:t>
      </w:r>
      <w:r>
        <w:rPr>
          <w:b w:val="0"/>
          <w:i/>
        </w:rPr>
        <w:t>Xem Stone v. Ritter</w:t>
      </w:r>
      <w:r>
        <w:rPr>
          <w:b w:val="0"/>
          <w:i w:val="0"/>
        </w:rPr>
        <w:t xml:space="preserve"> , 911 A.2d 362, 370 (Del. 2006). Mục tương ứng trong Đạo luật Công ty Kinh doanh Mẫu (Model Business Corporation Act) loại trừ, trong số những thứ khác, “số tiền lợi ích tài chính mà một giám đốc nhận được mà người đó không được hưởng” và “việc cố ý gây tổn hại cho công ty hoặc cổ đông. . . .” Những khác biệt này giữa luật ở Delaware và một bang theo MBCA có thể ảnh hưởng như thế nào đến quyết định của ban điều hành về việc đăng ký thành lập ở đâu?</w:t>
      </w:r>
    </w:p>
    <w:p>
      <w:pPr>
        <w:pStyle w:val="Heading2"/>
      </w:pPr>
      <w:r>
        <w:rPr>
          <w:rFonts w:ascii="Calibri" w:hAnsi="Calibri"/>
          <w:b/>
          <w:i w:val="0"/>
          <w:sz w:val="32"/>
        </w:rPr>
        <w:t>IV. Sự Giám sát của Giám đốc và Nghĩa vụ Theo dõi</w:t>
      </w:r>
    </w:p>
    <w:p>
      <w:pPr>
        <w:spacing w:after="80"/>
      </w:pPr>
      <w:r>
        <w:rPr>
          <w:b w:val="0"/>
          <w:i w:val="0"/>
        </w:rPr>
        <w:t>Quy tắc phán đoán kinh doanh (business judgment rule) được áp dụng để bảo vệ các quyết định của giám đốc và cán bộ điều hành khỏi sự xem xét của tòa án. Những người có nghĩa vụ ủy thác (fiduciaries) không thực hiện phán đoán kinh doanh của mình hoặc không hành động sẽ không nhận được sự bảo vệ từ quy tắc này. Tuy nhiên, đặc biệt là trong các phòng họp hội đồng quản trị của các công ty đại chúng ngày nay, các giám đốc công ty đưa ra tương đối ít quyết định riêng lẻ; thay vào đó, chức năng của giám đốc chủ yếu liên quan đến việc giám sát các cán bộ điều hành cấp cao và giám sát tổng thể việc quản lý công ty. Những người có nghĩa vụ ủy thác của công ty phải thực hiện sự cẩn trọng nào để hoàn thành trách nhiệm giám sát của mình? Khi nào họ nên bị quy trách nhiệm vì không thực hiện những nghĩa vụ đó? Trong vụ án tiếp theo, Tòa án Chancery Delaware đã giải quyết trách nhiệm của giám đốc đối với việc vi phạm nghĩa vụ cẩn trọng khi hội đồng quản trị không giám sát đầy đủ các nhân viên công ty mà hành vi sai trái của họ khiến công ty vi phạm pháp luật.</w:t>
      </w:r>
    </w:p>
    <w:p>
      <w:pPr>
        <w:pStyle w:val="Heading4"/>
      </w:pPr>
      <w:r>
        <w:rPr>
          <w:rFonts w:ascii="Calibri" w:hAnsi="Calibri"/>
          <w:b/>
          <w:i w:val="0"/>
          <w:sz w:val="23"/>
        </w:rPr>
        <w:t>In re Caremark Int'l Inc. Deriv. Litig.</w:t>
      </w:r>
    </w:p>
    <w:p>
      <w:pPr>
        <w:spacing w:after="80"/>
      </w:pPr>
      <w:r>
        <w:rPr>
          <w:b w:val="0"/>
          <w:i w:val="0"/>
        </w:rPr>
        <w:t>Tòa án Chancery Delaware</w:t>
      </w:r>
      <w:r>
        <w:br/>
      </w:r>
      <w:r>
        <w:rPr>
          <w:b w:val="0"/>
          <w:i w:val="0"/>
        </w:rPr>
        <w:t xml:space="preserve"> 698 A.2d 959 (1996)</w:t>
      </w:r>
    </w:p>
    <w:p>
      <w:pPr>
        <w:spacing w:after="80"/>
      </w:pPr>
      <w:r>
        <w:rPr>
          <w:b w:val="0"/>
          <w:i w:val="0"/>
        </w:rPr>
        <w:t>ALLEN , CHANCELLOR :</w:t>
      </w:r>
    </w:p>
    <w:p>
      <w:pPr>
        <w:spacing w:after="80"/>
      </w:pPr>
      <w:r>
        <w:rPr>
          <w:b w:val="0"/>
          <w:i w:val="0"/>
        </w:rPr>
        <w:t>Đang chờ xử lý là một kiến nghị theo Quy tắc Chancery 23.1 để phê duyệt là công bằng và hợp lý một đề xuất dàn xếp một vụ kiện phái sinh (derivative action) hợp nhất thay mặt cho Caremark International Inc. Vụ kiện liên quan đến các cáo buộc rằng các thành viên hội đồng quản trị của Caremark (sau đây gọi là “Hội đồng”) đã vi phạm nghĩa vụ cẩn trọng ủy thác của họ đối với Caremark liên quan đến các vi phạm bị cáo buộc của nhân viên Caremark đối với luật và quy định liên bang và tiểu bang áp dụng cho các nhà cung cấp dịch vụ chăm sóc sức khỏe.</w:t>
      </w:r>
    </w:p>
    <w:p>
      <w:pPr>
        <w:spacing w:after="80"/>
      </w:pPr>
      <w:r>
        <w:rPr>
          <w:b w:val="0"/>
          <w:i w:val="0"/>
        </w:rPr>
        <w:t>Vụ kiện này được nộp vào năm 1994, với mục đích thay mặt công ty đòi lại những tổn thất này từ các bị đơn cá nhân là thành viên hội đồng quản trị của Caremark. Các bên hiện đề xuất dàn xếp vụ việc và, sau khi thông báo cho các cổ đông của Caremark, một phiên điều trần về tính công bằng của đề xuất đã được tổ chức vào ngày 16 tháng 8 năm 1996.</w:t>
      </w:r>
    </w:p>
    <w:p>
      <w:pPr>
        <w:spacing w:after="80"/>
      </w:pPr>
      <w:r>
        <w:rPr>
          <w:b w:val="0"/>
          <w:i w:val="0"/>
        </w:rPr>
        <w:t>Về mặt pháp lý, việc đánh giá khiếu nại trọng tâm đòi hỏi phải xem xét tiêu chuẩn pháp lý điều chỉnh nghĩa vụ của hội đồng quản trị trong việc giám sát hoặc theo dõi hoạt động của công ty. Vì những lý do được trình bày dưới đây, tôi kết luận, dựa trên hồ sơ điều tra, rằng xác suất rất thấp để có thể xác định rằng các giám đốc của Caremark đã vi phạm bất kỳ nghĩa vụ nào trong việc giám sát và theo dõi doanh nghiệp một cách thích đáng.</w:t>
      </w:r>
    </w:p>
    <w:p>
      <w:pPr>
        <w:spacing w:after="80"/>
      </w:pPr>
      <w:r>
        <w:rPr>
          <w:b w:val="0"/>
          <w:i/>
        </w:rPr>
        <w:t>Các nguyên tắc chi phối việc dàn xếp các khiếu nại phái sinh</w:t>
      </w:r>
    </w:p>
    <w:p>
      <w:pPr>
        <w:spacing w:after="80"/>
      </w:pPr>
      <w:r>
        <w:rPr>
          <w:b w:val="0"/>
          <w:i w:val="0"/>
        </w:rPr>
        <w:t>Như đã nêu ở phần đầu của ý kiến này, Tòa án này hiện được yêu cầu đưa ra phán quyết có căn cứ về việc liệu đề xuất dàn xếp có công bằng và hợp lý dưới ánh sáng của tất cả các yếu tố liên quan hay không. Trong đơn yêu cầu loại này, Tòa án này cố gắng bảo vệ lợi ích tốt nhất của công ty và các cổ đông vắng mặt của công ty, những người sẽ bị cấm khởi kiện trong tương lai về những khiếu nại này nếu việc dàn xếp được chấp thuận. Các bên đề xuất dàn xếp phải chịu trách nhiệm thuyết phục tòa án rằng việc dàn xếp thực sự công bằng và hợp lý. . . .</w:t>
      </w:r>
    </w:p>
    <w:p>
      <w:pPr>
        <w:spacing w:after="80"/>
      </w:pPr>
      <w:r>
        <w:rPr>
          <w:b w:val="0"/>
          <w:i/>
        </w:rPr>
        <w:t>Nghĩa vụ của giám đốc trong việc giám sát hoạt động của công ty</w:t>
      </w:r>
    </w:p>
    <w:p>
      <w:pPr>
        <w:spacing w:after="80"/>
      </w:pPr>
      <w:r>
        <w:rPr>
          <w:b w:val="0"/>
          <w:i w:val="0"/>
        </w:rPr>
        <w:t xml:space="preserve">Đơn khiếu nại cáo buộc các bị đơn là giám đốc đã vi phạm nghĩa vụ quan tâm hoặc chăm sóc của họ liên quan đến hoạt động kinh doanh đang diễn ra của công ty. Khiếu nại cho rằng các giám đốc đã để cho một tình huống phát triển và tiếp diễn, khiến công ty phải đối mặt với trách nhiệm pháp lý khổng lồ, và khi làm như vậy, họ đã vi phạm nghĩa vụ phải là những người giám sát tích cực đối với hoạt động của công ty. Do đó, đơn khiếu nại không cáo buộc giám đốc tự giao dịch vì lợi ích bản thân (self-dealing) hay những vấn đề trung thành khó khăn hơn phát sinh từ các trường hợp có động cơ giám đốc đáng ngờ, như bám ghế (entrenchment) hoặc bối cảnh bán quyền kiểm soát. Lý thuyết được đưa ra ở đây có lẽ là lý thuyết khó nhất trong luật công ty mà một nguyên đơn có thể hy vọng thắng kiện. Những lý do chính sách tốt đẹp giải thích tại sao việc buộc giám đốc phải chịu trách nhiệm về tổn thất của công ty vì cáo buộc vi phạm nghĩa vụ chăm sóc, khi không có xung đột lợi ích hoặc không có sự kiện nào gợi ý động cơ đáng ngờ, lại khó khăn đến vậy, đã được mô tả gần đây trong </w:t>
      </w:r>
      <w:r>
        <w:rPr>
          <w:b w:val="0"/>
          <w:i/>
        </w:rPr>
        <w:t>Gagliardi v. TriFoods Int'l Inc.</w:t>
      </w:r>
    </w:p>
    <w:p>
      <w:pPr>
        <w:spacing w:after="80"/>
      </w:pPr>
      <w:r>
        <w:rPr>
          <w:b w:val="0"/>
          <w:i w:val="0"/>
        </w:rPr>
        <w:t xml:space="preserve">1. </w:t>
      </w:r>
      <w:r>
        <w:rPr>
          <w:b w:val="0"/>
          <w:i/>
        </w:rPr>
        <w:t>Trách nhiệm tiềm tàng đối với các quyết định của giám đốc:</w:t>
      </w:r>
      <w:r>
        <w:rPr>
          <w:b w:val="0"/>
          <w:i w:val="0"/>
        </w:rPr>
        <w:t xml:space="preserve"> Trách nhiệm của giám đốc do vi phạm nghĩa vụ quan tâm thích đáng, về mặt lý thuyết, có thể phát sinh trong hai bối cảnh khác nhau. Thứ nhất, trách nhiệm đó có thể được cho là xuất phát </w:t>
      </w:r>
      <w:r>
        <w:rPr>
          <w:b w:val="0"/>
          <w:i/>
        </w:rPr>
        <w:t>từ một quyết định của hội đồng quản trị</w:t>
      </w:r>
      <w:r>
        <w:rPr>
          <w:b w:val="0"/>
          <w:i w:val="0"/>
        </w:rPr>
        <w:t xml:space="preserve"> dẫn đến tổn thất vì quyết định đó là thiếu khôn ngoan hoặc "cẩu thả". Thứ hai, trách nhiệm đối với công ty về một tổn thất có thể được cho là phát sinh từ việc hội đồng quản trị không hành động một cách thiếu cân nhắc trong những tình huống mà sự quan tâm đúng mức, có thể lập luận rằng, đã có thể ngăn chặn tổn thất. Loại trường hợp thứ nhất thường sẽ được xem xét theo quy tắc phán đoán kinh doanh bảo vệ giám đốc (business judgment rule), giả định rằng quyết định được đưa ra là kết quả của một quy trình được cân nhắc một cách có chủ ý với thiện chí hoặc hợp lý theo cách khác. Điều cần được hiểu, nhưng có thể không được các tòa án hoặc các nhà bình luận, những người không thường xuyên phải đối mặt với những câu hỏi như vậy, hiểu rộng rãi, là việc tuân thủ nghĩa vụ chăm sóc của giám đốc không bao giờ có thể được xác định một cách thích đáng về mặt tư pháp bằng cách tham chiếu đến bối cảnh của quyết định hội đồng quản trị dẫn đến tổn thất của công ty, ngoài việc xem xét thiện chí hoặc tính hợp lý của quy trình được sử dụng. Nghĩa là, việc một thẩm phán hoặc bồi thẩm đoàn xem xét vấn đề sau khi sự việc đã xảy ra có tin rằng một quyết định là sai lầm đáng kể, hay các mức độ sai lầm kéo dài từ "ngớ ngẩn" đến "nghiêm trọng" hoặc "phi lý", không tạo cơ sở để giám đốc phải chịu trách nhiệm, miễn là tòa án xác định rằng quy trình được sử dụng là hợp lý hoặc được sử dụng trong nỗ lực thiện chí nhằm thúc đẩy lợi ích của công ty. Việc áp dụng một quy tắc khác—một quy tắc cho phép đánh giá "khách quan" đối với quyết định—sẽ khiến các giám đốc phải chịu sự phán xét lại về bản chất bởi các thẩm phán hoặc bồi thẩm đoàn không đủ năng lực, điều mà về lâu dài sẽ gây tổn hại cho lợi ích của nhà đầu tư. Do đó, quy tắc phán đoán kinh doanh định hướng theo quy trình và được hun đúc bởi sự tôn trọng sâu sắc đối với mọi quyết định thiện chí của hội đồng quản trị.</w:t>
      </w:r>
    </w:p>
    <w:p>
      <w:pPr>
        <w:spacing w:after="80"/>
      </w:pPr>
      <w:r>
        <w:rPr>
          <w:b w:val="0"/>
          <w:i w:val="0"/>
        </w:rPr>
        <w:t xml:space="preserve">Thật vậy, người ta tự hỏi dựa trên cơ sở đạo đức nào mà các cổ đông có thể công kích một quyết định kinh doanh thiện chí của giám đốc là "không hợp lý" hoặc "phi lý". Khi một giám đốc thực sự nỗ lực thiện chí để được thông tin đầy đủ và thực hiện phán đoán thích đáng, người đó nên được coi là đã hoàn thành đầy đủ nghĩa vụ quan tâm. Nếu các cổ đông cho rằng mình được hưởng một phẩm chất phán đoán nào đó khác với phẩm chất mà một giám đốc như vậy tạo ra khi thực hiện thiện chí các quyền hạn của chức vụ, thì các cổ đông lẽ ra nên bầu chọn các giám đốc khác. Thẩm phán Learned Hand đã nêu quan điểm này tốt hơn tôi có thể. Khi nói về bị đơn giám đốc thụ động ông Andrews trong </w:t>
      </w:r>
      <w:r>
        <w:rPr>
          <w:b w:val="0"/>
          <w:i/>
        </w:rPr>
        <w:t>Barnes v. Andrews</w:t>
      </w:r>
      <w:r>
        <w:rPr>
          <w:b w:val="0"/>
          <w:i w:val="0"/>
        </w:rPr>
        <w:t>, Thẩm phán Hand nói:</w:t>
      </w:r>
    </w:p>
    <w:p>
      <w:pPr>
        <w:spacing w:after="80"/>
      </w:pPr>
      <w:r>
        <w:rPr>
          <w:b w:val="0"/>
          <w:i w:val="0"/>
        </w:rPr>
        <w:t>Đúng là ông ấy không phù hợp lắm về mặt kinh nghiệm cho công việc mà ông đã đảm nhận, nhưng tôi không thể buộc tội ông ấy vì lý do đó. Suy cho cùng, chính cùng một công ty đã chọn ông ấy giờ lại đang tìm cách buộc tội ông ấy . . . Các giám đốc không phải là chuyên gia như luật sư hay bác sĩ . . . Họ là những cố vấn chung của doanh nghiệp và nếu họ trung thành dốc hết khả năng mình có vào trọng trách của mình, thì sẽ không hợp pháp nếu buộc họ phải chịu trách nhiệm. . . .</w:t>
      </w:r>
    </w:p>
    <w:p>
      <w:pPr>
        <w:spacing w:after="80"/>
      </w:pPr>
      <w:r>
        <w:rPr>
          <w:b w:val="0"/>
          <w:i w:val="0"/>
        </w:rPr>
        <w:t>Trong cách diễn đạt này, theo ý kiến của tôi, Learned Hand đã xác định đúng đắn yếu tố cốt lõi của bất kỳ cuộc điều tra nào về nghĩa vụ chăm sóc trong luật công ty: liệu có nỗ lực thiện chí để được thông tin đầy đủ và thực hiện phán đoán hay không.</w:t>
      </w:r>
    </w:p>
    <w:p>
      <w:pPr>
        <w:spacing w:after="80"/>
      </w:pPr>
      <w:r>
        <w:rPr>
          <w:b w:val="0"/>
          <w:i w:val="0"/>
        </w:rPr>
        <w:t xml:space="preserve">2. </w:t>
      </w:r>
      <w:r>
        <w:rPr>
          <w:b w:val="0"/>
          <w:i/>
        </w:rPr>
        <w:t>Trách nhiệm do không giám sát:</w:t>
      </w:r>
      <w:r>
        <w:rPr>
          <w:b w:val="0"/>
          <w:i w:val="0"/>
        </w:rPr>
        <w:t xml:space="preserve"> Loại trường hợp thứ hai mà trách nhiệm của giám đốc do thiếu chú ý về mặt lý thuyết có thể xảy ra liên quan đến những tình huống mà tổn thất xảy ra không phải từ một quyết định mà từ sự không hành động thiếu cân nhắc. Tất nhiên, hầu hết các quyết định mà một công ty, hành động thông qua các đại diện là con người của mình, đưa ra đều không phải là đối tượng được giám đốc chú ý. Về mặt pháp lý, bản thân hội đồng quản trị chỉ được yêu cầu phê chuẩn những hành vi hoặc giao dịch quan trọng nhất của công ty: sáp nhập, thay đổi cơ cấu vốn, thay đổi cơ bản trong kinh doanh, bổ nhiệm và trả thù lao cho CEO, v.v. Như các sự kiện của vụ án này đã minh họa một cách rõ ràng, các quyết định kinh doanh thông thường được đưa ra bởi các cán bộ và nhân viên ở sâu hơn trong nội bộ tổ chức, tuy nhiên, có thể ảnh hưởng thiết yếu đến phúc lợi của công ty và khả năng đạt được các mục tiêu chiến lược và tài chính khác nhau của công ty. Nếu vụ án này tự nó không chứng minh được điều đó, thì lịch sử kinh doanh gần đây sẽ chứng minh. Hãy nhớ lại ví dụ việc ban lãnh đạo cấp cao và phần lớn hội đồng quản trị của Salomon, Inc. bị thay thế; việc thay thế ban lãnh đạo cấp cao của Kidder, Peabody sau khi phát hiện các khoản lỗ giao dịch lớn do một nhà giao dịch được trả thù lao cao thực hiện các giao dịch ma; hoặc tổn thất tài chính và thiệt hại danh tiếng to lớn mà Prudential Insurance phải gánh chịu do các cán bộ cấp dưới của mình xuyên tạc trong việc phân phối các quyền lợi hợp danh hữu hạn. Những thảm họa tài chính và tổ chức như vậy đặt ra câu hỏi: trách nhiệm của hội đồng quản trị đối với việc tổ chức và giám sát doanh nghiệp để đảm bảo rằng công ty hoạt động trong khuôn khổ pháp luật nhằm đạt được các mục đích của mình là gì?</w:t>
      </w:r>
    </w:p>
    <w:p>
      <w:pPr>
        <w:spacing w:after="80"/>
      </w:pPr>
      <w:r>
        <w:rPr>
          <w:b w:val="0"/>
          <w:i w:val="0"/>
        </w:rPr>
        <w:t>Ngày nay, câu hỏi này đã trở nên đặc biệt quan trọng do xu hướng ngày càng tăng, đặc biệt là theo luật liên bang, trong việc sử dụng luật hình sự để đảm bảo công ty tuân thủ các yêu cầu pháp lý bên ngoài, bao gồm các quy định về môi trường, tài chính, an toàn cho nhân viên và sản phẩm. Năm 1991, theo Đạo luật Cải cách Tuyên án năm 1984, Ủy ban Tuyên án Hoa Kỳ đã thông qua Hướng dẫn Tuyên án cho Tổ chức (Organizational Sentencing Guidelines), có tác động quan trọng đến hiệu lực tiềm tàng mà các chế tài hình sự này có thể có đối với các công ty kinh doanh. Hướng dẫn này đặt ra một cấu trúc tuyên án thống nhất cho các tổ chức bị tuyên án vì vi phạm các đạo luật hình sự liên bang và quy định các hình phạt bằng hoặc thường vượt xa những hình phạt trước đây áp dụng cho các công ty. Hướng dẫn này đưa ra những khuyến khích mạnh mẽ để các công ty ngày nay thiết lập các chương trình tuân thủ nhằm phát hiện các vi phạm pháp luật, kịp thời báo cáo vi phạm cho các quan chức công quyền thích hợp khi phát hiện, và thực hiện các nỗ lực khắc phục tự nguyện, kịp thời.</w:t>
      </w:r>
    </w:p>
    <w:p>
      <w:pPr>
        <w:spacing w:after="80"/>
      </w:pPr>
      <w:r>
        <w:rPr>
          <w:b w:val="0"/>
          <w:i w:val="0"/>
        </w:rPr>
        <w:t xml:space="preserve">Năm 1963, Tòa án Tối cao Delaware trong </w:t>
      </w:r>
      <w:r>
        <w:rPr>
          <w:b w:val="0"/>
          <w:i/>
        </w:rPr>
        <w:t>Graham v. Allis-Chalmers Mfg. Co.</w:t>
      </w:r>
      <w:r>
        <w:rPr>
          <w:b w:val="0"/>
          <w:i w:val="0"/>
        </w:rPr>
        <w:t xml:space="preserve"> đã giải quyết câu hỏi về trách nhiệm tiềm tàng của các thành viên hội đồng quản trị đối với những tổn thất mà công ty phải gánh chịu do công ty đã vi phạm luật chống độc quyền của Hoa Kỳ. Trong vụ án đó không có cáo buộc rằng các giám đốc biết về hành vi của các nhân viên cấp dưới của công ty dẫn đến trách nhiệm pháp lý. Thay vào đó, như trong vụ án này, khiếu nại được đưa ra là các giám đốc lẽ ra phải biết về điều đó và nếu họ biết, họ có thể có nghĩa vụ đưa công ty tuân thủ pháp luật và do đó cứu công ty khỏi tổn thất. Tòa án Tối cao Delaware kết luận rằng, dựa trên các sự kiện như chúng xuất hiện, không có cơ sở để xác định rằng các giám đốc đã vi phạm nghĩa vụ phải được thông tin về các hoạt động đang diễn ra của công ty. Với ngôn từ đặc biệt sinh động, tòa án tuyên bố rằng "khi không có lý do để nghi ngờ, các giám đốc không có nghĩa vụ phải thiết lập và vận hành một hệ thống do thám của công ty để truy tìm hành vi sai trái mà họ không có lý do để nghi ngờ là tồn tại." Tòa án nhận thấy rằng không có cơ sở để nghi ngờ trong vụ án đó, và do đó kết luận rằng các giám đốc đã không biết về hành vi dẫn đến trách nhiệm pháp lý của công ty mà không có lỗi gì.</w:t>
      </w:r>
    </w:p>
    <w:p>
      <w:pPr>
        <w:spacing w:after="80"/>
      </w:pPr>
      <w:r>
        <w:rPr>
          <w:b w:val="0"/>
          <w:i w:val="0"/>
        </w:rPr>
        <w:t xml:space="preserve">Làm thế nào để khái quát hóa phán quyết này ngày nay? Có thể nói ngày nay rằng, khi không có một cơ sở nào làm dấy lên nghi ngờ về vi phạm pháp luật, các giám đốc công ty không có nghĩa vụ đảm bảo rằng tồn tại một hệ thống thu thập và báo cáo thông tin của công ty thể hiện nỗ lực thiện chí nhằm cung cấp cho ban lãnh đạo cấp cao và Hội đồng quản trị thông tin về các hành vi, sự kiện hoặc điều kiện trọng yếu trong công ty, bao gồm việc tuân thủ các đạo luật và quy định hiện hành hay không? Tôi chắc chắn không tin như vậy. Tôi nghi ngờ rằng sự khái quát hóa rộng rãi như vậy đối với phán quyết trong </w:t>
      </w:r>
      <w:r>
        <w:rPr>
          <w:b w:val="0"/>
          <w:i/>
        </w:rPr>
        <w:t>Graham</w:t>
      </w:r>
      <w:r>
        <w:rPr>
          <w:b w:val="0"/>
          <w:i w:val="0"/>
        </w:rPr>
        <w:t xml:space="preserve"> sẽ được Tòa án Tối cao chấp nhận vào năm 1963. Vụ án có thể được giải thích theo nghĩa hẹp hơn là ủng hộ quan điểm rằng, khi không có cơ sở để nghi ngờ sự lừa dối, cả hội đồng quản trị công ty lẫn các cán bộ cấp cao đều không thể bị buộc tội sai trái chỉ vì giả định rằng nhân viên có sự chính trực và trung thực trong các giao dịch của họ thay mặt công ty.</w:t>
      </w:r>
    </w:p>
    <w:p>
      <w:pPr>
        <w:spacing w:after="80"/>
      </w:pPr>
      <w:r>
        <w:rPr>
          <w:b w:val="0"/>
          <w:i w:val="0"/>
        </w:rPr>
        <w:t xml:space="preserve">Theo ý kiến của tôi, một cách giải thích rộng hơn đối với </w:t>
      </w:r>
      <w:r>
        <w:rPr>
          <w:b w:val="0"/>
          <w:i/>
        </w:rPr>
        <w:t>Graham v. Allis-Chalmers</w:t>
      </w:r>
      <w:r>
        <w:rPr>
          <w:b w:val="0"/>
          <w:i w:val="0"/>
        </w:rPr>
        <w:t xml:space="preserve">—rằng nó có nghĩa là hội đồng quản trị công ty không có trách nhiệm đảm bảo rằng ban lãnh đạo thiết lập các hệ thống thông tin và báo cáo thích hợp—dù sao cũng sẽ không được Tòa án Tối cao Delaware chấp nhận vào năm 1996. Khi trình bày cơ sở cho quan điểm này, tôi bắt đầu với sự thừa nhận rằng trong những năm gần đây, Tòa án Tối cao Delaware đã làm rõ—đặc biệt là trong án lệ liên quan đến việc thâu tóm, từ </w:t>
      </w:r>
      <w:r>
        <w:rPr>
          <w:b w:val="0"/>
          <w:i/>
        </w:rPr>
        <w:t>Smith v. Van Gorkom</w:t>
      </w:r>
      <w:r>
        <w:rPr>
          <w:b w:val="0"/>
          <w:i w:val="0"/>
        </w:rPr>
        <w:t xml:space="preserve"> đến </w:t>
      </w:r>
      <w:r>
        <w:rPr>
          <w:b w:val="0"/>
          <w:i/>
        </w:rPr>
        <w:t>QVC v. Paramount Communications</w:t>
      </w:r>
      <w:r>
        <w:rPr>
          <w:b w:val="0"/>
          <w:i w:val="0"/>
        </w:rPr>
        <w:t>—mức độ nghiêm túc mà luật công ty nhìn nhận vai trò của hội đồng quản trị công ty. Thứ hai, tôi lưu ý đến sự thật sơ đẳng rằng thông tin phù hợp và kịp thời là tiền đề thiết yếu để hoàn thành vai trò giám sát và theo dõi của hội đồng quản trị theo Mục 141 của Luật Công ty Tổng hợp Delaware (Delaware General Corporation Law). Thứ ba, tôi lưu ý đến tác động tiềm tàng của hướng dẫn tuyên án tổ chức liên bang đối với bất kỳ tổ chức kinh doanh nào. Bất kỳ người hợp lý nào nỗ lực thiện chí để hoàn thành trách nhiệm quản trị tổ chức đều buộc phải tính đến sự phát triển này cùng các hình phạt gia tăng và các cơ hội giảm nhẹ chế tài mà nó mang lại.</w:t>
      </w:r>
    </w:p>
    <w:p>
      <w:pPr>
        <w:spacing w:after="80"/>
      </w:pPr>
      <w:r>
        <w:rPr>
          <w:b w:val="0"/>
          <w:i w:val="0"/>
        </w:rPr>
        <w:t>Dưới ánh sáng của những phát triển này, theo ý kiến của tôi, sẽ là sai lầm nếu kết luận rằng tuyên bố của Tòa án Tối cao chúng ta trong Graham liên quan đến "do thám" có nghĩa là hội đồng quản trị công ty có thể hoàn thành nghĩa vụ được thông tin một cách hợp lý về công ty mà không cần tự đảm bảo rằng tồn tại trong tổ chức các hệ thống thông tin và báo cáo được thiết kế hợp lý để cung cấp cho ban lãnh đạo cấp cao và chính hội đồng quản trị thông tin kịp thời, chính xác, đủ để cho phép ban lãnh đạo và hội đồng quản trị, mỗi bên trong phạm vi của mình, đưa ra những phán đoán được thông tin đầy đủ về cả việc tuân thủ pháp luật của công ty lẫn hiệu quả kinh doanh của công ty.</w:t>
      </w:r>
    </w:p>
    <w:p>
      <w:pPr>
        <w:spacing w:after="80"/>
      </w:pPr>
      <w:r>
        <w:rPr>
          <w:b w:val="0"/>
          <w:i w:val="0"/>
        </w:rPr>
        <w:t>Rõ ràng mức độ chi tiết phù hợp cho một hệ thống thông tin như vậy là một câu hỏi thuộc phán đoán kinh doanh. Và cũng rõ ràng rằng không có hệ thống thông tin và báo cáo nào được thiết kế hợp lý có thể loại bỏ khả năng công ty sẽ vi phạm luật hoặc quy định, hoặc các cán bộ cấp cao hay giám đốc đôi khi vẫn có thể bị dẫn dắt sai lệch hoặc không phát hiện một cách hợp lý các hành vi trọng yếu đối với việc tuân thủ pháp luật của công ty. Nhưng điều quan trọng là hội đồng quản trị phải thực hiện phán đoán thiện chí rằng hệ thống thông tin và báo cáo của công ty về mặt khái niệm và thiết kế là đầy đủ để đảm bảo với hội đồng rằng thông tin thích hợp sẽ đến được với họ một cách kịp thời như một phần của hoạt động thông thường, để họ có thể hoàn thành trách nhiệm của mình.</w:t>
      </w:r>
    </w:p>
    <w:p>
      <w:pPr>
        <w:spacing w:after="80"/>
      </w:pPr>
      <w:r>
        <w:rPr>
          <w:b w:val="0"/>
          <w:i w:val="0"/>
        </w:rPr>
        <w:t>Do đó, tôi cho rằng nghĩa vụ của một giám đốc bao gồm nghĩa vụ cố gắng một cách thiện chí để đảm bảo rằng tồn tại một hệ thống thông tin và báo cáo của công ty mà hội đồng quản trị kết luận là đầy đủ, và việc không làm được điều đó trong một số hoàn cảnh nhất định có thể, ít nhất về mặt lý thuyết, khiến một giám đốc phải chịu trách nhiệm về những tổn thất gây ra bởi việc không tuân thủ các tiêu chuẩn pháp lý hiện hành.</w:t>
      </w:r>
    </w:p>
    <w:p>
      <w:pPr>
        <w:spacing w:after="80"/>
      </w:pPr>
      <w:r>
        <w:rPr>
          <w:b w:val="0"/>
          <w:i/>
        </w:rPr>
        <w:t>Phân tích Đơn khiếu nại sửa đổi lần thứ ba và Thỏa thuận dàn xếp</w:t>
      </w:r>
    </w:p>
    <w:p>
      <w:pPr>
        <w:spacing w:after="80"/>
      </w:pPr>
      <w:r>
        <w:rPr>
          <w:b w:val="0"/>
          <w:i w:val="0"/>
        </w:rPr>
        <w:t>Sau khi cân nhắc, sau khi xem xét một hồ sơ đồ sộ trong vụ án này, bao gồm nhiều tài liệu và ba bản khai có tuyên thệ, tôi kết luận rằng thỏa thuận dàn xếp này là công bằng và hợp lý. Xét thực tế rằng Hội đồng quản trị Caremark đã có một ủy ban đang hoạt động được giao nhiệm vụ giám sát việc tuân thủ của công ty, những thay đổi trong thực tiễn công ty được đưa ra như là đối价 cho thỏa thuận dàn xếp không gây ấn tượng là rất đáng kể. Tuy nhiên, đối价 đó có vẻ hoàn toàn đầy đủ để hỗ trợ việc bác bỏ các khiếu nại phái sinh về lỗi của giám đốc được đưa ra, bởi vì những khiếu nại đó không tìm thấy sự hỗ trợ chứng cứ đáng kể nào trong hồ sơ và rất có khả năng dù sao cũng có thể bị đệ trình yêu cầu bác bỏ.</w:t>
      </w:r>
    </w:p>
    <w:p>
      <w:pPr>
        <w:spacing w:after="80"/>
      </w:pPr>
      <w:r>
        <w:rPr>
          <w:b w:val="0"/>
          <w:i w:val="0"/>
        </w:rPr>
        <w:t>Để chứng minh rằng các giám đốc Caremark đã vi phạm nghĩa vụ cẩn trọng của họ bằng cách không kiểm soát đầy đủ nhân viên của Caremark, nguyên đơn sẽ phải chứng minh rằng hoặc (1) các giám đốc biết hoặc (2) lẽ ra phải biết rằng các vi phạm pháp luật đang xảy ra và, trong cả hai trường hợp, (3) các giám đốc không thực hiện bước nào trong nỗ lực thiện chí để ngăn chặn hoặc khắc phục tình huống đó, và (4) rằng sự thất bại đó đã trực tiếp dẫn đến những tổn thất được khiếu nại. . . .</w:t>
      </w:r>
    </w:p>
    <w:p>
      <w:pPr>
        <w:spacing w:after="80"/>
      </w:pPr>
      <w:r>
        <w:rPr>
          <w:b w:val="0"/>
          <w:i/>
        </w:rPr>
        <w:t>Vi phạm có chủ ý đối với [sic] đạo luật:</w:t>
      </w:r>
      <w:r>
        <w:rPr>
          <w:b w:val="0"/>
          <w:i w:val="0"/>
        </w:rPr>
        <w:t xml:space="preserve"> Liên quan đến khả năng các giám đốc Caremark biết về các vi phạm pháp luật, không có tài liệu nào được đệ trình để xem xét, cũng như bất kỳ bản ghi khai có tuyên thệ nào có vẻ cung cấp bằng chứng về điều đó. Chắc chắn Hội đồng quản trị hiểu rằng công ty đã ký kết nhiều loại hợp đồng khác nhau với các bác sĩ, nhà nghiên cứu và nhà cung cấp dịch vụ chăm sóc sức khỏe và người ta hiểu rằng một số hợp đồng này là với những người đã kê đơn các phương pháp điều trị mà Caremark tham gia cung cấp. Hội đồng quản trị đã được thông báo rằng việc hoàn trả của công ty cho việc chăm sóc bệnh nhân thường đến từ các nguồn do chính phủ tài trợ và rằng các dịch vụ đó phải tuân theo ARPL. Nhưng Hội đồng quản trị dường như đã được các chuyên gia thông báo rằng các thực tiễn của công ty, dù có thể tranh cãi, là hợp pháp. Không có bằng chứng rằng việc dựa vào các báo cáo như vậy là không hợp lý. Do đó, vụ án này không đưa ra dịp nào để áp dụng một nguyên tắc theo đó việc cố ý khiến công ty vi phạm một đạo luật hình sự cấu thành hành vi vi phạm nghĩa vụ tín thác của một giám đốc.</w:t>
      </w:r>
    </w:p>
    <w:p>
      <w:pPr>
        <w:spacing w:after="80"/>
      </w:pPr>
      <w:r>
        <w:rPr>
          <w:b w:val="0"/>
          <w:i/>
        </w:rPr>
        <w:t>Không giám sát:</w:t>
      </w:r>
      <w:r>
        <w:rPr>
          <w:b w:val="0"/>
          <w:i w:val="0"/>
        </w:rPr>
        <w:t xml:space="preserve"> Vì có vẻ như Hội đồng quản trị ở một mức độ nào đó không biết về các hoạt động dẫn đến trách nhiệm pháp lý, tôi chuyển sang xem xét con đường tiềm năng khác dẫn đến trách nhiệm của giám đốc mà các lập luận khác đề cập: sự thiếu chú ý hoặc "sự sơ suất" của giám đốc. Nói chung, khi một khiếu nại về trách nhiệm của giám đốc liên quan đến các hoạt động trong công ty, như trong </w:t>
      </w:r>
      <w:r>
        <w:rPr>
          <w:b w:val="0"/>
          <w:i/>
        </w:rPr>
        <w:t>Graham</w:t>
      </w:r>
      <w:r>
        <w:rPr>
          <w:b w:val="0"/>
          <w:i w:val="0"/>
        </w:rPr>
        <w:t xml:space="preserve"> hoặc trong vụ án này, theo ý kiến của tôi, chỉ một sự thất bại kéo dài hoặc có hệ thống của hội đồng quản trị trong việc thực hiện giám sát—chẳng hạn như sự thất bại hoàn toàn trong việc cố gắng đảm bảo tồn tại một hệ thống thông tin và báo cáo hợp lý—mới thiết lập được sự thiếu thiện chí, vốn là điều kiện cần thiết để phát sinh trách nhiệm pháp lý. Một phép thử trách nhiệm như vậy—thiếu thiện chí được chứng minh bằng sự thất bại kéo dài hoặc có hệ thống của một giám đốc trong việc thực hiện giám sát hợp lý—là khá cao. Nhưng một phép thử trách nhiệm đòi hỏi khắt khe trong bối cảnh giám sát có lẽ có lợi cho các cổ đông của công ty nói chung, cũng như trong bối cảnh quyết định của hội đồng quản trị, vì nó làm cho việc phục vụ trong hội đồng quản trị của những người có năng lực trở nên khả thi hơn, đồng thời tiếp tục đóng vai trò như một động lực thúc đẩy </w:t>
      </w:r>
      <w:r>
        <w:rPr>
          <w:b w:val="0"/>
          <w:i/>
        </w:rPr>
        <w:t>việc thực hiện nghĩa vụ một cách thiện chí</w:t>
      </w:r>
      <w:r>
        <w:rPr>
          <w:b w:val="0"/>
          <w:i w:val="0"/>
        </w:rPr>
        <w:t xml:space="preserve"> của các giám đốc đó.</w:t>
      </w:r>
    </w:p>
    <w:p>
      <w:pPr>
        <w:spacing w:after="80"/>
      </w:pPr>
      <w:r>
        <w:rPr>
          <w:b w:val="0"/>
          <w:i w:val="0"/>
        </w:rPr>
        <w:t>Ở đây, hồ sơ về cơ bản không cung cấp bằng chứng nào cho thấy các bị đơn là giám đốc đã phạm lỗi về sự thất bại kéo dài trong việc thực hiện chức năng giám sát của họ. . . .</w:t>
      </w:r>
    </w:p>
    <w:p>
      <w:pPr>
        <w:spacing w:after="80"/>
      </w:pPr>
      <w:r>
        <w:rPr>
          <w:b w:val="0"/>
          <w:i w:val="0"/>
        </w:rPr>
        <w:t>Trách nhiệm pháp lý phát sinh trong trường hợp này là rất lớn. Nhưng việc nó xuất phát chỉ từ một vi phạm pháp luật hình sự không tự nó tạo ra hành vi vi phạm nghĩa vụ tín thác của các giám đốc. Hồ sơ ở giai đoạn này không hỗ trợ kết luận rằng các bị đơn hoặc thiếu thiện chí trong việc thực hiện trách nhiệm giám sát của họ hoặc đã tận tâm cho phép một vi phạm pháp luật đã biết của công ty xảy ra. . . .</w:t>
      </w:r>
    </w:p>
    <w:p>
      <w:pPr>
        <w:spacing w:after="80"/>
      </w:pPr>
      <w:r>
        <w:rPr>
          <w:b w:val="0"/>
          <w:i w:val="0"/>
        </w:rPr>
        <w:t>Thỏa thuận dàn xếp được đề xuất mang lại những lợi ích rất khiêm tốn. Theo thỏa thuận dàn xếp, nguyên đơn đã được đảm bảo rõ ràng rằng Caremark sẽ có một hệ thống giám sát tập trung và chủ động hơn trong tương lai. . . . Tuy nhiên, xét tính yếu kém của các khiếu nại của nguyên đơn, thỏa thuận dàn xếp được đề xuất có vẻ là một kết quả đầy đủ, hợp lý và có lợi cho tất cả các bên. Do đó, thỏa thuận dàn xếp được đề xuất sẽ được chấp thuận.</w:t>
      </w:r>
    </w:p>
    <w:p>
      <w:pPr>
        <w:pStyle w:val="Heading5"/>
      </w:pPr>
      <w:r>
        <w:rPr>
          <w:rFonts w:ascii="Calibri" w:hAnsi="Calibri"/>
          <w:b/>
          <w:i/>
          <w:sz w:val="22"/>
        </w:rPr>
        <w:t>Bình luận và Câu hỏi</w:t>
      </w:r>
    </w:p>
    <w:p>
      <w:pPr>
        <w:spacing w:after="80"/>
      </w:pPr>
      <w:r>
        <w:rPr>
          <w:b w:val="0"/>
          <w:i w:val="0"/>
        </w:rPr>
        <w:t>1. Theo Thẩm phán Allen, các xu hướng trong việc thực thi pháp luật hình sự liên bang đã ảnh hưởng như thế nào đến nhu cầu giám sát của hội đồng quản trị đối với các hệ thống tuân thủ của công ty?</w:t>
      </w:r>
    </w:p>
    <w:p>
      <w:pPr>
        <w:spacing w:after="80"/>
      </w:pPr>
      <w:r>
        <w:rPr>
          <w:b w:val="0"/>
          <w:i w:val="0"/>
        </w:rPr>
        <w:t>2. Tòa án đã định nghĩa thiện chí như thế nào liên quan đến nghĩa vụ giám sát của hội đồng quản trị? Tại sao Thẩm phán Allen chọn tiêu chuẩn này? Các giám đốc có hành động thiếu thiện chí nếu họ không giám sát tính đầy đủ của các hệ thống tuân thủ của công ty không?</w:t>
      </w:r>
    </w:p>
    <w:p>
      <w:pPr>
        <w:spacing w:after="80"/>
      </w:pPr>
      <w:r>
        <w:rPr>
          <w:b w:val="0"/>
          <w:i w:val="0"/>
        </w:rPr>
        <w:t>3. Tòa án xác định rằng hội đồng quản trị của Caremark có trách nhiệm thiết lập một hệ thống được thiết kế để cung cấp thông tin liên quan đến các sự kiện trong công ty "để đưa ra các phán đoán được thông tin đầy đủ liên quan đến cả việc tuân thủ pháp luật của công ty và hiệu quả kinh doanh của nó." Ngôn ngữ này có chỉ ra rằng nghĩa vụ giám sát của hội đồng quản trị mở rộng ra ngoài việc giám sát tuân thủ pháp luật của công ty đến các rủi ro kinh doanh khác không? Ý kiến của Thẩm phán Allen có đưa ra sự ủng hộ cho một yêu cầu rằng các hội đồng quản trị phải giám sát các loại rủi ro khác không?</w:t>
      </w:r>
    </w:p>
    <w:p>
      <w:pPr>
        <w:spacing w:after="80"/>
      </w:pPr>
      <w:r>
        <w:rPr>
          <w:b w:val="0"/>
          <w:i w:val="0"/>
        </w:rPr>
        <w:t>4. Luật liên bang tiếp tục ảnh hưởng đến nghĩa vụ giám sát của các giám đốc. Ví dụ, được thúc đẩy bởi sự sụp đổ của Enron và WorldCom và việc Quốc hội ban hành Sarbanes-Oxley, Hướng dẫn Tuyên án cho các Tổ chức của Hoa Kỳ đã được sửa đổi để nhấn mạnh vai trò của các giám đốc trong việc giám sát các chương trình tuân thủ của công ty. Có hiệu lực từ năm 2004, các Hướng dẫn sửa đổi đã làm rõ rằng để công ty nhận được tín dụng vì có một chương trình tuân thủ và đạo đức hiệu quả, hội đồng quản trị phải hiểu biết về nội dung và hoạt động của nó và phải thực hiện giám sát hợp lý đối với việc triển khai và tính hiệu quả của nó. Ngoài ra, các công ty phải truyền đạt các tiêu chuẩn và thủ tục của họ cho các giám đốc bằng cách tiến hành các chương trình đào tạo hiệu quả và bằng cách khác phổ biến thông tin phù hợp với vai trò và trách nhiệm của các giám đốc. Tuy nhiên, các hội đồng quản trị có thể giao trách nhiệm giám sát cho một tiểu ban, chẳng hạn như ủy ban kiểm toán.</w:t>
      </w:r>
    </w:p>
    <w:p>
      <w:pPr>
        <w:spacing w:after="80"/>
      </w:pPr>
      <w:r>
        <w:rPr>
          <w:b w:val="0"/>
          <w:i w:val="0"/>
        </w:rPr>
        <w:t>Sau cuộc khủng hoảng tài chính toàn cầu năm 2008, Ủy ban Tuyên án Hoa Kỳ lại sửa đổi Hướng dẫn Tuyên án cho các Tổ chức. Bắt đầu từ ngày 1 tháng 11 năm 2010, các công ty có chương trình tuân thủ và đạo đức hiệu quả có thể nhận được tín dụng bổ sung trong quá trình tuyên án, ngay cả khi hành vi phạm tội liên quan đến nhân sự cấp cao, miễn là, trong số các yêu cầu khác, cá nhân chịu trách nhiệm về chương trình (thường là một giám đốc tuân thủ) có nghĩa vụ báo cáo trực tiếp cho hội đồng quản trị hoặc ủy ban được chỉ định của nó.</w:t>
      </w:r>
    </w:p>
    <w:p>
      <w:pPr>
        <w:spacing w:after="80"/>
      </w:pPr>
      <w:r>
        <w:rPr>
          <w:b w:val="0"/>
          <w:i w:val="0"/>
        </w:rPr>
        <w:t xml:space="preserve">5. Thẩm phán Allen nhận định rằng “chỉ có sự thất bại kéo dài hoặc có hệ thống của hội đồng quản trị trong việc thực hiện giám sát—chẳng hạn như sự thất bại hoàn toàn trong việc cố gắng đảm bảo rằng một hệ thống thông tin và báo cáo hợp lý tồn tại—mới có thể xác lập sự thiếu thiện chí, vốn là điều kiện cần thiết để phát sinh trách nhiệm pháp lý,” và rằng một khiếu nại về việc không giám sát “có lẽ là học thuyết khó khăn nhất trong luật công ty mà nguyên đơn có thể hy vọng thắng kiện.” Các phán quyết sau đó ở Delaware thường xuyên lặp lại ngôn ngữ này. Với ngôn ngữ này, bạn có nghĩ rằng </w:t>
      </w:r>
      <w:r>
        <w:rPr>
          <w:b w:val="0"/>
          <w:i/>
        </w:rPr>
        <w:t>Caremark</w:t>
      </w:r>
      <w:r>
        <w:rPr>
          <w:b w:val="0"/>
          <w:i w:val="0"/>
        </w:rPr>
        <w:t xml:space="preserve"> đại diện cho một bước ngoặt đáng kể so với </w:t>
      </w:r>
      <w:r>
        <w:rPr>
          <w:b w:val="0"/>
          <w:i/>
        </w:rPr>
        <w:t>Graham</w:t>
      </w:r>
      <w:r>
        <w:rPr>
          <w:b w:val="0"/>
          <w:i w:val="0"/>
        </w:rPr>
        <w:t xml:space="preserve"> không? Tại sao có hoặc tại sao không?</w:t>
      </w:r>
    </w:p>
    <w:p>
      <w:pPr>
        <w:spacing w:after="80"/>
      </w:pPr>
      <w:r>
        <w:rPr>
          <w:b w:val="0"/>
          <w:i w:val="0"/>
        </w:rPr>
        <w:t>—————</w:t>
      </w:r>
    </w:p>
    <w:p>
      <w:pPr>
        <w:spacing w:after="80"/>
      </w:pPr>
      <w:r>
        <w:rPr>
          <w:b w:val="0"/>
          <w:i w:val="0"/>
        </w:rPr>
        <w:t xml:space="preserve">Dựa trên những nhận định kèm theo (dicta) của Thẩm phán Allen, các tòa án dần công nhận cái gọi là “khiếu nại </w:t>
      </w:r>
      <w:r>
        <w:rPr>
          <w:b w:val="0"/>
          <w:i/>
        </w:rPr>
        <w:t>Caremark</w:t>
      </w:r>
      <w:r>
        <w:rPr>
          <w:b w:val="0"/>
          <w:i w:val="0"/>
        </w:rPr>
        <w:t>”—các nguyên nhân khởi kiện cáo buộc rằng sự “thất bại hoàn toàn” hoặc “thất bại có hệ thống” của hội đồng quản trị trong việc giám sát việc tuân thủ pháp luật đã gây tổn hại cho công ty. Các giám đốc phải cố gắng với thiện chí không chỉ để đảm bảo rằng công ty có một hệ thống thông tin và báo cáo nội bộ, mà còn để đảm bảo rằng hệ thống báo cáo đó đủ khả năng đảm bảo với hội đồng quản trị rằng những thông tin phù hợp về việc tuân thủ các luật hiện hành sẽ đến được với họ một cách kịp thời trong quá trình hoạt động thông thường. Bởi vì các công ty trong những ngành khác nhau chịu sự điều chỉnh của nhiều luật và quy định khác nhau ở cấp liên bang, tiểu bang và địa phương, trách nhiệm giám sát của những người có nghĩa vụ ủy thác (fiduciary) trong công ty sẽ khác nhau tùy thuộc vào hoạt động kinh doanh của công ty; các nghĩa vụ ủy thác sẽ được điều chỉnh cho phù hợp với từng tình huống và sự kiện cụ thể. Tuy nhiên, nhìn chung, việc tuân thủ các luật chống gian lận là điều thiết yếu đối với mọi công ty.</w:t>
      </w:r>
    </w:p>
    <w:p>
      <w:pPr>
        <w:spacing w:after="80"/>
      </w:pPr>
      <w:r>
        <w:rPr>
          <w:b w:val="0"/>
          <w:i w:val="0"/>
        </w:rPr>
        <w:t xml:space="preserve">Mặc dù phần lớn chỉ mang tính khuyến nghị, ý kiến của Thẩm phán Allen trong </w:t>
      </w:r>
      <w:r>
        <w:rPr>
          <w:b w:val="0"/>
          <w:i/>
        </w:rPr>
        <w:t>Caremark</w:t>
      </w:r>
      <w:r>
        <w:rPr>
          <w:b w:val="0"/>
          <w:i w:val="0"/>
        </w:rPr>
        <w:t xml:space="preserve"> đã tạo ra sự quan tâm đáng kể. Trong hơn một thập kỷ, các luật sư công ty và học giả pháp lý đã mổ xẻ những nhận định kèm theo trong </w:t>
      </w:r>
      <w:r>
        <w:rPr>
          <w:b w:val="0"/>
          <w:i/>
        </w:rPr>
        <w:t>Caremark</w:t>
      </w:r>
      <w:r>
        <w:rPr>
          <w:b w:val="0"/>
          <w:i w:val="0"/>
        </w:rPr>
        <w:t xml:space="preserve">, nghiên cứu các phán quyết sau đó đánh giá các khiếu nại </w:t>
      </w:r>
      <w:r>
        <w:rPr>
          <w:b w:val="0"/>
          <w:i/>
        </w:rPr>
        <w:t>Caremark</w:t>
      </w:r>
      <w:r>
        <w:rPr>
          <w:b w:val="0"/>
          <w:i w:val="0"/>
        </w:rPr>
        <w:t>, và tranh luận về ranh giới của việc giám sát cũng như nghĩa vụ thiện chí. Rồi đến năm 2006, Tòa án Tối cao Delaware đã công nhận trách nhiệm giám sát của hội đồng quản trị các công ty đại chúng và cố gắng làm rõ học thuyết này.</w:t>
      </w:r>
    </w:p>
    <w:p>
      <w:pPr>
        <w:pStyle w:val="Heading4"/>
      </w:pPr>
      <w:r>
        <w:rPr>
          <w:rFonts w:ascii="Calibri" w:hAnsi="Calibri"/>
          <w:b/>
          <w:i w:val="0"/>
          <w:sz w:val="23"/>
        </w:rPr>
        <w:t>Stone v. Ritter</w:t>
      </w:r>
    </w:p>
    <w:p>
      <w:pPr>
        <w:spacing w:after="80"/>
      </w:pPr>
      <w:r>
        <w:rPr>
          <w:b w:val="0"/>
          <w:i w:val="0"/>
        </w:rPr>
        <w:t>Tòa án Tối cao Delaware</w:t>
      </w:r>
      <w:r>
        <w:br/>
      </w:r>
      <w:r>
        <w:rPr>
          <w:b w:val="0"/>
          <w:i w:val="0"/>
        </w:rPr>
        <w:t xml:space="preserve"> 911 A.2d 362 (2006)</w:t>
      </w:r>
    </w:p>
    <w:p>
      <w:pPr>
        <w:spacing w:after="80"/>
      </w:pPr>
      <w:r>
        <w:rPr>
          <w:b w:val="0"/>
          <w:i w:val="0"/>
        </w:rPr>
        <w:t>THẨM PHÁN HOLLAND :</w:t>
      </w:r>
    </w:p>
    <w:p>
      <w:pPr>
        <w:spacing w:after="80"/>
      </w:pPr>
      <w:r>
        <w:rPr>
          <w:b w:val="0"/>
          <w:i w:val="0"/>
        </w:rPr>
        <w:t>Đây là kháng cáo từ một phán quyết cuối cùng của Tòa án Chancery bác bỏ một đơn kiện phái sinh (derivative complaint) chống lại mười lăm giám đốc hiện tại và cựu giám đốc của AmSouth Bancorporation (“AmSouth”), một công ty Delaware. Các nguyên đơn kháng cáo, William và Sandra Stone, là cổ đông của AmSouth và đã nộp đơn kiện phái sinh của họ mà không gửi yêu cầu trước khi khởi kiện (pre-suit demand) lên hội đồng quản trị của AmSouth (“Hội đồng quản trị”). Tòa án Chancery phán quyết rằng các nguyên đơn đã không lập luận đầy đủ rằng yêu cầu như vậy sẽ là vô ích. Do đó, Tòa án đã bác bỏ đơn kiện phái sinh theo Quy tắc 23.1 của Tòa án Chancery.</w:t>
      </w:r>
    </w:p>
    <w:p>
      <w:pPr>
        <w:spacing w:after="80"/>
      </w:pPr>
      <w:r>
        <w:rPr>
          <w:b w:val="0"/>
          <w:i w:val="0"/>
        </w:rPr>
        <w:t xml:space="preserve">Tòa án Chancery mô tả các cáo buộc trong đơn kiện phái sinh là một “khiếu nại </w:t>
      </w:r>
      <w:r>
        <w:rPr>
          <w:b w:val="0"/>
          <w:i/>
        </w:rPr>
        <w:t>Caremark</w:t>
      </w:r>
      <w:r>
        <w:rPr>
          <w:b w:val="0"/>
          <w:i w:val="0"/>
        </w:rPr>
        <w:t xml:space="preserve"> kinh điển[ . . . ]” Trong </w:t>
      </w:r>
      <w:r>
        <w:rPr>
          <w:b w:val="0"/>
          <w:i/>
        </w:rPr>
        <w:t>Caremark</w:t>
      </w:r>
      <w:r>
        <w:rPr>
          <w:b w:val="0"/>
          <w:i w:val="0"/>
        </w:rPr>
        <w:t>, Tòa án Chancery đã công nhận rằng: “[n]hìn chung, khi một khiếu nại về trách nhiệm của giám đốc đối với tổn thất của công ty dựa trên sự không hay biết về các hoạt động tạo ra trách nhiệm pháp lý trong nội bộ công ty . . . thì chỉ có sự thất bại kéo dài hoặc có hệ thống của hội đồng quản trị trong việc thực hiện giám sát—chẳng hạn như sự thất bại hoàn toàn trong việc cố gắng đảm bảo rằng một hệ thống thông tin và báo cáo hợp lý tồn tại—mới có thể xác lập sự thiếu thiện chí, vốn là điều kiện cần thiết để phát sinh trách nhiệm pháp lý.”</w:t>
      </w:r>
    </w:p>
    <w:p>
      <w:pPr>
        <w:spacing w:after="80"/>
      </w:pPr>
      <w:r>
        <w:rPr>
          <w:b w:val="0"/>
          <w:i w:val="0"/>
        </w:rPr>
        <w:t xml:space="preserve">Trong kháng cáo này, các nguyên đơn thừa nhận rằng các giám đốc không “biết [c]ũng như không lẽ ra phải biết rằng các hành vi vi phạm pháp luật đang diễn ra,” </w:t>
      </w:r>
      <w:r>
        <w:rPr>
          <w:b w:val="0"/>
          <w:i/>
        </w:rPr>
        <w:t>tức là</w:t>
      </w:r>
      <w:r>
        <w:rPr>
          <w:b w:val="0"/>
          <w:i w:val="0"/>
        </w:rPr>
        <w:t>, không có “cờ đỏ” (red flags) nào trước mặt các giám đốc. Tuy nhiên, các nguyên đơn lập luận rằng Tòa án Chancery đã sai lầm khi bác bỏ đơn kiện phái sinh, trong đó cáo buộc rằng “các bị đơn đã hoàn toàn thất bại trong việc triển khai bất kỳ loại biện pháp giám sát, báo cáo hoặc kiểm soát thông tin nào theo luật định, những biện pháp lẽ ra đã cho phép họ biết được những vấn đề cần sự quan tâm của họ.”</w:t>
      </w:r>
    </w:p>
    <w:p>
      <w:pPr>
        <w:spacing w:after="80"/>
      </w:pPr>
      <w:r>
        <w:rPr>
          <w:b w:val="0"/>
          <w:i w:val="0"/>
        </w:rPr>
        <w:t xml:space="preserve">Nhất quán với ý kiến của chúng tôi trong </w:t>
      </w:r>
      <w:r>
        <w:rPr>
          <w:b w:val="0"/>
          <w:i/>
        </w:rPr>
        <w:t>In re Walt Disney Co. Deriv. Litig</w:t>
      </w:r>
      <w:r>
        <w:rPr>
          <w:b w:val="0"/>
          <w:i w:val="0"/>
        </w:rPr>
        <w:t xml:space="preserve">, chúng tôi cho rằng </w:t>
      </w:r>
      <w:r>
        <w:rPr>
          <w:b w:val="0"/>
          <w:i/>
        </w:rPr>
        <w:t>Caremark</w:t>
      </w:r>
      <w:r>
        <w:rPr>
          <w:b w:val="0"/>
          <w:i w:val="0"/>
        </w:rPr>
        <w:t xml:space="preserve"> đã nêu rõ các điều kiện cần thiết để đánh giá trách nhiệm giám sát của giám đốc. Chúng tôi cũng kết luận rằng tiêu chuẩn </w:t>
      </w:r>
      <w:r>
        <w:rPr>
          <w:b w:val="0"/>
          <w:i/>
        </w:rPr>
        <w:t>Caremark</w:t>
      </w:r>
      <w:r>
        <w:rPr>
          <w:b w:val="0"/>
          <w:i w:val="0"/>
        </w:rPr>
        <w:t xml:space="preserve"> đã được áp dụng đúng đắn để đánh giá đơn kiện phái sinh trong vụ án này. Theo đó, phán quyết của Tòa án Chancery phải được giữ nguyên.</w:t>
      </w:r>
    </w:p>
    <w:p>
      <w:pPr>
        <w:spacing w:after="80"/>
      </w:pPr>
      <w:r>
        <w:rPr>
          <w:b w:val="0"/>
          <w:i/>
        </w:rPr>
        <w:t>Các sự kiện</w:t>
      </w:r>
    </w:p>
    <w:p>
      <w:pPr>
        <w:spacing w:after="80"/>
      </w:pPr>
      <w:r>
        <w:rPr>
          <w:b w:val="0"/>
          <w:i w:val="0"/>
        </w:rPr>
        <w:t>Vụ kiện phái sinh này được William và Sandra Stone đưa ra thay mặt cho AmSouth, với cáo buộc rằng họ sở hữu cổ phiếu phổ thông của AmSouth “trong mọi thời điểm liên quan.” Bị đơn danh nghĩa, AmSouth, là một công ty Delaware có trụ sở điều hành chính đặt tại Birmingham, Alabama. Trong thời gian liên quan, công ty con sở hữu toàn phần của AmSouth là AmSouth Bank đã vận hành khoảng 600 chi nhánh ngân hàng thương mại tại sáu tiểu bang khắp vùng đông nam Hoa Kỳ và thuê hơn 11.600 nhân viên. Năm 2004, AmSouth và AmSouth Bank đã nộp 40 triệu đô-la tiền phạt và 10 triệu đô-la tiền phạt dân sự để giải quyết các cuộc điều tra của chính phủ và cơ quan quản lý, chủ yếu liên quan đến việc nhân viên ngân hàng không nộp “Báo cáo Hoạt động Đáng ngờ” (“SARs”), theo yêu cầu của Đạo luật Bảo mật Ngân hàng liên bang (“BSA”) và nhiều quy định chống rửa tiền (“AML”) khác nhau. . . . Không có tiền phạt hay hình phạt nào được áp đặt lên các giám đốc của AmSouth, và không có hành động quản lý nào khác được thực hiện đối với họ.</w:t>
      </w:r>
    </w:p>
    <w:p>
      <w:pPr>
        <w:spacing w:after="80"/>
      </w:pPr>
      <w:r>
        <w:rPr>
          <w:b w:val="0"/>
          <w:i w:val="0"/>
        </w:rPr>
        <w:t>Các cuộc điều tra của chính phủ ban đầu phát sinh từ một kế hoạch “Ponzi” bất hợp pháp do Louis D. Hamric, II và Victor G. Nance điều hành. . . . Vào tháng 8 năm 2000 . . . Nance đã thuyết phục hơn bốn mươi khách hàng của mình đầu tư vào các giấy nợ (promissory notes) có lãi suất cao, bằng cách xuyên tạc bản chất và rủi ro của khoản đầu tư đó. Dựa trên những lời trình bày tương tự của Hamric và Nance, các nhân viên chi nhánh AmSouth ở Tennessee đã đồng ý cung cấp tài khoản lưu ký (custodial accounts) cho các nhà đầu tư và phân phối các khoản thanh toán lãi hàng tháng vào mỗi tài khoản khi nhận được séc từ Hamric và chỉ thị từ Nance.</w:t>
      </w:r>
    </w:p>
    <w:p>
      <w:pPr>
        <w:spacing w:after="80"/>
      </w:pPr>
      <w:r>
        <w:rPr>
          <w:b w:val="0"/>
          <w:i w:val="0"/>
        </w:rPr>
        <w:t>Kế hoạch Hamric-Nance bị phát hiện vào tháng 3 năm 2002, khi các nhà đầu tư không nhận được các khoản thanh toán lãi hàng tháng của họ. Sau đó, Hamric và Nance trở thành đối tượng của một số vụ kiện dân sự do các nhà đầu tư bị lừa đảo khởi kiện ở Tennessee và Mississippi (và trong đó AmSouth cũng bị nêu tên với tư cách bị đơn), và cũng là đối tượng của một cuộc điều tra của đại bồi thẩm đoàn liên bang tại Quận phía Nam Mississippi. Hamric và Nance bị truy tố về các tội danh rửa tiền liên bang, và cả hai đều nhận tội.</w:t>
      </w:r>
    </w:p>
    <w:p>
      <w:pPr>
        <w:spacing w:after="80"/>
      </w:pPr>
      <w:r>
        <w:rPr>
          <w:b w:val="0"/>
          <w:i w:val="0"/>
        </w:rPr>
        <w:t>Các cơ quan chức năng đã xem xét việc AmSouth tuân thủ các nghĩa vụ báo cáo và các nghĩa vụ khác của mình theo BSA. Vào ngày 17 tháng 11 năm 2003, USAO thông báo cho AmSouth rằng công ty đang là đối tượng của một cuộc điều tra hình sự.</w:t>
      </w:r>
    </w:p>
    <w:p>
      <w:pPr>
        <w:spacing w:after="80"/>
      </w:pPr>
      <w:r>
        <w:rPr>
          <w:b w:val="0"/>
          <w:i w:val="0"/>
        </w:rPr>
        <w:t>Vào ngày 12 tháng 10 năm 2004, Cục Dự trữ Liên bang và Sở Ngân hàng Alabama đồng thời ban hành Lệnh Đình chỉ và Chấm dứt (Cease and Desist Order) đối với AmSouth, yêu cầu ngân hàng này, lần đầu tiên, phải cải thiện chương trình BSA/AML của mình.</w:t>
      </w:r>
    </w:p>
    <w:p>
      <w:pPr>
        <w:spacing w:after="80"/>
      </w:pPr>
      <w:r>
        <w:rPr>
          <w:b w:val="0"/>
          <w:i w:val="0"/>
        </w:rPr>
        <w:t>FinCEN phát hiện rằng “AmSouth đã vi phạm các yêu cầu báo cáo hoạt động đáng ngờ của Đạo luật Bảo mật Ngân hàng (Bank Secrecy Act),” và rằng “[k]ể từ ngày 24 tháng 4 năm 2002, AmSouth đã vi phạm các yêu cầu của chương trình chống rửa tiền theo Đạo luật Bảo mật Ngân hàng.” Trong số các kết luận cụ thể của FinCEN có kết luận rằng “chương trình [tuân thủ AML] của AmSouth thiếu sự giám sát đầy đủ của hội đồng quản trị và ban điều hành,” và rằng “việc báo cáo lên ban điều hành nhằm mục đích theo dõi và giám sát các hoạt động tuân thủ đã thiếu sót một cách trầm trọng.”</w:t>
      </w:r>
    </w:p>
    <w:p>
      <w:pPr>
        <w:spacing w:after="80"/>
      </w:pPr>
      <w:r>
        <w:rPr>
          <w:b w:val="0"/>
          <w:i/>
        </w:rPr>
        <w:t>Tính vô ích của yêu cầu khởi kiện và tính độc lập của giám đốc</w:t>
      </w:r>
    </w:p>
    <w:p>
      <w:pPr>
        <w:spacing w:after="80"/>
      </w:pPr>
      <w:r>
        <w:rPr>
          <w:b w:val="0"/>
          <w:i w:val="0"/>
        </w:rPr>
        <w:t>Một nguyên tắc cơ bản của Luật Tổng công ty chung Delaware (Delaware General Corporation Law) là “[c]ác hoạt động kinh doanh và công việc của mọi tổng công ty được tổ chức theo chương này phải được quản lý bởi hoặc dưới sự chỉ đạo của một hội đồng quản trị. . . .” Do đó, “về bản chất, [một] vụ kiện phái sinh (derivative action) xâm phạm đến quyền tự do quản lý của các giám đốc.” Vì vậy, quyền của cổ đông trong việc khởi kiện một vụ kiện phái sinh chỉ giới hạn trong các trường hợp mà hoặc cổ đông đã yêu cầu các giám đốc theo đuổi một khiếu nại của công ty và các giám đốc đã từ chối một cách sai trái, hoặc khi yêu cầu đó được miễn trừ vì các giám đốc không có khả năng đưa ra quyết định khách quan về việc có nên khởi kiện hay không. Theo đó, Quy tắc 23.1 của Tòa án Chancery yêu cầu rằng đơn khởi kiện trong một vụ kiện phái sinh phải “nêu rõ một cách cụ thể những nỗ lực, nếu có, mà nguyên đơn đã thực hiện để đạt được hành động mà nguyên đơn mong muốn từ các giám đốc [hoặc] lý do nguyên đơn không đạt được hành động đó hoặc không thực hiện nỗ lực đó.”</w:t>
      </w:r>
    </w:p>
    <w:p>
      <w:pPr>
        <w:spacing w:after="80"/>
      </w:pPr>
      <w:r>
        <w:rPr>
          <w:b w:val="0"/>
          <w:i w:val="0"/>
        </w:rPr>
        <w:t>Để miễn trừ yêu cầu khởi kiện theo [</w:t>
      </w:r>
      <w:r>
        <w:rPr>
          <w:b w:val="0"/>
          <w:i/>
        </w:rPr>
        <w:t>Rales v. Blasband</w:t>
      </w:r>
      <w:r>
        <w:rPr>
          <w:b w:val="0"/>
          <w:i w:val="0"/>
        </w:rPr>
        <w:t xml:space="preserve"> ,] “tòa án phải xác định liệu các cáo buộc thực tế cụ thể trong đơn khởi kiện phái sinh của cổ đông có tạo ra nghi ngờ hợp lý rằng, tại thời điểm đơn khởi kiện được nộp, hội đồng quản trị có thể đã thực hiện đúng đắn phán đoán kinh doanh độc lập và khách quan của mình khi phản hồi một yêu cầu khởi kiện hay không.” Các nguyên đơn cố gắng thỏa mãn tiêu chuẩn </w:t>
      </w:r>
      <w:r>
        <w:rPr>
          <w:b w:val="0"/>
          <w:i/>
        </w:rPr>
        <w:t>Rales</w:t>
      </w:r>
      <w:r>
        <w:rPr>
          <w:b w:val="0"/>
          <w:i w:val="0"/>
        </w:rPr>
        <w:t xml:space="preserve"> trong thủ tục này bằng cách khẳng định rằng các giám đốc bị đơn đương nhiệm “đối mặt với khả năng chịu trách nhiệm pháp lý đáng kể” khiến họ “có lợi ích cá nhân trong kết quả của quyết định có theo đuổi các khiếu nại được nêu trong đơn khởi kiện hay không,” và do đó không khách quan hoặc không độc lập.</w:t>
      </w:r>
    </w:p>
    <w:p>
      <w:pPr>
        <w:spacing w:after="80"/>
      </w:pPr>
      <w:r>
        <w:rPr>
          <w:b w:val="0"/>
          <w:i w:val="0"/>
        </w:rPr>
        <w:t xml:space="preserve">Điều then chốt đối với lập luận miễn trừ yêu cầu khởi kiện này là việc liệu trách nhiệm pháp lý cá nhân tiềm tàng của các giám đốc có phụ thuộc vào việc hành vi của họ có thể được miễn trừ bởi điều khoản mục 102(b)(7) trong giấy chứng nhận thành lập của AmSouth hay không. Một điều khoản như vậy có thể miễn trừ các giám đốc khỏi trách nhiệm tài chính đối với việc vi phạm nghĩa vụ cẩn trọng (duty of care), nhưng không miễn trừ đối với hành vi không thiện chí hoặc vi phạm nghĩa vụ trung thành (duty of loyalty). Tiêu chuẩn để đánh giá trách nhiệm pháp lý cá nhân tiềm tàng của một giám đốc vì đã không hành động thiện chí khi thực hiện trách nhiệm giám sát của mình đã phát triển bắt đầu từ phán quyết của chúng tôi trong </w:t>
      </w:r>
      <w:r>
        <w:rPr>
          <w:b w:val="0"/>
          <w:i/>
        </w:rPr>
        <w:t>Graham v. Allis-Chalmers Manufacturing Company</w:t>
      </w:r>
      <w:r>
        <w:rPr>
          <w:b w:val="0"/>
          <w:i w:val="0"/>
        </w:rPr>
        <w:t xml:space="preserve"> , qua phán quyết </w:t>
      </w:r>
      <w:r>
        <w:rPr>
          <w:b w:val="0"/>
          <w:i/>
        </w:rPr>
        <w:t>Caremark</w:t>
      </w:r>
      <w:r>
        <w:rPr>
          <w:b w:val="0"/>
          <w:i w:val="0"/>
        </w:rPr>
        <w:t xml:space="preserve"> của Tòa án Chancery, cho đến phán quyết gần đây nhất của chúng tôi trong </w:t>
      </w:r>
      <w:r>
        <w:rPr>
          <w:b w:val="0"/>
          <w:i/>
        </w:rPr>
        <w:t>Disney.</w:t>
      </w:r>
      <w:r>
        <w:rPr>
          <w:b w:val="0"/>
          <w:i w:val="0"/>
        </w:rPr>
        <w:t xml:space="preserve"> Một cuộc thảo luận ngắn gọn về sự phát triển đó sẽ giúp làm sáng tỏ tiêu chuẩn mà chúng tôi áp dụng trong vụ án này.</w:t>
      </w:r>
    </w:p>
    <w:p>
      <w:pPr>
        <w:spacing w:after="80"/>
      </w:pPr>
      <w:r>
        <w:rPr>
          <w:b w:val="0"/>
          <w:i w:val="0"/>
        </w:rPr>
        <w:t xml:space="preserve">Graham </w:t>
      </w:r>
      <w:r>
        <w:rPr>
          <w:b w:val="0"/>
          <w:i/>
        </w:rPr>
        <w:t>và</w:t>
      </w:r>
      <w:r>
        <w:rPr>
          <w:b w:val="0"/>
          <w:i w:val="0"/>
        </w:rPr>
        <w:t xml:space="preserve"> Caremark</w:t>
      </w:r>
    </w:p>
    <w:p>
      <w:pPr>
        <w:spacing w:after="80"/>
      </w:pPr>
      <w:r>
        <w:rPr>
          <w:b w:val="0"/>
          <w:i/>
        </w:rPr>
        <w:t>Graham</w:t>
      </w:r>
      <w:r>
        <w:rPr>
          <w:b w:val="0"/>
          <w:i w:val="0"/>
        </w:rPr>
        <w:t xml:space="preserve"> là một vụ kiện phái sinh được đưa ra chống lại các giám đốc của Allis-Chalmers vì đã không ngăn chặn các hành vi vi phạm luật chống độc quyền liên bang của các nhân viên Allis-Chalmers. . . . Trong </w:t>
      </w:r>
      <w:r>
        <w:rPr>
          <w:b w:val="0"/>
          <w:i/>
        </w:rPr>
        <w:t>Graham</w:t>
      </w:r>
      <w:r>
        <w:rPr>
          <w:b w:val="0"/>
          <w:i w:val="0"/>
        </w:rPr>
        <w:t xml:space="preserve"> , Tòa án này đã phán quyết rằng “</w:t>
      </w:r>
      <w:r>
        <w:rPr>
          <w:b w:val="0"/>
          <w:i/>
        </w:rPr>
        <w:t>khi không có lý do để nghi ngờ</w:t>
      </w:r>
      <w:r>
        <w:rPr>
          <w:b w:val="0"/>
          <w:i w:val="0"/>
        </w:rPr>
        <w:t xml:space="preserve"> thì các giám đốc không có nghĩa vụ phải thiết lập và vận hành một hệ thống giám sát nội bộ của công ty để truy tìm những hành vi sai trái mà họ không có lý do để nghi ngờ là tồn tại.”</w:t>
      </w:r>
    </w:p>
    <w:p>
      <w:pPr>
        <w:spacing w:after="80"/>
      </w:pPr>
      <w:r>
        <w:rPr>
          <w:b w:val="0"/>
          <w:i w:val="0"/>
        </w:rPr>
        <w:t xml:space="preserve">Trong </w:t>
      </w:r>
      <w:r>
        <w:rPr>
          <w:b w:val="0"/>
          <w:i/>
        </w:rPr>
        <w:t>Caremark</w:t>
      </w:r>
      <w:r>
        <w:rPr>
          <w:b w:val="0"/>
          <w:i w:val="0"/>
        </w:rPr>
        <w:t xml:space="preserve"> , Tòa án Chancery đã đánh giá lại tính áp dụng của phán quyết của chúng tôi trong </w:t>
      </w:r>
      <w:r>
        <w:rPr>
          <w:b w:val="0"/>
          <w:i/>
        </w:rPr>
        <w:t>Graham</w:t>
      </w:r>
      <w:r>
        <w:rPr>
          <w:b w:val="0"/>
          <w:i w:val="0"/>
        </w:rPr>
        <w:t xml:space="preserve"> khi được yêu cầu phê chuẩn một thỏa thuận dàn xếp của một vụ kiện phái sinh chống lại các giám đốc của Caremark International, Inc. Các nguyên đơn cho rằng các giám đốc Caremark lẽ ra phải biết rằng một số cán bộ và nhân viên của Caremark có liên quan đến các hành vi vi phạm Luật Thanh toán Chống Chuyển tuyến Liên bang (federal Anti-Referral Payments Law). Luật đó cấm các nhà cung cấp dịch vụ chăm sóc sức khỏe trả bất kỳ hình thức thù lao nào để dụ dỗ việc chuyển tuyến bệnh nhân Medicare hoặc Medicaid. Các nguyên đơn cho rằng các giám đốc </w:t>
      </w:r>
      <w:r>
        <w:rPr>
          <w:b w:val="0"/>
          <w:i/>
        </w:rPr>
        <w:t>Caremark</w:t>
      </w:r>
      <w:r>
        <w:rPr>
          <w:b w:val="0"/>
          <w:i w:val="0"/>
        </w:rPr>
        <w:t xml:space="preserve"> đã vi phạm nghĩa vụ ủy thác của mình vì đã “để cho một tình huống phát triển và tiếp diễn làm tổng công ty phải đối mặt với trách nhiệm pháp lý khổng lồ và khi làm như vậy họ đã vi phạm nghĩa vụ phải là những người giám sát tích cực đối với hoạt động của công ty.”</w:t>
      </w:r>
    </w:p>
    <w:p>
      <w:pPr>
        <w:spacing w:after="80"/>
      </w:pPr>
      <w:r>
        <w:rPr>
          <w:b w:val="0"/>
          <w:i w:val="0"/>
        </w:rPr>
        <w:t xml:space="preserve">Khi đánh giá liệu có nên phê chuẩn thỏa thuận dàn xếp được đề xuất trong </w:t>
      </w:r>
      <w:r>
        <w:rPr>
          <w:b w:val="0"/>
          <w:i/>
        </w:rPr>
        <w:t>Caremark</w:t>
      </w:r>
      <w:r>
        <w:rPr>
          <w:b w:val="0"/>
          <w:i w:val="0"/>
        </w:rPr>
        <w:t xml:space="preserve"> hay không, Tòa án Chancery đã giải thích hẹp phán quyết của chúng tôi trong </w:t>
      </w:r>
      <w:r>
        <w:rPr>
          <w:b w:val="0"/>
          <w:i/>
        </w:rPr>
        <w:t>Graham</w:t>
      </w:r>
      <w:r>
        <w:rPr>
          <w:b w:val="0"/>
          <w:i w:val="0"/>
        </w:rPr>
        <w:t xml:space="preserve"> “như là lập trường rằng, khi không có căn cứ để nghi ngờ sự lừa dối, cả hội đồng quản trị lẫn các cán bộ cấp cao đều không thể bị buộc tội sai trái chỉ vì đã tin tưởng vào sự chính trực của nhân viên và sự trung thực trong các giao dịch của họ thay mặt công ty.”</w:t>
      </w:r>
    </w:p>
    <w:p>
      <w:pPr>
        <w:spacing w:after="80"/>
      </w:pPr>
      <w:r>
        <w:rPr>
          <w:b w:val="0"/>
          <w:i w:val="0"/>
        </w:rPr>
        <w:t xml:space="preserve">[T]òa án </w:t>
      </w:r>
      <w:r>
        <w:rPr>
          <w:b w:val="0"/>
          <w:i/>
        </w:rPr>
        <w:t>Caremark</w:t>
      </w:r>
      <w:r>
        <w:rPr>
          <w:b w:val="0"/>
          <w:i w:val="0"/>
        </w:rPr>
        <w:t xml:space="preserve"> tuyên bố, “điều quan trọng là hội đồng quản trị phải thực hiện một phán đoán thiện chí rằng hệ thống thông tin và báo cáo của công ty về mặt khái niệm và thiết kế là đầy đủ để đảm bảo với hội đồng quản trị rằng thông tin thích hợp sẽ đến được với họ một cách kịp thời như một phần của hoạt động thông thường, để họ có thể hoàn thành trách nhiệm của mình.” Tuy nhiên, Tòa án </w:t>
      </w:r>
      <w:r>
        <w:rPr>
          <w:b w:val="0"/>
          <w:i/>
        </w:rPr>
        <w:t>Caremark</w:t>
      </w:r>
      <w:r>
        <w:rPr>
          <w:b w:val="0"/>
          <w:i w:val="0"/>
        </w:rPr>
        <w:t xml:space="preserve"> thừa nhận rằng “nghĩa vụ hành động thiện chí để được thông tin không thể được cho là đòi hỏi các giám đốc phải sở hữu thông tin chi tiết về mọi khía cạnh hoạt động của doanh nghiệp.” Sau đó Tòa án Chancery đã xây dựng tiêu chuẩn sau đây để đánh giá trách nhiệm pháp lý của các giám đốc khi các giám đốc không biết về hành vi sai trái của nhân viên dẫn đến việc công ty phải chịu trách nhiệm pháp lý:</w:t>
      </w:r>
    </w:p>
    <w:p>
      <w:pPr>
        <w:spacing w:after="80"/>
      </w:pPr>
      <w:r>
        <w:rPr>
          <w:b w:val="0"/>
          <w:i w:val="0"/>
        </w:rPr>
        <w:t xml:space="preserve">Nói chung, khi một khiếu nại về trách nhiệm pháp lý của giám đốc đối với tổn thất của công ty dựa trên sự thiếu hiểu biết về các hoạt động tạo ra trách nhiệm pháp lý trong công ty, như trong </w:t>
      </w:r>
      <w:r>
        <w:rPr>
          <w:b w:val="0"/>
          <w:i/>
        </w:rPr>
        <w:t>Graham</w:t>
      </w:r>
      <w:r>
        <w:rPr>
          <w:b w:val="0"/>
          <w:i w:val="0"/>
        </w:rPr>
        <w:t xml:space="preserve"> hoặc trong vụ án này, . . . chỉ có sự thất bại kéo dài hoặc có hệ thống của hội đồng quản trị trong việc thực hiện giám sát—chẳng hạn như sự thất bại hoàn toàn trong việc cố gắng đảm bảo rằng một hệ thống thông tin và báo cáo hợp lý tồn tại—mới thiết lập được sự thiếu thiện chí, vốn là điều kiện cần thiết để phát sinh trách nhiệm pháp lý.</w:t>
      </w:r>
    </w:p>
    <w:p>
      <w:pPr>
        <w:spacing w:after="80"/>
      </w:pPr>
      <w:r>
        <w:rPr>
          <w:b w:val="0"/>
          <w:i w:val="0"/>
        </w:rPr>
        <w:t xml:space="preserve">Tiêu chuẩn Caremark </w:t>
      </w:r>
      <w:r>
        <w:rPr>
          <w:b w:val="0"/>
          <w:i/>
        </w:rPr>
        <w:t>được chấp thuận</w:t>
      </w:r>
    </w:p>
    <w:p>
      <w:pPr>
        <w:spacing w:after="80"/>
      </w:pPr>
      <w:r>
        <w:rPr>
          <w:b w:val="0"/>
          <w:i w:val="0"/>
        </w:rPr>
        <w:t xml:space="preserve">Như được thể hiện qua ngôn ngữ được trích dẫn ở trên, tiêu chuẩn </w:t>
      </w:r>
      <w:r>
        <w:rPr>
          <w:b w:val="0"/>
          <w:i/>
        </w:rPr>
        <w:t>Caremark</w:t>
      </w:r>
      <w:r>
        <w:rPr>
          <w:b w:val="0"/>
          <w:i w:val="0"/>
        </w:rPr>
        <w:t xml:space="preserve"> đối với cái được gọi là trách nhiệm pháp lý về “giám sát” dựa rất nhiều vào khái niệm giám đốc không hành động thiện chí. Điều đó nhất quán với (các) định nghĩa về sự bất thiện chí (bad faith) mới được Tòa án này chấp thuận trong phán quyết </w:t>
      </w:r>
      <w:r>
        <w:rPr>
          <w:b w:val="0"/>
          <w:i/>
        </w:rPr>
        <w:t>Disney</w:t>
      </w:r>
      <w:r>
        <w:rPr>
          <w:b w:val="0"/>
          <w:i w:val="0"/>
        </w:rPr>
        <w:t xml:space="preserve"> gần đây của chúng tôi, trong đó chúng tôi phán quyết rằng việc không hành động thiện chí đòi hỏi hành vi có tính chất khác biệt về chất lượng, và đáng khiển trách hơn, so với hành vi dẫn đến vi phạm nghĩa vụ ủy thác cẩn trọng (tức là sự sơ suất nghiêm trọng). Trong </w:t>
      </w:r>
      <w:r>
        <w:rPr>
          <w:b w:val="0"/>
          <w:i/>
        </w:rPr>
        <w:t>Disney</w:t>
      </w:r>
      <w:r>
        <w:rPr>
          <w:b w:val="0"/>
          <w:i w:val="0"/>
        </w:rPr>
        <w:t xml:space="preserve"> , chúng tôi đã xác định các ví dụ sau đây về hành vi sẽ thiết lập sự không hành động thiện chí:</w:t>
      </w:r>
    </w:p>
    <w:p>
      <w:pPr>
        <w:spacing w:after="80"/>
      </w:pPr>
      <w:r>
        <w:rPr>
          <w:b w:val="0"/>
          <w:i w:val="0"/>
        </w:rPr>
        <w:t>Việc không hành động thiện chí có thể được chứng minh, chẳng hạn, khi người được ủy thác cố ý hành động với mục đích khác ngoài việc thúc đẩy lợi ích tốt nhất của công ty, khi người được ủy thác hành động với ý định vi phạm luật thực định hiện hành, hoặc khi người được ủy thác cố ý không hành động trước một nghĩa vụ đã biết phải hành động, thể hiện sự coi thường có ý thức đối với nghĩa vụ của mình. Có thể có những ví dụ khác về sự bất thiện chí chưa được chứng minh hoặc cáo buộc, nhưng ba ví dụ này là nổi bật nhất.</w:t>
      </w:r>
    </w:p>
    <w:p>
      <w:pPr>
        <w:spacing w:after="80"/>
      </w:pPr>
      <w:r>
        <w:rPr>
          <w:b w:val="0"/>
          <w:i w:val="0"/>
        </w:rPr>
        <w:t>Theo đó, Tòa án Chancery đã áp dụng đúng tiêu chuẩn khi đánh giá liệu yêu cầu khởi kiện có được miễn trừ trong vụ án này hay không, nơi việc không thực hiện giám sát là cơ sở hoặc lý thuyết cho khiếu nại yêu cầu cứu trợ của các nguyên đơn.</w:t>
      </w:r>
    </w:p>
    <w:p>
      <w:pPr>
        <w:spacing w:after="80"/>
      </w:pPr>
      <w:r>
        <w:rPr>
          <w:b w:val="0"/>
          <w:i w:val="0"/>
        </w:rPr>
        <w:t xml:space="preserve">Cách diễn đạt được dùng trong </w:t>
      </w:r>
      <w:r>
        <w:rPr>
          <w:b w:val="0"/>
          <w:i/>
        </w:rPr>
        <w:t>Caremark</w:t>
      </w:r>
      <w:r>
        <w:rPr>
          <w:b w:val="0"/>
          <w:i w:val="0"/>
        </w:rPr>
        <w:t xml:space="preserve"> và mà chúng tôi áp dụng ở đây—mô tả việc thiếu thiện chí (good faith) như một “điều kiện cần để phát sinh trách nhiệm pháp lý”—là có chủ đích. Mục đích của cách diễn đạt đó là để truyền đạt rằng việc không hành động với thiện chí không phải là hành vi dẫn đến, </w:t>
      </w:r>
      <w:r>
        <w:rPr>
          <w:b w:val="0"/>
          <w:i/>
        </w:rPr>
        <w:t>ipso facto</w:t>
      </w:r>
      <w:r>
        <w:rPr>
          <w:b w:val="0"/>
          <w:i w:val="0"/>
        </w:rPr>
        <w:t xml:space="preserve"> , việc áp đặt trực tiếp trách nhiệm ủy thác (fiduciary liability). Việc không hành động với thiện chí có thể dẫn đến trách nhiệm pháp lý bởi vì yêu cầu hành động với thiện chí “là một yếu tố phụ[,]”, tức là một điều kiện, “của nghĩa vụ trung thành (duty of loyalty) cơ bản.” Theo đó, bởi vì việc chứng minh hành vi bất thiện chí (bad faith), theo nghĩa được mô tả trong </w:t>
      </w:r>
      <w:r>
        <w:rPr>
          <w:b w:val="0"/>
          <w:i/>
        </w:rPr>
        <w:t>Disney</w:t>
      </w:r>
      <w:r>
        <w:rPr>
          <w:b w:val="0"/>
          <w:i w:val="0"/>
        </w:rPr>
        <w:t xml:space="preserve"> và </w:t>
      </w:r>
      <w:r>
        <w:rPr>
          <w:b w:val="0"/>
          <w:i/>
        </w:rPr>
        <w:t>Caremark</w:t>
      </w:r>
      <w:r>
        <w:rPr>
          <w:b w:val="0"/>
          <w:i w:val="0"/>
        </w:rPr>
        <w:t xml:space="preserve"> , là thiết yếu để xác lập trách nhiệm giám sát của giám đốc, nên nghĩa vụ ủy thác bị vi phạm bởi hành vi đó chính là nghĩa vụ trung thành.</w:t>
      </w:r>
    </w:p>
    <w:p>
      <w:pPr>
        <w:spacing w:after="80"/>
      </w:pPr>
      <w:r>
        <w:rPr>
          <w:b w:val="0"/>
          <w:i w:val="0"/>
        </w:rPr>
        <w:t xml:space="preserve">Quan điểm này về việc không hành động với thiện chí dẫn đến hai hệ quả học thuyết (doctrinal consequences) bổ sung. Thứ nhất, mặc dù thiện chí có thể được mô tả một cách thông thường như một phần của “bộ ba” nghĩa vụ ủy thác bao gồm nghĩa vụ cẩn trọng (duty of care) và nghĩa vụ trung thành, nhưng nghĩa vụ hành động với thiện chí không tạo ra một nghĩa vụ ủy thác độc lập có vị thế ngang bằng với nghĩa vụ cẩn trọng và nghĩa vụ trung thành. Chỉ hai nghĩa vụ sau, khi bị vi phạm, mới có thể trực tiếp dẫn đến trách nhiệm pháp lý, trong khi việc không hành động với thiện chí có thể dẫn đến điều đó, nhưng một cách gián tiếp. Hệ quả học thuyết thứ hai là nghĩa vụ ủy thác trung thành không chỉ giới hạn ở các trường hợp liên quan đến xung đột lợi ích ủy thác về tài chính hoặc xung đột lợi ích có thể nhận biết được khác. Nó cũng bao hàm các trường hợp mà người ủy thác không hành động với thiện chí. Như Tòa án Chancery đã diễn đạt một cách thích đáng trong </w:t>
      </w:r>
      <w:r>
        <w:rPr>
          <w:b w:val="0"/>
          <w:i/>
        </w:rPr>
        <w:t>Guttman</w:t>
      </w:r>
      <w:r>
        <w:rPr>
          <w:b w:val="0"/>
          <w:i w:val="0"/>
        </w:rPr>
        <w:t xml:space="preserve"> [</w:t>
      </w:r>
      <w:r>
        <w:rPr>
          <w:b w:val="0"/>
          <w:i/>
        </w:rPr>
        <w:t>v. Huang</w:t>
      </w:r>
      <w:r>
        <w:rPr>
          <w:b w:val="0"/>
          <w:i w:val="0"/>
        </w:rPr>
        <w:t xml:space="preserve"> ,] “[m]ột giám đốc không thể hành động trung thành với công ty trừ khi cô ấy hành động với niềm tin thiện chí rằng các hành động của mình vì lợi ích tốt nhất của công ty.”</w:t>
      </w:r>
    </w:p>
    <w:p>
      <w:pPr>
        <w:spacing w:after="80"/>
      </w:pPr>
      <w:r>
        <w:rPr>
          <w:b w:val="0"/>
          <w:i w:val="0"/>
        </w:rPr>
        <w:t xml:space="preserve">Chúng tôi cho rằng </w:t>
      </w:r>
      <w:r>
        <w:rPr>
          <w:b w:val="0"/>
          <w:i/>
        </w:rPr>
        <w:t>Caremark</w:t>
      </w:r>
      <w:r>
        <w:rPr>
          <w:b w:val="0"/>
          <w:i w:val="0"/>
        </w:rPr>
        <w:t xml:space="preserve"> đưa ra các điều kiện cần làm tiền đề cho trách nhiệm giám sát của giám đốc: (a) các giám đốc hoàn toàn thất bại trong việc triển khai bất kỳ hệ thống hoặc biện pháp kiểm soát báo cáo hay thông tin nào; </w:t>
      </w:r>
      <w:r>
        <w:rPr>
          <w:b w:val="0"/>
          <w:i/>
        </w:rPr>
        <w:t>hoặc</w:t>
      </w:r>
      <w:r>
        <w:rPr>
          <w:b w:val="0"/>
          <w:i w:val="0"/>
        </w:rPr>
        <w:t xml:space="preserve"> (b) sau khi đã triển khai hệ thống hoặc biện pháp kiểm soát như vậy, lại cố ý không giám sát hoặc theo dõi hoạt động của nó, khiến bản thân không thể được thông tin về các rủi ro hoặc vấn đề cần sự chú ý của họ. Trong cả hai trường hợp, việc áp đặt trách nhiệm pháp lý đòi hỏi phải chứng minh rằng các giám đốc biết rằng họ đang không thực hiện các nghĩa vụ ủy thác của mình. Khi các giám đốc không hành động trước một nghĩa vụ hành động đã biết, qua đó thể hiện sự coi thường có ý thức đối với trách nhiệm của mình, họ vi phạm nghĩa vụ trung thành bằng việc không thực hiện nghĩa vụ ủy thác đó với thiện chí.</w:t>
      </w:r>
    </w:p>
    <w:p>
      <w:pPr>
        <w:spacing w:after="80"/>
      </w:pPr>
      <w:r>
        <w:rPr>
          <w:b w:val="0"/>
          <w:i/>
        </w:rPr>
        <w:t>Quyết định của Tòa án Chancery</w:t>
      </w:r>
    </w:p>
    <w:p>
      <w:pPr>
        <w:spacing w:after="80"/>
      </w:pPr>
      <w:r>
        <w:rPr>
          <w:b w:val="0"/>
          <w:i w:val="0"/>
        </w:rPr>
        <w:t>Các Nguyên đơn lập luận rằng yêu cầu khởi kiện (demand) được miễn trừ theo Quy tắc 23.1 bởi vì các giám đốc của AmSouth đã vi phạm nghĩa vụ giám sát của họ và, do đó, đối mặt với “khả năng đáng kể phải chịu trách nhiệm pháp lý” do “sự thất bại hoàn toàn” của họ trong việc hành động với thiện chí để thiết lập các chính sách và thủ tục nhằm đảm bảo tuân thủ các nghĩa vụ BSA và AML. . . . Khi bác bỏ đơn khiếu nại phái sinh (derivative complaint) trong vụ án này, Tòa án Chancery đã kết luận:</w:t>
      </w:r>
    </w:p>
    <w:p>
      <w:pPr>
        <w:spacing w:after="80"/>
      </w:pPr>
      <w:r>
        <w:rPr>
          <w:b w:val="0"/>
          <w:i w:val="0"/>
        </w:rPr>
        <w:t>Vụ án này không phải về việc hội đồng quản trị thất bại trong việc xem xét cẩn thận một quyết định quan trọng của công ty đã được trình lên hội đồng. Đây là vụ án mà thông tin không đến được hội đồng quản trị vì các biện pháp kiểm soát nội bộ không hiệu quả. . . . Với lợi thế của nhìn lại (hindsight), không còn nghi ngờ gì rằng các biện pháp kiểm soát nội bộ của AmSouth liên quan đến việc tuân thủ Đạo luật Bí mật Ngân hàng (Bank Secrecy Act) và các quy định chống rửa tiền (anti-money laundering) là không đầy đủ. Không bên nào tranh cãi rằng việc thiếu các biện pháp kiểm soát nội bộ đã dẫn đến một khoản tiền phạt khổng lồ—50 triệu đô la, được cho là lớn nhất từ trước đến nay thuộc loại này. Tuy nhiên, chỉ riêng thực tế về những tổn thất đó là không đủ để một tòa án kết luận rằng đa số các thành viên hội đồng quản trị của công ty bị loại trừ khỏi việc xem xét yêu cầu khởi kiện rằng AmSouth phải kiện những người chịu trách nhiệm.</w:t>
      </w:r>
    </w:p>
    <w:p>
      <w:pPr>
        <w:spacing w:after="80"/>
      </w:pPr>
      <w:r>
        <w:rPr>
          <w:b w:val="0"/>
          <w:i/>
        </w:rPr>
        <w:t>Hệ thống Báo cáo Hợp lý Đã Tồn tại</w:t>
      </w:r>
    </w:p>
    <w:p>
      <w:pPr>
        <w:spacing w:after="80"/>
      </w:pPr>
      <w:r>
        <w:rPr>
          <w:b w:val="0"/>
          <w:i w:val="0"/>
        </w:rPr>
        <w:t>Báo cáo KPMG đã đánh giá các thành phần khác nhau trong chương trình tuân thủ BSA/AML lâu đời của AmSouth. Báo cáo KPMG phản ánh rằng Hội đồng quản trị AmSouth đã dành nguồn lực đáng kể cho chương trình tuân thủ BSA/AML và đã thiết lập nhiều thủ tục và hệ thống để cố gắng đảm bảo tuân thủ. Theo KPMG, các thành phần khác nhau của chương trình đã thể hiện mức độ tuân thủ thấp và cao đối với các luật và quy định hiện hành.</w:t>
      </w:r>
    </w:p>
    <w:p>
      <w:pPr>
        <w:spacing w:after="80"/>
      </w:pPr>
      <w:r>
        <w:rPr>
          <w:b w:val="0"/>
          <w:i w:val="0"/>
        </w:rPr>
        <w:t>Báo cáo KPMG mô tả nhiều nhân viên, phòng ban và ủy ban của AmSouth được Hội đồng quản trị thành lập để giám sát việc AmSouth tuân thủ BSA và báo cáo các vi phạm lên ban quản lý và Hội đồng quản trị[.]</w:t>
      </w:r>
    </w:p>
    <w:p>
      <w:pPr>
        <w:spacing w:after="80"/>
      </w:pPr>
      <w:r>
        <w:rPr>
          <w:b w:val="0"/>
          <w:i w:val="0"/>
        </w:rPr>
        <w:t>Báo cáo KPMG phản ánh rằng các giám đốc không chỉ thực hiện trách nhiệm giám sát của mình trong việc thiết lập một hệ thống thông tin và báo cáo, mà còn chứng minh rằng hệ thống đó được thiết kế để cho phép các giám đốc định kỳ giám sát việc AmSouth tuân thủ các quy định BSA và AML.</w:t>
      </w:r>
    </w:p>
    <w:p>
      <w:pPr>
        <w:spacing w:after="80"/>
      </w:pPr>
      <w:r>
        <w:rPr>
          <w:b w:val="0"/>
          <w:i w:val="0"/>
        </w:rPr>
        <w:t>Báo cáo KPMG cho thấy rằng Hội đồng quản trị AmSouth tại nhiều thời điểm khác nhau đã ban hành các chính sách và thủ tục bằng văn bản được thiết kế để đảm bảo tuân thủ các quy định BSA và AML. Ví dụ, Hội đồng quản trị đã thông qua “Chính sách BSA/AML” sửa đổi trên toàn ngân hàng vào ngày 17 tháng 7 năm 2003—bốn tháng trước khi AmSouth biết rằng mình là mục tiêu của một cuộc điều tra của chính phủ. Chính sách đó đã được cung cấp cho các nguyên đơn để đáp lại yêu cầu của họ về việc kiểm tra sổ sách và hồ sơ của AmSouth theo mục 220 và được đưa vào phụ lục của nguyên đơn. Trong số những điều khác, Chính sách BSA/AML ngày 17 tháng 7 năm 2003 chỉ đạo tất cả nhân viên AmSouth phải báo cáo ngay lập tức các giao dịch hoặc hoạt động đáng ngờ cho Phòng Tuân thủ BSA/AML hoặc An ninh Doanh nghiệp.</w:t>
      </w:r>
    </w:p>
    <w:p>
      <w:pPr>
        <w:spacing w:after="80"/>
      </w:pPr>
      <w:r>
        <w:rPr>
          <w:b w:val="0"/>
          <w:i/>
        </w:rPr>
        <w:t>Đơn Khiếu nại Được Bác bỏ Đúng đắn</w:t>
      </w:r>
    </w:p>
    <w:p>
      <w:pPr>
        <w:spacing w:after="80"/>
      </w:pPr>
      <w:r>
        <w:rPr>
          <w:b w:val="0"/>
          <w:i w:val="0"/>
        </w:rPr>
        <w:t xml:space="preserve">Trong vụ án này, tính thỏa đáng của lập luận của các nguyên đơn rằng yêu cầu khởi kiện được miễn trừ phụ thuộc vào việc liệu đơn khiếu nại có cáo buộc các sự kiện đủ để cho thấy rằng các </w:t>
      </w:r>
      <w:r>
        <w:rPr>
          <w:b w:val="0"/>
          <w:i/>
        </w:rPr>
        <w:t>giám đốc</w:t>
      </w:r>
      <w:r>
        <w:rPr>
          <w:b w:val="0"/>
          <w:i w:val="0"/>
        </w:rPr>
        <w:t xml:space="preserve"> bị đơn có khả năng phải chịu trách nhiệm cá nhân vì sự thất bại của các </w:t>
      </w:r>
      <w:r>
        <w:rPr>
          <w:b w:val="0"/>
          <w:i/>
        </w:rPr>
        <w:t>nhân viên</w:t>
      </w:r>
      <w:r>
        <w:rPr>
          <w:b w:val="0"/>
          <w:i w:val="0"/>
        </w:rPr>
        <w:t xml:space="preserve"> ngân hàng không phải là giám đốc trong việc nộp SAR hay không. Các tòa án Delaware đã công nhận rằng “[h]ầu hết các quyết định mà một công ty, hành động thông qua các đại lý là con người của mình, đưa ra, tất nhiên, không phải là đối tượng được giám đốc chú ý.” Do đó, một khiếu nại rằng các giám đốc phải chịu trách nhiệm cá nhân vì sự thất bại của nhân viên là “có lẽ là lý thuyết khó nhất trong luật công ty mà một nguyên đơn có thể hy vọng thắng một phán quyết.”</w:t>
      </w:r>
    </w:p>
    <w:p>
      <w:pPr>
        <w:spacing w:after="80"/>
      </w:pPr>
      <w:r>
        <w:rPr>
          <w:b w:val="0"/>
          <w:i w:val="0"/>
        </w:rPr>
        <w:t xml:space="preserve">Để đơn khiếu nại phái sinh của các nguyên đơn có thể chống lại một đề nghị bác bỏ (motion to dismiss), “chỉ một sự thất bại dai dẳng hoặc có hệ thống của hội đồng quản trị trong việc thực hiện giám sát—chẳng hạn như sự thất bại hoàn toàn trong việc cố gắng đảm bảo rằng một hệ thống thông tin và báo cáo hợp lý tồn tại—mới xác lập được sự thiếu thiện chí, vốn là điều kiện cần để phát sinh trách nhiệm pháp lý.” Như quyết định </w:t>
      </w:r>
      <w:r>
        <w:rPr>
          <w:b w:val="0"/>
          <w:i/>
        </w:rPr>
        <w:t>Caremark</w:t>
      </w:r>
      <w:r>
        <w:rPr>
          <w:b w:val="0"/>
          <w:i w:val="0"/>
        </w:rPr>
        <w:t xml:space="preserve"> đã lưu ý:</w:t>
      </w:r>
    </w:p>
    <w:p>
      <w:pPr>
        <w:spacing w:after="80"/>
      </w:pPr>
      <w:r>
        <w:rPr>
          <w:b w:val="0"/>
          <w:i w:val="0"/>
        </w:rPr>
        <w:t xml:space="preserve">Một phép thử trách nhiệm pháp lý như vậy—thiếu thiện chí được chứng minh bằng sự thất bại dai dẳng hoặc có hệ thống của một giám đốc trong việc thực hiện giám sát hợp lý—là khá cao. Nhưng, một phép thử trách nhiệm pháp lý đòi hỏi khắt khe trong bối cảnh giám sát có lẽ có lợi cho các cổ đông công ty nói chung, cũng như trong bối cảnh quyết định của hội đồng quản trị, vì nó làm cho việc phục vụ trong hội đồng quản trị của những người có năng lực trở nên khả thi hơn, đồng thời tiếp tục đóng vai trò là động lực thúc đẩy </w:t>
      </w:r>
      <w:r>
        <w:rPr>
          <w:b w:val="0"/>
          <w:i/>
        </w:rPr>
        <w:t>việc thực hiện nghĩa vụ với thiện chí</w:t>
      </w:r>
      <w:r>
        <w:rPr>
          <w:b w:val="0"/>
          <w:i w:val="0"/>
        </w:rPr>
        <w:t xml:space="preserve"> của những giám đốc đó.</w:t>
      </w:r>
    </w:p>
    <w:p>
      <w:pPr>
        <w:spacing w:after="80"/>
      </w:pPr>
      <w:r>
        <w:rPr>
          <w:b w:val="0"/>
          <w:i w:val="0"/>
        </w:rPr>
        <w:t>Báo cáo KPMG—mà các nguyên đơn đã đưa vào một cách rõ ràng bằng cách tham chiếu vào đơn khiếu nại phái sinh của họ—bác bỏ lập luận rằng các giám đốc “chưa bao giờ thực hiện các bước cần thiết . . . để đảm bảo rằng một hệ thống tuân thủ và báo cáo BSA hợp lý tồn tại.” Các phát hiện của KPMG phản ánh rằng Hội đồng quản trị đã nhận và phê duyệt các chính sách và thủ tục liên quan, giao cho một số nhân viên và phòng ban trách nhiệm nộp SAR và giám sát việc tuân thủ, và thực hiện giám sát bằng cách dựa vào các báo cáo định kỳ từ họ. Mặc dù cuối cùng có thể đã có những thất bại của nhân viên trong việc báo cáo các thiếu sót lên Hội đồng quản trị, nhưng không có cơ sở cho một khiếu nại giám sát nhằm buộc các giám đốc phải chịu trách nhiệm cá nhân vì nhân viên.</w:t>
      </w:r>
    </w:p>
    <w:p>
      <w:pPr>
        <w:spacing w:after="80"/>
      </w:pPr>
      <w:r>
        <w:rPr>
          <w:b w:val="0"/>
          <w:i w:val="0"/>
        </w:rPr>
        <w:t xml:space="preserve">Theo đó, chúng tôi cho rằng Tòa án Chancery đã áp dụng đúng án lệ </w:t>
      </w:r>
      <w:r>
        <w:rPr>
          <w:b w:val="0"/>
          <w:i/>
        </w:rPr>
        <w:t>Caremark</w:t>
      </w:r>
      <w:r>
        <w:rPr>
          <w:b w:val="0"/>
          <w:i w:val="0"/>
        </w:rPr>
        <w:t xml:space="preserve"> và bác bỏ đơn kiện phái sinh của nguyên đơn vì không đưa ra được các tình tiết cụ thể tạo cơ sở để nghi ngờ liệu các giám đốc có hành động thiện chí (good faith) khi thực hiện trách nhiệm giám sát của mình hay không.</w:t>
      </w:r>
    </w:p>
    <w:p>
      <w:pPr>
        <w:pStyle w:val="Heading5"/>
      </w:pPr>
      <w:r>
        <w:rPr>
          <w:rFonts w:ascii="Calibri" w:hAnsi="Calibri"/>
          <w:b/>
          <w:i/>
          <w:sz w:val="22"/>
        </w:rPr>
        <w:t>Bình luận và Câu hỏi</w:t>
      </w:r>
    </w:p>
    <w:p>
      <w:pPr>
        <w:spacing w:after="80"/>
      </w:pPr>
      <w:r>
        <w:rPr>
          <w:b w:val="0"/>
          <w:i w:val="0"/>
        </w:rPr>
        <w:t xml:space="preserve">1. Trong </w:t>
      </w:r>
      <w:r>
        <w:rPr>
          <w:b w:val="0"/>
          <w:i/>
        </w:rPr>
        <w:t>Stone v. Ritter</w:t>
      </w:r>
      <w:r>
        <w:rPr>
          <w:b w:val="0"/>
          <w:i w:val="0"/>
        </w:rPr>
        <w:t xml:space="preserve"> , Tòa án Tối cao Delaware đã làm rõ rằng nghĩa vụ thiện chí không phải là một nghĩa vụ riêng biệt của người đại diện ủy thác công ty (corporate fiduciary) mà thay vào đó, là một yếu tố của nghĩa vụ trung thành (duty of loyalty). Do đó, mặc dù các giám đốc được miễn trách (exculpated directors) chỉ phải chịu trách nhiệm bồi thường thiệt hại bằng tiền nếu họ vi phạm nghĩa vụ trung thành, người đại diện ủy thác vẫn có thể bị xem là bất trung khi không hành động thiện chí. Bạn nghĩ tại sao các thẩm phán lại tập trung vào nghĩa vụ trung thành? Hãy nhớ lại rằng phán quyết của Chánh án Allen trong </w:t>
      </w:r>
      <w:r>
        <w:rPr>
          <w:b w:val="0"/>
          <w:i/>
        </w:rPr>
        <w:t>Caremark</w:t>
      </w:r>
      <w:r>
        <w:rPr>
          <w:b w:val="0"/>
          <w:i w:val="0"/>
        </w:rPr>
        <w:t xml:space="preserve"> đã gắn nghĩa vụ thiện chí với nghĩa vụ cẩn trọng (duty of care). Xét rằng hầu hết các công ty đại chúng ở Delaware đều đã thông qua các điều khoản miễn trách trong điều lệ, liệu các giám đốc công ty có nên lo ngại về </w:t>
      </w:r>
      <w:r>
        <w:rPr>
          <w:b w:val="0"/>
          <w:i/>
        </w:rPr>
        <w:t>Stone v. Ritter</w:t>
      </w:r>
      <w:r>
        <w:rPr>
          <w:b w:val="0"/>
          <w:i w:val="0"/>
        </w:rPr>
        <w:t xml:space="preserve"> không? Liệu Tòa án Tối cao Delaware có làm tăng nguy cơ các giám đốc phải chịu trách nhiệm bồi thường thiệt hại bằng tiền không?</w:t>
      </w:r>
    </w:p>
    <w:p>
      <w:pPr>
        <w:spacing w:after="80"/>
      </w:pPr>
      <w:r>
        <w:rPr>
          <w:b w:val="0"/>
          <w:i w:val="0"/>
        </w:rPr>
        <w:t xml:space="preserve">2. Trong </w:t>
      </w:r>
      <w:r>
        <w:rPr>
          <w:b w:val="0"/>
          <w:i/>
        </w:rPr>
        <w:t>In re Walt Disney Co. Deriv. Litig.</w:t>
      </w:r>
      <w:r>
        <w:rPr>
          <w:b w:val="0"/>
          <w:i w:val="0"/>
        </w:rPr>
        <w:t xml:space="preserve"> , Tòa án Tối cao Delaware đã cảnh báo về những nguy hiểm khi định nghĩa thiện chí theo cách khiến nó hòa lẫn vào nghĩa vụ cẩn trọng:</w:t>
      </w:r>
    </w:p>
    <w:p>
      <w:pPr>
        <w:spacing w:after="80"/>
      </w:pPr>
      <w:r>
        <w:rPr>
          <w:b w:val="0"/>
          <w:i w:val="0"/>
        </w:rPr>
        <w:t>Như vậy, một công ty có thể miễn trách nhiệm bồi thường bằng tiền cho các giám đốc khi họ vi phạm nghĩa vụ cẩn trọng, nhưng không thể miễn trách cho hành vi không thiện chí. Nếu áp dụng một định nghĩa về bất thiện chí (bad faith) đến mức khiến một vi phạm nghĩa vụ cẩn trọng tự động trở thành hành vi hoặc sự bỏ sót ‘không thiện chí’, thì sẽ làm rỗng hoàn toàn các biện pháp bảo vệ mà Quốc hội bang đã dành cho các giám đốc khi thông qua Mục 102(b)(7).</w:t>
      </w:r>
    </w:p>
    <w:p>
      <w:pPr>
        <w:spacing w:after="80"/>
      </w:pPr>
      <w:r>
        <w:rPr>
          <w:b w:val="0"/>
          <w:i w:val="0"/>
        </w:rPr>
        <w:t>Trước mối lo ngại này, đâu là những khác biệt thực tế giữa nghĩa vụ cẩn trọng và nghĩa vụ hành động thiện chí?</w:t>
      </w:r>
    </w:p>
    <w:p>
      <w:pPr>
        <w:spacing w:after="80"/>
      </w:pPr>
      <w:r>
        <w:rPr>
          <w:b w:val="0"/>
          <w:i w:val="0"/>
        </w:rPr>
        <w:t xml:space="preserve">3. Trong </w:t>
      </w:r>
      <w:r>
        <w:rPr>
          <w:b w:val="0"/>
          <w:i/>
        </w:rPr>
        <w:t>Who's the Boss? Unmasking Oversight Liability Within the Corporate Power Puzzle</w:t>
      </w:r>
      <w:r>
        <w:rPr>
          <w:b w:val="0"/>
          <w:i w:val="0"/>
        </w:rPr>
        <w:t xml:space="preserve"> , Anne Tucker Nees đã lập luận:</w:t>
      </w:r>
    </w:p>
    <w:p>
      <w:pPr>
        <w:spacing w:after="80"/>
      </w:pPr>
      <w:r>
        <w:rPr>
          <w:b w:val="0"/>
          <w:i w:val="0"/>
        </w:rPr>
        <w:t>Trách nhiệm giám sát — trách nhiệm của giám đốc khi không giám sát công ty theo đúng nghĩa vụ trung thành của người đại diện ủy thác, vốn đòi hỏi ‘thiện chí’ — đặt ra những câu hỏi khó vì nó liên quan đến việc phân tích gần với kiểu ‘đoán định lại’ (second-guessing) bị cấm của tòa án, điều có thể làm nản lòng việc chấp nhận rủi ro kinh doanh. Mặt khác, quan điểm cho rằng mọi cáo buộc về giám sát thất bại đều nằm ngoài tầm xem xét của cổ đông và tòa án cũng phản trực giác và có thể không mong muốn, vì nó phủ nhận khái niệm cân bằng, thay vào đó trao toàn bộ quyền lực cho giám đốc đối với khoản đầu tư của cổ đông.</w:t>
      </w:r>
    </w:p>
    <w:p>
      <w:pPr>
        <w:spacing w:after="80"/>
      </w:pPr>
      <w:r>
        <w:rPr>
          <w:b w:val="0"/>
          <w:i w:val="0"/>
        </w:rPr>
        <w:t>Liệu các giám đốc có nên phải chịu bất kỳ trách nhiệm nào khi không giám sát ban điều hành không? Tại sao người xét xử sự thật (factfinder) có thể đánh đồng kết quả tài chính kém với bất thiện chí? Liệu khả năng này có đáng lo ngại tương tự khi tòa án là người xét xử sự thật, như ở Delaware, không?</w:t>
      </w:r>
    </w:p>
    <w:p>
      <w:pPr>
        <w:spacing w:after="80"/>
      </w:pPr>
      <w:r>
        <w:rPr>
          <w:b w:val="0"/>
          <w:i w:val="0"/>
        </w:rPr>
        <w:t>4. Tòa án làm rõ rằng để buộc các giám đốc phải chịu trách nhiệm vì vi phạm nghĩa vụ giám sát, nguyên đơn phải “chứng minh rằng các giám đốc biết mình đang không thực hiện nghĩa vụ ủy thác của mình.” Giả sử các giám đốc sẽ không thừa nhận sự hiểu biết đó, thì những tình tiết nào có thể hỗ trợ cho việc chứng minh như vậy?</w:t>
      </w:r>
    </w:p>
    <w:p>
      <w:pPr>
        <w:spacing w:after="80"/>
      </w:pPr>
      <w:r>
        <w:rPr>
          <w:b w:val="0"/>
          <w:i w:val="0"/>
        </w:rPr>
        <w:t>5. Bạn có nghĩ rằng các lực lượng thị trường và mối lo về danh tiếng tạo đủ động lực để các giám đốc hoàn thành nghĩa vụ giám sát của mình không? Luật công ty nên làm gì, nếu có, để thúc đẩy các giám đốc chủ động hơn trong việc thực hiện trách nhiệm giám sát của mình?</w:t>
      </w:r>
    </w:p>
    <w:p>
      <w:pPr>
        <w:spacing w:after="80"/>
      </w:pPr>
      <w:r>
        <w:rPr>
          <w:b w:val="0"/>
          <w:i w:val="0"/>
        </w:rPr>
        <w:t>—————</w:t>
      </w:r>
    </w:p>
    <w:p>
      <w:pPr>
        <w:spacing w:after="80"/>
      </w:pPr>
      <w:r>
        <w:rPr>
          <w:b w:val="0"/>
          <w:i w:val="0"/>
        </w:rPr>
        <w:t xml:space="preserve">Các vụ kiện theo </w:t>
      </w:r>
      <w:r>
        <w:rPr>
          <w:b w:val="0"/>
          <w:i/>
        </w:rPr>
        <w:t>Caremark</w:t>
      </w:r>
      <w:r>
        <w:rPr>
          <w:b w:val="0"/>
          <w:i w:val="0"/>
        </w:rPr>
        <w:t xml:space="preserve"> giả định rằng hội đồng quản trị không hề biết về hoạt động bất hợp pháp hoặc không đúng đắn. Nhưng nghĩa vụ của hội đồng quản trị trong việc phát hiện và ngăn chặn gian lận hoặc các hình thức sai phạm tương tự do nhân viên gây ra đối với công ty là gì? Các giám đốc nên phản ứng thế nào trước những dấu hiệu cảnh báo (red flags)? Các bên trong vụ án tiếp theo đã tranh tụng về những câu hỏi đó.</w:t>
      </w:r>
    </w:p>
    <w:p>
      <w:pPr>
        <w:pStyle w:val="Heading4"/>
      </w:pPr>
      <w:r>
        <w:rPr>
          <w:rFonts w:ascii="Calibri" w:hAnsi="Calibri"/>
          <w:b/>
          <w:i w:val="0"/>
          <w:sz w:val="23"/>
        </w:rPr>
        <w:t>Rich v. Chong</w:t>
      </w:r>
    </w:p>
    <w:p>
      <w:pPr>
        <w:spacing w:after="80"/>
      </w:pPr>
      <w:r>
        <w:rPr>
          <w:b w:val="0"/>
          <w:i w:val="0"/>
        </w:rPr>
        <w:t>Tòa án Chancery Delaware</w:t>
      </w:r>
      <w:r>
        <w:br/>
      </w:r>
      <w:r>
        <w:rPr>
          <w:b w:val="0"/>
          <w:i w:val="0"/>
        </w:rPr>
        <w:t xml:space="preserve"> 66 A.3d 963 (Del. Ch. 2013)</w:t>
      </w:r>
    </w:p>
    <w:p>
      <w:pPr>
        <w:spacing w:after="80"/>
      </w:pPr>
      <w:r>
        <w:rPr>
          <w:b w:val="0"/>
          <w:i w:val="0"/>
        </w:rPr>
        <w:t>GLASSCOCK , PHÓ CHÁNH ÁN :</w:t>
      </w:r>
    </w:p>
    <w:p>
      <w:pPr>
        <w:spacing w:after="80"/>
      </w:pPr>
      <w:r>
        <w:rPr>
          <w:b w:val="0"/>
          <w:i w:val="0"/>
        </w:rPr>
        <w:t>TỔNG QUAN</w:t>
      </w:r>
    </w:p>
    <w:p>
      <w:pPr>
        <w:spacing w:after="80"/>
      </w:pPr>
      <w:r>
        <w:rPr>
          <w:b w:val="0"/>
          <w:i w:val="0"/>
        </w:rPr>
        <w:t xml:space="preserve">Nguyên đơn ở đây, một cổ đông, đã gửi yêu cầu (demand) tới công ty Bị đơn, đề nghị công ty khởi kiện các giám đốc và thành viên hội đồng quản trị vì đã vi phạm nghĩa vụ </w:t>
      </w:r>
      <w:r>
        <w:rPr>
          <w:b w:val="0"/>
          <w:i/>
        </w:rPr>
        <w:t>Caremark</w:t>
      </w:r>
      <w:r>
        <w:rPr>
          <w:b w:val="0"/>
          <w:i w:val="0"/>
        </w:rPr>
        <w:t xml:space="preserve"> của họ. Các Bị đơn cá nhân không những không phản hồi yêu cầu đó trong suốt hai năm sau, mà còn bị cáo buộc đã thực hiện những hành động khiến cho một phản hồi có ý nghĩa đối với yêu cầu trở nên khó xảy ra, nếu không muốn nói là bất khả thi. Với những tình tiết này, Nguyên đơn có thể theo đuổi một vụ kiện thay mặt công ty theo hình thức phái sinh (derivatively), bất chấp Quy tắc 23.1 của Tòa án Chancery.</w:t>
      </w:r>
    </w:p>
    <w:p>
      <w:pPr>
        <w:spacing w:after="80"/>
      </w:pPr>
      <w:r>
        <w:rPr>
          <w:b w:val="0"/>
          <w:i w:val="0"/>
        </w:rPr>
        <w:t>Bản ý kiến này liên quan đến một kiến nghị do Bị đơn Fuqi International, Inc. và các giám đốc của nó đưa ra nhằm bác bỏ một đơn kiện phái sinh cáo buộc vi phạm nghĩa vụ tín thác (fiduciary duty). Fuqi, một thực thể Delaware mà tài sản duy nhất là cổ phiếu của một công ty trang sức Trung Quốc, đã hoàn tất một đợt phát hành cổ phiếu ra công chúng tại Hoa Kỳ vào năm 2009. Vào tháng 3 năm 2010, Fuqi thông báo cần phải lập lại (restatement) báo cáo tài chính năm 2009 của mình. Sau thông báo này, Fuqi tiết lộ thêm những vấn đề khác mà công ty gặp phải, bao gồm việc chuyển 120 triệu đô-la tiền mặt ra khỏi công ty cho các bên thứ ba tại Trung Quốc. Vào tháng 7 năm 2010, Nguyên đơn George Rich, Jr., một cổ đông của Fuqi, đã gửi yêu cầu tới hội đồng quản trị nhằm khắc phục các vi phạm nghĩa vụ tín thác và những điểm yếu trong kiểm soát nội bộ của Fuqi. Ủy ban Kiểm toán của Fuqi đã khởi động một cuộc điều tra, nhưng cuộc điều tra này bị bỏ dở vào tháng 1 năm 2012 khi ban lãnh đạo không trả phí cho các cố vấn của Ủy ban Kiểm toán. Các giám đốc độc lập của Fuqi sau đó đã từ chức.</w:t>
      </w:r>
    </w:p>
    <w:p>
      <w:pPr>
        <w:spacing w:after="80"/>
      </w:pPr>
      <w:r>
        <w:rPr>
          <w:b w:val="0"/>
          <w:i w:val="0"/>
        </w:rPr>
        <w:t xml:space="preserve">Nguyên đơn Rich đã đệ đơn kiện này vào tháng 6 năm 2012, cáo buộc vi phạm nghĩa vụ tín thác theo </w:t>
      </w:r>
      <w:r>
        <w:rPr>
          <w:b w:val="0"/>
          <w:i/>
        </w:rPr>
        <w:t>Caremark.</w:t>
      </w:r>
      <w:r>
        <w:rPr>
          <w:b w:val="0"/>
          <w:i w:val="0"/>
        </w:rPr>
        <w:t xml:space="preserve"> Hiện nay, các Bị đơn đã đưa ra kiến nghị bác bỏ Đơn kiện theo Quy tắc 23.1, vì hội đồng quản trị Fuqi vẫn chưa bác bỏ yêu cầu của Nguyên đơn. Sau khi nhận thấy rằng Nguyên đơn đã trình bày những tình tiết cụ thể làm dấy lên nghi ngờ hợp lý rằng các giám đốc đã không hành động thiện chí khi phản hồi yêu cầu, tôi bác bỏ Kiến nghị theo Quy tắc 23.1. Thứ hai, Fuqi đưa ra kiến nghị bác bỏ theo Quy tắc 12(b)(6) vì không nêu được một khiếu nại mà tòa có thể ban hành biện pháp khắc phục. Bất chấp khó khăn nổi tiếng trong việc thắng một khiếu nại </w:t>
      </w:r>
      <w:r>
        <w:rPr>
          <w:b w:val="0"/>
          <w:i/>
        </w:rPr>
        <w:t>Caremark</w:t>
      </w:r>
      <w:r>
        <w:rPr>
          <w:b w:val="0"/>
          <w:i w:val="0"/>
        </w:rPr>
        <w:t>, Nguyên đơn đã trình bày những tình tiết mà, nếu được coi là đúng, khiến tôi suy luận một cách hợp lý rằng các giám đốc Fuqi biết rằng kiểm soát nội bộ của công ty có khiếm khuyết, nhưng vẫn không hành động. Do đó, tôi bác bỏ Kiến nghị Bác bỏ Đơn kiện theo Quy tắc 12(b)(6).</w:t>
      </w:r>
    </w:p>
    <w:p>
      <w:pPr>
        <w:spacing w:after="80"/>
      </w:pPr>
      <w:r>
        <w:rPr>
          <w:b w:val="0"/>
          <w:i w:val="0"/>
        </w:rPr>
        <w:t>CÁC TÌNH TIẾT NỀN TẢNG</w:t>
      </w:r>
    </w:p>
    <w:p>
      <w:pPr>
        <w:spacing w:after="80"/>
      </w:pPr>
      <w:r>
        <w:rPr>
          <w:b w:val="0"/>
          <w:i/>
        </w:rPr>
        <w:t>Các bên</w:t>
      </w:r>
    </w:p>
    <w:p>
      <w:pPr>
        <w:spacing w:after="80"/>
      </w:pPr>
      <w:r>
        <w:rPr>
          <w:b w:val="0"/>
          <w:i w:val="0"/>
        </w:rPr>
        <w:t>Nguyên đơn George Rich, Jr. hiện là, và trong mọi thời điểm liên quan vẫn là, một cổ đông của Fuqi International, Inc. Bị đơn danh nghĩa (Nominal Defendant) Fuqi là một công ty Delaware có trụ sở chính đặt tại Cộng hòa Nhân dân Trung Hoa. Fuqi hoạt động trong lĩnh vực bán trang sức kim loại quý chất lượng cao. Cổ phiếu Fuqi từng được giao dịch trên NASDAQ cho đến khi bị hủy niêm yết vào tháng 3 năm 2011 và hiện được giao dịch trên thị trường pink sheet với giá khoảng 1 đô-la mỗi cổ phiếu.</w:t>
      </w:r>
    </w:p>
    <w:p>
      <w:pPr>
        <w:spacing w:after="80"/>
      </w:pPr>
      <w:r>
        <w:rPr>
          <w:b w:val="0"/>
          <w:i w:val="0"/>
        </w:rPr>
        <w:t>Bị đơn Yu Kwai Chong là người sáng lập chính của Fuqi và đã giữ chức Chủ tịch Hội đồng Quản trị kể từ khi Fuqi thành lập. Chong cũng từng giữ chức CEO của Fuqi từ tháng 4 năm 2011 đến tháng 6 năm 2011. Bị đơn Lie Xi Zhuang đã giữ chức COO của Fuqi từ tháng 4 năm 2001 và là giám đốc từ năm 2008. Bị đơn Ching Wan Wong từng giữ chức CFO của Fuqi từ tháng 1 năm 2004 cho đến khi từ chức vào tháng 7 năm 2011; Wong cũng là giám đốc của Fuqi từ năm 2008 cho đến khi từ chức vào tháng 6 năm 2011. Bị đơn Lily Lee Chen từng là giám đốc của Fuqi từ tháng 6 năm 2007 cho đến khi từ chức vào tháng 3 năm 2012. Các Bị đơn Eileen B. Brody và Victor A. Hollander từng là giám đốc của Fuqi, và là thành viên của Ủy ban Kiểm toán, từ tháng 6 năm 2007 cho đến khi từ chức vào tháng 1 năm 2012. Bị đơn Jeff Haiyong Liu đã giữ chức giám đốc của Fuqi từ tháng 6 năm 2007 đến nay, và cũng từng là thành viên của Ủy ban Kiểm toán. Gọi chung lại, tôi gọi các Bị đơn Chong, Zhuang, Wong, Chen, Brody, Hollander và Liu là “Các Bị đơn Cá nhân.”</w:t>
      </w:r>
    </w:p>
    <w:p>
      <w:pPr>
        <w:spacing w:after="80"/>
      </w:pPr>
      <w:r>
        <w:rPr>
          <w:b w:val="0"/>
          <w:i/>
        </w:rPr>
        <w:t>Bối cảnh và Cơ cấu Tổ chức của Fuqi</w:t>
      </w:r>
    </w:p>
    <w:p>
      <w:pPr>
        <w:spacing w:after="80"/>
      </w:pPr>
      <w:r>
        <w:rPr>
          <w:b w:val="0"/>
          <w:i w:val="0"/>
        </w:rPr>
        <w:t>Hoạt động chính của Fuqi được tiến hành thông qua một công ty con sở hữu toàn phần, Fuqi International Holdings Co., Ltd., một công ty thuộc Quần đảo Virgin thuộc Anh, và công ty con sở hữu toàn phần của nó, Shenzhen Fuqi Jewelry Co., Ltd., một công ty được thành lập theo luật pháp Trung Quốc.</w:t>
      </w:r>
    </w:p>
    <w:p>
      <w:pPr>
        <w:spacing w:after="80"/>
      </w:pPr>
      <w:r>
        <w:rPr>
          <w:b w:val="0"/>
          <w:i w:val="0"/>
        </w:rPr>
        <w:t>Fuqi ra đời từ một giao dịch sáp nhập ngược (reverse-merger) liên quan đến Fuqi BVI và VT Marketing Services, Inc., một công ty được thành lập như một phần của kế hoạch tái tổ chức theo Chương 11 của visitalk.com , Inc. Trước thương vụ Sáp nhập Ngược, Chong là cổ đông duy nhất của Fuqi BVI. Vào ngày 20 tháng 11 năm 2006, Chong, Fuqi BVI và VT đã ký kết một thỏa thuận trao đổi cổ phần để thực hiện thương vụ Sáp nhập Ngược. Theo thỏa thuận, Chong đồng ý đổi toàn bộ cổ phần của mình trong Fuqi BVI lấy cổ phần của VT, và VT đồng ý mua lại toàn bộ cổ phần đã phát hành và đang lưu hành của Fuqi BVI. Thương vụ Sáp nhập Ngược hoàn tất vào ngày 22 tháng 11 năm 2006, và VT đã phát hành 11.175.543 cổ phiếu phổ thông để đổi lấy toàn bộ cổ phần đã phát hành và đang lưu hành của Fuqi BVI. Sau khi thương vụ Sáp nhập Ngược hoàn tất, VT trở thành công ty mẹ sở hữu 100% Fuqi BVI và tiếp nhận hoạt động của Fuqi BVI và Fuqi China làm hoạt động kinh doanh duy nhất của mình. Vào ngày 8 tháng 12 năm 2006, VT tái đăng ký thành lập tại Delaware, sau khi trước đó được tổ chức theo luật pháp Nevada, và đổi tên công ty từ “VT Marketing Services, Inc.” thành “Fuqi International, Inc.”</w:t>
      </w:r>
    </w:p>
    <w:p>
      <w:pPr>
        <w:spacing w:after="80"/>
      </w:pPr>
      <w:r>
        <w:rPr>
          <w:b w:val="0"/>
          <w:i/>
        </w:rPr>
        <w:t>Đợt Phát hành Công khai của Fuqi và Các Tiết lộ Liên quan</w:t>
      </w:r>
    </w:p>
    <w:p>
      <w:pPr>
        <w:spacing w:after="80"/>
      </w:pPr>
      <w:r>
        <w:rPr>
          <w:b w:val="0"/>
          <w:i w:val="0"/>
        </w:rPr>
        <w:t>Thương vụ Sáp nhập Ngược của Fuqi đã tạo điều kiện cho Fuqi tiếp cận thị trường vốn Hoa Kỳ. Sau thương vụ Sáp nhập Ngược, Fuqi bắt đầu phát hành các thông cáo báo chí và hồ sơ nộp lên SEC, báo cáo mức tăng trưởng mạnh mẽ đến kinh ngạc. Vào ngày 31 tháng 7 năm 2009, Fuqi hoàn tất một đợt phát hành công khai 5,58 triệu cổ phiếu phổ thông với giá 21,50 đô-la mỗi cổ phiếu. Tổng số tiền thu được gộp vào khoảng 120 triệu đô-la.</w:t>
      </w:r>
    </w:p>
    <w:p>
      <w:pPr>
        <w:spacing w:after="80"/>
      </w:pPr>
      <w:r>
        <w:rPr>
          <w:b w:val="0"/>
          <w:i/>
        </w:rPr>
        <w:t>Fuqi Công bố Điểm yếu Trọng yếu trong Các Phương pháp Kế toán</w:t>
      </w:r>
    </w:p>
    <w:p>
      <w:pPr>
        <w:spacing w:after="80"/>
      </w:pPr>
      <w:r>
        <w:rPr>
          <w:b w:val="0"/>
          <w:i w:val="0"/>
        </w:rPr>
        <w:t>Vào ngày 16 tháng 3 năm 2010, Fuqi thông báo rằng báo cáo 10-Q quý bốn và 10-K năm 2009 của mình sẽ bị trì hoãn vì Fuqi đã phát hiện “một số sai sót liên quan đến việc hạch toán hàng tồn kho và giá vốn hàng bán của Công ty.” Thông cáo báo chí nêu rằng những sai sót được xác định dự kiến sẽ có tác động trọng yếu đến các báo cáo tài chính theo quý đã phát hành trước đó của Fuqi cho năm 2009 và rằng “ít nhất một trong những khiếm khuyết được xác định . . . cấu thành một điểm yếu trọng yếu. . . .” Thông cáo báo chí này được tiếp nối bởi một thông cáo khác đề ngày 7 tháng 4 năm 2010, trong đó Fuqi tiết lộ rằng công ty đã nhận được thư thông báo từ NASDAQ rằng Fuqi không còn tuân thủ các quy tắc của NASDAQ yêu cầu nộp báo cáo SEC đúng hạn. Vào ngày 8 tháng 9 năm 2010, Fuqi thông báo rằng SEC đã khởi động một cuộc điều tra chính thức đối với Fuqi, liên quan đến việc Fuqi không nộp các báo cáo định kỳ đúng hạn, cùng nhiều vấn đề khác.</w:t>
      </w:r>
    </w:p>
    <w:p>
      <w:pPr>
        <w:spacing w:after="80"/>
      </w:pPr>
      <w:r>
        <w:rPr>
          <w:b w:val="0"/>
          <w:i/>
        </w:rPr>
        <w:t>Các Cổ đông Fuqi Nộp Các Vụ kiện Chứng khoán và Phái sinh Bên ngoài Delaware</w:t>
      </w:r>
    </w:p>
    <w:p>
      <w:pPr>
        <w:spacing w:after="80"/>
      </w:pPr>
      <w:r>
        <w:rPr>
          <w:b w:val="0"/>
          <w:i w:val="0"/>
        </w:rPr>
        <w:t>Sau khi Fuqi công bố rằng báo cáo tài chính năm 2009 của mình cần phải được lập lại, các cổ đông của Fuqi đã đệ đơn nhiều vụ kiện về chứng khoán và kiện phái sinh thay mặt cho Fuqi chống lại các Bị đơn Cá nhân tại các tòa án liên bang và tiểu bang. Mười vụ kiện tập thể về chứng khoán đã được đệ trình lên Tòa án Quận Liên bang Hoa Kỳ cho Quận Nam New York trong vòng vài tuần sau thông cáo báo chí ngày 16 tháng 3 năm 2010. Ba vụ kiện phái sinh đã được đệ trình thay mặt cho Fuqi vào tháng 4 năm 2010, hai vụ tại tòa án liên bang và một vụ tại tòa án Tiểu bang New York. Các vụ kiện phái sinh cáo buộc rằng các giám đốc và một số viên chức của Fuqi đã vi phạm nghĩa vụ ủy thác của họ bằng cách không giám sát và kiểm soát Fuqi một cách đầy đủ, dẫn đến việc nộp các báo cáo tài chính sai lệch. . . .</w:t>
      </w:r>
    </w:p>
    <w:p>
      <w:pPr>
        <w:spacing w:after="80"/>
      </w:pPr>
      <w:r>
        <w:rPr>
          <w:b w:val="0"/>
          <w:i/>
        </w:rPr>
        <w:t>Nguyên đơn Rich Gửi Yêu cầu đến Ban Giám đốc Fuqi.</w:t>
      </w:r>
    </w:p>
    <w:p>
      <w:pPr>
        <w:spacing w:after="80"/>
      </w:pPr>
      <w:r>
        <w:rPr>
          <w:b w:val="0"/>
          <w:i w:val="0"/>
        </w:rPr>
        <w:t>Vào ngày 19 tháng 7 năm 2010, Nguyên đơn Rich đã gửi yêu cầu đến Ban Giám đốc Fuqi để khởi kiện một số giám đốc và viên chức điều hành của Fuqi (gọi là "Thư Yêu cầu"). Thư Yêu cầu đề nghị ban giám đốc "hành động để khắc phục các vi phạm nghĩa vụ ủy thác của các giám đốc và một số viên chức điều hành của Công ty" cũng như "sửa chữa những thiếu sót trong kiểm soát nội bộ của Công ty đã cho phép hành vi sai trái xảy ra." Thư Yêu cầu cũng thông báo cho ban giám đốc rằng nếu Fuqi không phản hồi thư trong một khoảng thời gian hợp lý, Nguyên đơn sẽ khởi kiện vụ kiện phái sinh cổ đông thay mặt cho Fuqi. Fuqi chưa bao giờ phản hồi Thư Yêu cầu bằng văn bản.</w:t>
      </w:r>
    </w:p>
    <w:p>
      <w:pPr>
        <w:spacing w:after="80"/>
      </w:pPr>
      <w:r>
        <w:rPr>
          <w:b w:val="0"/>
          <w:i/>
        </w:rPr>
        <w:t>Fuqi Bổ nhiệm Ủy ban Điều tra Nội bộ Đặc biệt</w:t>
      </w:r>
    </w:p>
    <w:p>
      <w:pPr>
        <w:spacing w:after="80"/>
      </w:pPr>
      <w:r>
        <w:rPr>
          <w:b w:val="0"/>
          <w:i w:val="0"/>
        </w:rPr>
        <w:t>Vào ngày 29 tháng 10 năm 2010, Fuqi công bố việc bổ nhiệm Kim K.T. Pan làm thành viên độc lập mới của ban giám đốc. Để đáp lại yêu cầu, các giám đốc đã thành lập một "Ủy ban Điều tra Nội bộ Đặc biệt" và bổ nhiệm Pan và Chen làm thành viên của ủy ban này (gọi là "Ủy ban Đặc biệt"). Ban giám đốc đã ủy quyền cho Ủy ban Đặc biệt thuê các chuyên gia và cố vấn để điều tra xem liệu các khiếu nại trong yêu cầu có căn cứ hay không. Việc công bố sự thành lập của Ủy ban Đặc biệt là thông tin duy nhất mà Fuqi từng công bố cho các cổ đông về Ủy ban Đặc biệt. Nguyên đơn cho rằng Ủy ban Đặc biệt "chưa bao giờ tiến hành bất kỳ cuộc điều tra nào hay bất kỳ hoạt động nào khác trong suốt thời gian tồn tại ngắn ngủi của nó." Hơn nữa, đến tháng 3 năm 2012, Ủy ban Đặc biệt đã thực sự ngừng tồn tại sau khi mất cả hai thành viên, Pan và Chen, do Chen từ chức và Pan được bổ nhiệm làm CEO.</w:t>
      </w:r>
    </w:p>
    <w:p>
      <w:pPr>
        <w:spacing w:after="80"/>
      </w:pPr>
      <w:r>
        <w:rPr>
          <w:b w:val="0"/>
          <w:i/>
        </w:rPr>
        <w:t>Fuqi Công bố các Điểm yếu Trọng yếu và các Giao dịch Chuyển tiền</w:t>
      </w:r>
    </w:p>
    <w:p>
      <w:pPr>
        <w:spacing w:after="80"/>
      </w:pPr>
      <w:r>
        <w:rPr>
          <w:b w:val="0"/>
          <w:i w:val="0"/>
        </w:rPr>
        <w:t>Từ khi Nguyên đơn gửi Thư Yêu cầu cho đến nay, Fuqi đã công bố thêm thông tin tiêu cực về các lỗi kế toán, thiếu kiểm soát nội bộ và quản lý nguồn lực công ty kém hiệu quả. Ví dụ, vào ngày 16 tháng 3 năm 2011, Fuqi đã nộp Mẫu NT 10-K lên SEC thông báo rằng các báo cáo tài chính cho các kỳ hàng quý kết thúc ngày 31 tháng 3 năm 2009; ngày 30 tháng 6 năm 2009; và ngày 30 tháng 9 năm 2009 sẽ được lập lại do các lỗi kế toán. Những lỗi kế toán này liên quan đến: (i) việc tách phân khúc bán lẻ khỏi sổ cái chung không chính xác; (ii) các khoản mua hàng và khoản phải trả chưa được ghi nhận, (iii) việc vô tình đưa vào hàng tồn kho ký gửi, (iv) việc ghi chép không chính xác và không kịp thời các biến động hàng tồn kho của hoạt động bán lẻ; và (v) việc tính giá hàng tồn kho kim cương không chính xác, các khoản mua hàng chưa được ghi nhận và khoản phải trả chưa được ghi nhận.</w:t>
      </w:r>
    </w:p>
    <w:p>
      <w:pPr>
        <w:spacing w:after="80"/>
      </w:pPr>
      <w:r>
        <w:rPr>
          <w:b w:val="0"/>
          <w:i w:val="0"/>
        </w:rPr>
        <w:t>Nói cách khác, báo cáo tài chính của Fuqi đầy rẫy những lỗi kế toán cơ bản. Mẫu NT 10-K còn tiết lộ rằng Fuqi đã xác định được những điểm yếu trọng yếu trong kiểm soát công bố thông tin, các thủ tục và kiểm soát nội bộ đối với báo cáo tài chính. Những điểm yếu trọng yếu này bao gồm việc Fuqi không "duy trì được các kiểm soát hiệu quả . . . đối với nhân sự kế toán và tài chính của mình . . ., các chu trình hàng tồn kho và mua hàng, việc hạch toán các giao dịch phức tạp và không thường xuyên, chức năng kiểm toán nội bộ, và chức năng quản lý ngân quỹ."</w:t>
      </w:r>
    </w:p>
    <w:p>
      <w:pPr>
        <w:spacing w:after="80"/>
      </w:pPr>
      <w:r>
        <w:rPr>
          <w:b w:val="0"/>
          <w:i w:val="0"/>
        </w:rPr>
        <w:t>Hai tuần sau, Fuqi công bố rằng Ủy ban Kiểm toán của mình đang tiến hành điều tra liên quan đến một số giao dịch chuyển tiền đã được kiểm toán viên độc lập của Fuqi phát hiện trong quá trình Fuqi chuẩn bị các báo cáo tài chính hàng quý được lập lại cho năm 2009. Fuqi đã thực hiện các giao dịch chuyển tiền này, từ tháng 9 năm 2009 đến tháng 11 năm 2010, cho các bên là "các pháp nhân hợp pháp đã đăng ký tại Trung Quốc." Chong, Chủ tịch hội đồng quản trị của Fuqi, đã ủy quyền các giao dịch chuyển tiền theo một thỏa thuận miệng với ngân hàng của Fuqi. Các pháp nhân nhận những khoản chuyển tiền này là các pháp nhân Trung Quốc, "nhưng Công ty đã không thể xác nhận tính chính xác của địa chỉ kinh doanh của họ cũng như không thể xác định được mức độ và tính chất hoạt động kinh doanh của họ, nếu có." Tính đến tháng 3 năm 2011, công ty đã không tìm thấy bằng chứng nào cho thấy các pháp nhân nhận tiền có liên quan đến bất kỳ người quản lý hay giám đốc nào của Fuqi. Fuqi đã tuyên bố rằng "tất cả các khoản chuyển tiền ra ngoài do Công ty thực hiện đều đã được các công ty nhận tiền hoàn trả đầy đủ trong ngắn hạn, không có tổn thất nào phát sinh từ các giao dịch chuyển tiền này." Tuy nhiên, Fuqi đã không đưa ra báo cáo tài chính đã được kiểm toán để xác nhận rằng những khoản tiền này đã được hoàn trả. Tổng số tiền của các giao dịch chuyển tiền lên tới 86,3 triệu đô la cho năm 2009 và 47,5 triệu đô la cho năm 2010.</w:t>
      </w:r>
    </w:p>
    <w:p>
      <w:pPr>
        <w:spacing w:after="80"/>
      </w:pPr>
      <w:r>
        <w:rPr>
          <w:b w:val="0"/>
          <w:i w:val="0"/>
        </w:rPr>
        <w:t>Về bản chất, Fuqi đã chuyển tiền ra khỏi công ty cho các bên thứ ba, bên ngoài Hoa Kỳ, những bên chưa được xác minh là doanh nghiệp hợp pháp. Fuqi đã khẳng định, nhưng không chứng minh được, rằng số tiền đã được khôi phục. Thông cáo báo chí công bố những sự kiện này kết thúc bằng "[c]uộc điều tra nội bộ vẫn đang tiếp diễn." Kể từ thông cáo báo chí này vào năm 2011, Fuqi đã không cung cấp thêm thông tin nào về cuộc điều tra cho các cổ đông.</w:t>
      </w:r>
    </w:p>
    <w:p>
      <w:pPr>
        <w:spacing w:after="80"/>
      </w:pPr>
      <w:r>
        <w:rPr>
          <w:b w:val="0"/>
          <w:i w:val="0"/>
        </w:rPr>
        <w:t>Ngày hôm sau, do việc Fuqi tiếp tục không nộp báo cáo tài chính đúng hạn, NASDAQ đã hủy niêm yết cổ phiếu Fuqi khỏi sàn giao dịch. Mặc dù từng được giao dịch ở mức gần 30 đô la mỗi cổ phiếu, cổ phiếu Fuqi hiện được giao dịch trên thị trường pink sheets với giá khoảng 1 đô la mỗi cổ phiếu.</w:t>
      </w:r>
    </w:p>
    <w:p>
      <w:pPr>
        <w:spacing w:after="80"/>
      </w:pPr>
      <w:r>
        <w:rPr>
          <w:b w:val="0"/>
          <w:i/>
        </w:rPr>
        <w:t>Cuộc Điều tra của Fuqi</w:t>
      </w:r>
    </w:p>
    <w:p>
      <w:pPr>
        <w:spacing w:after="80"/>
      </w:pPr>
      <w:r>
        <w:rPr>
          <w:b w:val="0"/>
          <w:i w:val="0"/>
        </w:rPr>
        <w:t>Mặc dù không có bằng chứng nào cho thấy Ủy ban Đặc biệt đã thực hiện bất kỳ cuộc điều tra nào, Ủy ban Kiểm toán đã bắt đầu điều tra các vấn đề kế toán của Fuqi. Ủy ban Kiểm toán của Fuqi, mà rõ ràng đã tồn tại trước các vấn đề công bố thông tin của mình, bao gồm các thành viên hội đồng quản trị là Hollander, Brody và Liu. Fuqi cho rằng Ủy ban Kiểm toán đã "tiến hành một quá trình đánh giá và khắc phục kéo dài đối với các kiểm soát nội bộ và tài chính của mình" dẫn đến "tiến bộ đáng kể."</w:t>
      </w:r>
    </w:p>
    <w:p>
      <w:pPr>
        <w:spacing w:after="80"/>
      </w:pPr>
      <w:r>
        <w:rPr>
          <w:b w:val="0"/>
          <w:i w:val="0"/>
        </w:rPr>
        <w:t>Các kiểm toán viên của Fuqi đã yêu cầu Ủy ban Kiểm toán thực hiện một cuộc điều tra khẩn cấp về các giao dịch chuyển tiền. Ủy ban Kiểm toán đã thuê một công ty luật Trung Quốc để điều tra các giao dịch và xác định liệu Fuqi có vi phạm pháp luật Trung Quốc hay Hoa Kỳ hay không. Vào tháng 2 năm 2011, Ủy ban Kiểm toán đã thuê cố vấn điều tra đặc biệt và một kế toán pháp y sau khi các kiểm toán viên của Fuqi yêu cầu Ủy ban Kiểm toán kết thúc cuộc điều tra của mình. Sau khi Ủy ban Kiểm toán chia sẻ những phát hiện sơ bộ của mình với các kiểm toán viên, các kiểm toán viên đã yêu cầu Ủy ban Kiểm toán mở rộng cuộc điều tra.</w:t>
      </w:r>
    </w:p>
    <w:p>
      <w:pPr>
        <w:spacing w:after="80"/>
      </w:pPr>
      <w:r>
        <w:rPr>
          <w:b w:val="0"/>
          <w:i w:val="0"/>
        </w:rPr>
        <w:t>Bất kể tiến bộ nào mà Ủy ban Kiểm toán đạt được trong việc phát hiện và khắc phục các nguyên nhân gây ra vấn đề của Fuqi, theo cáo buộc, đều đã bị đình trệ. Theo Brody và Hollander (hai trong số ba cựu thành viên của Ủy ban Kiểm toán), ban quản lý Fuqi đã không thanh toán phí cho cố vấn pháp lý bên ngoài, các chuyên gia pháp y và kiểm toán viên của Ủy ban Kiểm toán. Kết quả là, những chuyên gia này đã rút khỏi việc tư vấn hoặc tạm ngừng cung cấp dịch vụ cho Ủy ban Kiểm toán. Vào tháng 1 năm 2012, Brody và Hollander đã từ chức giám đốc Fuqi, và là thành viên của Ủy ban Kiểm toán, để phản đối việc cắt giảm ngân sách.</w:t>
      </w:r>
    </w:p>
    <w:p>
      <w:pPr>
        <w:spacing w:after="80"/>
      </w:pPr>
      <w:r>
        <w:rPr>
          <w:b w:val="0"/>
          <w:i w:val="0"/>
        </w:rPr>
        <w:t>Vì Ủy ban Kiểm toán đã không hoàn thành việc kiểm toán các năm 2009, 2010 và 2011, Fuqi đã không nộp bất kỳ báo cáo tài chính đã được kiểm toán nào trong hơn ba năm. Tính đến ngày 28 tháng 3 năm 2012, Fuqi đã tuyên bố với SEC và với Tòa án này rằng công ty không thể ước tính được khi nào mình sẽ nộp báo cáo tài chính đã được kiểm toán.</w:t>
      </w:r>
    </w:p>
    <w:p>
      <w:pPr>
        <w:spacing w:after="80"/>
      </w:pPr>
      <w:r>
        <w:rPr>
          <w:b w:val="0"/>
          <w:i w:val="0"/>
        </w:rPr>
        <w:t>Mặc dù Fuqi vẫn chưa hoàn tất cuộc điều tra, Fuqi đã công bố với các cổ đông rằng các giao dịch chuyển tiền là kết quả của những điểm yếu trọng yếu trong kiểm soát nội bộ của Fuqi. Ví dụ, Fuqi đã thừa nhận rằng “các kiểm soát ngân quỹ của Công ty không yêu cầu đơn xin chuyển quỹ nội bộ phải nêu rõ bất kỳ mục đích kinh doanh cụ thể nào hoặc phải kèm theo tài liệu hỗ trợ, chẳng hạn như bản sao hóa đơn, đơn đặt hàng, hợp đồng hoặc bảng kê tạm ứng liên quan.”</w:t>
      </w:r>
    </w:p>
    <w:p>
      <w:pPr>
        <w:spacing w:after="80"/>
      </w:pPr>
      <w:r>
        <w:rPr>
          <w:b w:val="0"/>
          <w:i/>
        </w:rPr>
        <w:t>Fuqi Chứng Kiến Làn Sóng Rời Bỏ Hàng Loạt Trong Ban Lãnh Đạo</w:t>
      </w:r>
    </w:p>
    <w:p>
      <w:pPr>
        <w:spacing w:after="80"/>
      </w:pPr>
      <w:r>
        <w:rPr>
          <w:b w:val="0"/>
          <w:i w:val="0"/>
        </w:rPr>
        <w:t>Từ tháng 6 năm 2010 đến tháng 3 năm 2012, hội đồng quản trị và đội ngũ điều hành của Fuqi đã trải qua làn sóng rời bỏ hàng loạt. Những vụ rời bỏ này được trình bày chi tiết dưới đây:</w:t>
      </w:r>
    </w:p>
    <w:p>
      <w:pPr>
        <w:spacing w:after="80"/>
        <w:ind w:left="360"/>
      </w:pPr>
      <w:r>
        <w:t xml:space="preserve">• </w:t>
      </w:r>
      <w:r>
        <w:rPr>
          <w:b w:val="0"/>
          <w:i w:val="0"/>
        </w:rPr>
        <w:t>Ngày 11 tháng 6 năm 2010, Xi Zhou Zhuo từ chức Giám đốc Tiếp thị của Fuqi;</w:t>
      </w:r>
    </w:p>
    <w:p>
      <w:pPr>
        <w:spacing w:after="80"/>
        <w:ind w:left="360"/>
      </w:pPr>
      <w:r>
        <w:t xml:space="preserve">• </w:t>
      </w:r>
      <w:r>
        <w:rPr>
          <w:b w:val="0"/>
          <w:i w:val="0"/>
        </w:rPr>
        <w:t>Ngày 16 tháng 6 năm 2011, Wong từ chức thành viên hội đồng quản trị nhưng vẫn giữ chức CFO của Fuqi;</w:t>
      </w:r>
    </w:p>
    <w:p>
      <w:pPr>
        <w:spacing w:after="80"/>
        <w:ind w:left="360"/>
      </w:pPr>
      <w:r>
        <w:t xml:space="preserve">• </w:t>
      </w:r>
      <w:r>
        <w:rPr>
          <w:b w:val="0"/>
          <w:i w:val="0"/>
        </w:rPr>
        <w:t>Ngày 17 tháng 6 năm 2011, Chong từ chức CEO của Fuqi và được thay thế bởi thành viên hội đồng quản trị độc lập trước đó, Kim Pan;</w:t>
      </w:r>
    </w:p>
    <w:p>
      <w:pPr>
        <w:spacing w:after="80"/>
        <w:ind w:left="360"/>
      </w:pPr>
      <w:r>
        <w:t xml:space="preserve">• </w:t>
      </w:r>
      <w:r>
        <w:rPr>
          <w:b w:val="0"/>
          <w:i w:val="0"/>
        </w:rPr>
        <w:t>Ngày 30 tháng 7 năm 2011, Wong từ chức CFO của Fuqi, và CEO Pan cũng trở thành Interim CFO (CFO tạm thời), vị trí mà ông giữ cho đến thời điểm Đơn Khiếu Nại được đệ trình;</w:t>
      </w:r>
    </w:p>
    <w:p>
      <w:pPr>
        <w:spacing w:after="80"/>
        <w:ind w:left="360"/>
      </w:pPr>
      <w:r>
        <w:t xml:space="preserve">• </w:t>
      </w:r>
      <w:r>
        <w:rPr>
          <w:b w:val="0"/>
          <w:i w:val="0"/>
        </w:rPr>
        <w:t>Ngày 3 tháng 1 năm 2012, Brody và Hollander từ chức thành viên hội đồng quản trị;</w:t>
      </w:r>
    </w:p>
    <w:p>
      <w:pPr>
        <w:spacing w:after="80"/>
        <w:ind w:left="360"/>
      </w:pPr>
      <w:r>
        <w:t xml:space="preserve">• </w:t>
      </w:r>
      <w:r>
        <w:rPr>
          <w:b w:val="0"/>
          <w:i w:val="0"/>
        </w:rPr>
        <w:t>Ngày 16 tháng 1 năm 2012, Frederick Wong từ chức Phó Chủ tịch phụ trách Các Dự án Đặc biệt; và</w:t>
      </w:r>
    </w:p>
    <w:p>
      <w:pPr>
        <w:spacing w:after="80"/>
        <w:ind w:left="360"/>
      </w:pPr>
      <w:r>
        <w:t xml:space="preserve">• </w:t>
      </w:r>
      <w:r>
        <w:rPr>
          <w:b w:val="0"/>
          <w:i w:val="0"/>
        </w:rPr>
        <w:t>Ngày 31 tháng 3 năm 2012, Chen từ chức thành viên hội đồng quản trị.</w:t>
      </w:r>
    </w:p>
    <w:p>
      <w:pPr>
        <w:spacing w:after="80"/>
      </w:pPr>
      <w:r>
        <w:rPr>
          <w:b w:val="0"/>
          <w:i w:val="0"/>
        </w:rPr>
        <w:t>Xi Zhou Zhuo, Wong, Chong, Frederick Wong và Chen được cho là đã từ chức vì “lý do cá nhân.” Tuy nhiên, Brody và Hollander từ chức một cách rõ ràng vì ban điều hành không thanh toán phí cho các nhà cung cấp dịch vụ pháp lý, kiểm toán và các dịch vụ chuyên môn khác do Ủy ban Kiểm toán thuê, và vì ban điều hành tự nhận trách nhiệm và thẩm quyền thuê một công ty kế toán chuyên nghiệp mà không có sự phê duyệt của Ủy ban Kiểm toán. Theo lời của họ, Brody và Hollander cảm thấy buộc phải từ chức “[b]ởi vì những nỗ lực của Ủy ban Kiểm toán nhằm phục vụ các cổ đông của Fuqi đã bị Ban Điều hành cản trở hoàn toàn.”</w:t>
      </w:r>
    </w:p>
    <w:p>
      <w:pPr>
        <w:spacing w:after="80"/>
      </w:pPr>
      <w:r>
        <w:rPr>
          <w:b w:val="0"/>
          <w:i w:val="0"/>
        </w:rPr>
        <w:t>Fuqi đã phản hồi công khai những bất bình của Brody và Hollander trong một Mẫu 8-K nộp ngày 3 tháng 1 năm 2012. Fuqi lập luận rằng chi phí của Ủy ban Kiểm toán chưa được thanh toán do sự khác biệt với công ty bảo hiểm của mình. Công ty còn cho rằng ban điều hành có quyền tự chọn kiểm toán viên của riêng mình. Brody và Hollander đã phản hồi những lập luận bào chữa này qua một lá thư gửi Hội đồng Quản trị vào ngày 9 tháng 1 năm 2012. Không cần đi sâu vào chi tiết của lá thư này, chỉ cần nói rằng Brody và Hollander phản đối cách mô tả của hội đồng quản trị.</w:t>
      </w:r>
    </w:p>
    <w:p>
      <w:pPr>
        <w:spacing w:after="80"/>
      </w:pPr>
      <w:r>
        <w:rPr>
          <w:b w:val="0"/>
          <w:i/>
        </w:rPr>
        <w:t>Những Cáo Buộc Chống Lại Các Bị Đơn Cá Nhân</w:t>
      </w:r>
    </w:p>
    <w:p>
      <w:pPr>
        <w:spacing w:after="80"/>
      </w:pPr>
      <w:r>
        <w:rPr>
          <w:b w:val="0"/>
          <w:i w:val="0"/>
        </w:rPr>
        <w:t>Về mặt thủ tục, Nguyên đơn lập luận rằng ông không phải chứng minh việc yêu cầu là vô ích vì (1) ông đã đưa ra yêu cầu, và (2) “Hội đồng Quản trị đã không hành động, đang không hành động và sẽ không hành động để đáp lại Yêu cầu đó.” Nguyên đơn lấy căn cứ cho tuyên bố này từ thực tế rằng Ủy ban Đặc biệt của Hội đồng Quản trị đã không có cuộc họp nào, không công bố báo cáo tiến độ nào, và hiện không còn thành viên nào. Cuối cùng, Nguyên đơn cáo buộc rằng các Bị đơn đã có đủ thời gian để điều tra vấn đề này vì đã hơn hai năm trôi qua kể từ khi Thư Yêu cầu được viết.</w:t>
      </w:r>
    </w:p>
    <w:p>
      <w:pPr>
        <w:spacing w:after="80"/>
      </w:pPr>
      <w:r>
        <w:rPr>
          <w:b w:val="0"/>
          <w:i w:val="0"/>
        </w:rPr>
        <w:t>Về mặt thực chất, Nguyên đơn cáo buộc rằng các Bị đơn Cá nhân đã vi phạm nghĩa vụ trung thành (duty of loyalty) của họ. Cụ thể, Nguyên đơn cho rằng</w:t>
      </w:r>
    </w:p>
    <w:p>
      <w:pPr>
        <w:spacing w:after="80"/>
      </w:pPr>
      <w:r>
        <w:rPr>
          <w:b w:val="0"/>
          <w:i w:val="0"/>
        </w:rPr>
        <w:t>[M]ỗi Bị đơn Cá nhân đã cố ý, và theo một cách có hệ thống và liên tục, không thiết lập và duy trì các kiểm soát nội bộ đầy đủ đối với hoạt động kế toán và báo cáo tài chính của Fuqi, không nỗ lực thiện chí để sửa chữa hoặc ngăn chặn những thiếu sót cũng như các vấn đề kế toán và tài chính do đó gây ra, và cố ý gây ra hoặc cho phép Công ty phổ biến đến các cổ đông những báo cáo tài chính sai lệch và gây nhầm lẫn.</w:t>
      </w:r>
    </w:p>
    <w:p>
      <w:pPr>
        <w:spacing w:after="80"/>
      </w:pPr>
      <w:r>
        <w:rPr>
          <w:b w:val="0"/>
          <w:i w:val="0"/>
        </w:rPr>
        <w:t>Nguyên đơn cáo buộc rằng các Bị đơn Cá nhân biết rõ rằng các hồ sơ công bố của Fuqi đã trình bày sai nghiêm trọng tình hình tài chính của Fuqi. Ông lập luận rằng các Bị đơn Cá nhân có được hiểu biết này vì họ "đã cố ý tham gia vào các hành vi báo cáo tài chính và kế toán không đúng đắn, bao gồm nhưng không giới hạn ở việc báo cáo sai doanh thu, chi phí và thu nhập ròng." Nguyên đơn cũng cáo buộc rằng Fuqi "hầu như không có các biện pháp kiểm soát kế toán nội bộ và báo cáo tài chính có ý nghĩa nào, và . . . các Bị đơn Cá nhân đã cố ý phớt lờ việc Công ty thiếu kiểm soát một cách rõ ràng và phổ biến, đồng thời không có bất kỳ nỗ lực thiện chí nào để khắc phục hoặc ngăn chặn thảm họa sẽ xảy ra sau đó." Về thiệt hại, Nguyên đơn yêu cầu bồi thường các chi phí và tổn thất phát sinh liên quan đến quá trình điều chỉnh lại báo cáo tài chính, cuộc điều tra của SEC, và việc NASDAQ hủy niêm yết Fuqi.</w:t>
      </w:r>
    </w:p>
    <w:p>
      <w:pPr>
        <w:spacing w:after="80"/>
      </w:pPr>
      <w:r>
        <w:rPr>
          <w:b w:val="0"/>
          <w:i w:val="0"/>
        </w:rPr>
        <w:t>Đơn khởi kiện trong vụ án này được nộp vào ngày 13 tháng 6 năm 2012. Fuqi đệ đơn yêu cầu bác bỏ Đơn khởi kiện vào ngày 16 tháng 7 năm 2012.</w:t>
      </w:r>
    </w:p>
    <w:p>
      <w:pPr>
        <w:spacing w:after="80"/>
      </w:pPr>
      <w:r>
        <w:rPr>
          <w:b w:val="0"/>
          <w:i w:val="0"/>
        </w:rPr>
        <w:t>PHÂN TÍCH</w:t>
      </w:r>
    </w:p>
    <w:p>
      <w:pPr>
        <w:spacing w:after="80"/>
      </w:pPr>
      <w:r>
        <w:rPr>
          <w:b w:val="0"/>
          <w:i w:val="0"/>
        </w:rPr>
        <w:t xml:space="preserve">Yêu cầu </w:t>
      </w:r>
      <w:r>
        <w:rPr>
          <w:b w:val="0"/>
          <w:i/>
        </w:rPr>
        <w:t>Caremark</w:t>
      </w:r>
      <w:r>
        <w:rPr>
          <w:b w:val="0"/>
          <w:i w:val="0"/>
        </w:rPr>
        <w:t xml:space="preserve"> và Phân tích theo 12(b)(6)</w:t>
      </w:r>
    </w:p>
    <w:p>
      <w:pPr>
        <w:spacing w:after="80"/>
      </w:pPr>
      <w:r>
        <w:rPr>
          <w:b w:val="0"/>
          <w:i w:val="0"/>
        </w:rPr>
        <w:t xml:space="preserve">Nguyên đơn cáo buộc rằng các giám đốc của Fuqi phải chịu trách nhiệm vì đã không giám sát hoạt động của công ty. Fuqi lập luận rằng Đơn khởi kiện không đưa ra được các tình tiết cho thấy các giám đốc "đã cố ý và với ý đồ xấu không triển khai bất kỳ hệ thống báo cáo hay kế toán hoặc biện pháp kiểm soát nào." Những khiếu nại như vậy về việc không giám sát với ý đồ xấu được gọi thông thường là "các vụ kiện </w:t>
      </w:r>
      <w:r>
        <w:rPr>
          <w:b w:val="0"/>
          <w:i/>
        </w:rPr>
        <w:t>Caremark</w:t>
      </w:r>
      <w:r>
        <w:rPr>
          <w:b w:val="0"/>
          <w:i w:val="0"/>
        </w:rPr>
        <w:t>." Các Bị đơn đã đệ đơn yêu cầu bác bỏ vụ kiện đối với hội đồng quản trị nói chung. Vì họ không lập luận rằng các khiếu nại đối với các Bị đơn Cá nhân nên được bác bỏ trên cơ sở từng bị đơn một, tôi không tiến hành phân tích đó.</w:t>
      </w:r>
    </w:p>
    <w:p>
      <w:pPr>
        <w:spacing w:after="80"/>
      </w:pPr>
      <w:r>
        <w:rPr>
          <w:b w:val="0"/>
          <w:i/>
        </w:rPr>
        <w:t>Tiêu chuẩn Xem xét theo 12(b)(6)</w:t>
      </w:r>
    </w:p>
    <w:p>
      <w:pPr>
        <w:spacing w:after="80"/>
      </w:pPr>
      <w:r>
        <w:rPr>
          <w:b w:val="0"/>
          <w:i w:val="0"/>
        </w:rPr>
        <w:t>Theo Quy tắc 12(b)(6) của Tòa án Đại chúng (Court of Chancery), Tòa sẽ bác bỏ đơn khởi kiện nếu nguyên đơn không đưa ra được khiếu nại mà dựa vào đó có thể được khắc phục. Tiêu chuẩn để xem xét các khiếu nại của nguyên đơn theo Quy tắc 12(b)(6) là "khả năng có thể hình dung hợp lý."</w:t>
      </w:r>
    </w:p>
    <w:p>
      <w:pPr>
        <w:spacing w:after="80"/>
      </w:pPr>
      <w:r>
        <w:rPr>
          <w:b w:val="0"/>
          <w:i w:val="0"/>
        </w:rPr>
        <w:t>Khi xem xét đơn yêu cầu bác bỏ của bị đơn, tòa án sơ thẩm nên chấp nhận tất cả các cáo buộc tình tiết được trình bày đầy đủ trong Đơn khởi kiện là đúng, chấp nhận ngay cả những cáo buộc mơ hồ trong Đơn khởi kiện là "được trình bày đầy đủ" nếu chúng cho bị đơn biết về khiếu nại, đưa ra mọi suy luận hợp lý có lợi cho nguyên đơn, và bác bỏ đơn yêu cầu trừ khi nguyên đơn không thể được khắc phục trong bất kỳ tình huống nào có thể hình dung hợp lý và có thể chứng minh được. Việc bác bỏ là không đúng nếu, khi chấp nhận tất cả các suy luận như vậy, "có khả năng hợp lý rằng nguyên đơn có thể được khắc phục."</w:t>
      </w:r>
    </w:p>
    <w:p>
      <w:pPr>
        <w:spacing w:after="80"/>
      </w:pPr>
      <w:r>
        <w:rPr>
          <w:b w:val="0"/>
          <w:i/>
        </w:rPr>
        <w:t>Wiggs v. Summit Midstream P'rs, LLC,</w:t>
      </w:r>
      <w:r>
        <w:rPr>
          <w:b w:val="0"/>
          <w:i w:val="0"/>
        </w:rPr>
        <w:t xml:space="preserve"> 2013 WL 1286180, tại </w:t>
      </w:r>
      <w:r>
        <w:rPr>
          <w:b w:val="0"/>
          <w:i/>
        </w:rPr>
        <w:t>*5</w:t>
      </w:r>
      <w:r>
        <w:rPr>
          <w:b w:val="0"/>
          <w:i w:val="0"/>
        </w:rPr>
        <w:t xml:space="preserve"> (Del. Ch. ngày 28 tháng 3 năm 2013).</w:t>
      </w:r>
    </w:p>
    <w:p>
      <w:pPr>
        <w:spacing w:after="80"/>
      </w:pPr>
      <w:r>
        <w:rPr>
          <w:b w:val="0"/>
          <w:i/>
        </w:rPr>
        <w:t>Các Yếu tố của một Yêu cầu</w:t>
      </w:r>
      <w:r>
        <w:rPr>
          <w:b w:val="0"/>
          <w:i w:val="0"/>
        </w:rPr>
        <w:t xml:space="preserve"> Caremark </w:t>
      </w:r>
    </w:p>
    <w:p>
      <w:pPr>
        <w:spacing w:after="80"/>
      </w:pPr>
      <w:r>
        <w:rPr>
          <w:b w:val="0"/>
          <w:i w:val="0"/>
        </w:rPr>
        <w:t xml:space="preserve">Bản chất của một yêu cầu </w:t>
      </w:r>
      <w:r>
        <w:rPr>
          <w:b w:val="0"/>
          <w:i/>
        </w:rPr>
        <w:t>Caremark</w:t>
      </w:r>
      <w:r>
        <w:rPr>
          <w:b w:val="0"/>
          <w:i w:val="0"/>
        </w:rPr>
        <w:t xml:space="preserve"> là sự vi phạm nghĩa vụ trung thành phát sinh từ việc giám đốc với ý đồ xấu không thực hiện việc giám sát công ty. Một yêu cầu </w:t>
      </w:r>
      <w:r>
        <w:rPr>
          <w:b w:val="0"/>
          <w:i/>
        </w:rPr>
        <w:t>Caremark</w:t>
      </w:r>
      <w:r>
        <w:rPr>
          <w:b w:val="0"/>
          <w:i w:val="0"/>
        </w:rPr>
        <w:t xml:space="preserve"> "có lẽ là lý thuyết khó nhất trong luật công ty mà nguyên đơn có thể hy vọng thắng được một phán quyết." </w:t>
      </w:r>
      <w:r>
        <w:rPr>
          <w:b w:val="0"/>
          <w:i/>
        </w:rPr>
        <w:t>In re Caremark Int'l Inc. Deriv. Litig</w:t>
      </w:r>
      <w:r>
        <w:rPr>
          <w:b w:val="0"/>
          <w:i w:val="0"/>
        </w:rPr>
        <w:t xml:space="preserve"> . Tôi ý thức được sự cần thiết phải ngăn chặn việc nhìn lại quá khứ chi phối kết quả của một vụ kiện </w:t>
      </w:r>
      <w:r>
        <w:rPr>
          <w:b w:val="0"/>
          <w:i/>
        </w:rPr>
        <w:t>Caremark</w:t>
      </w:r>
      <w:r>
        <w:rPr>
          <w:b w:val="0"/>
          <w:i w:val="0"/>
        </w:rPr>
        <w:t>; một kết quả tồi tệ, nếu không có gì thêm, không đồng nghĩa với ý đồ xấu. Để vượt qua đơn yêu cầu bác bỏ, nguyên đơn phải trình bày các tình tiết cho phép suy luận hợp lý rằng các bị đơn đã vi phạm nghĩa vụ ủy thác của họ.</w:t>
      </w:r>
    </w:p>
    <w:p>
      <w:pPr>
        <w:spacing w:after="80"/>
      </w:pPr>
      <w:r>
        <w:rPr>
          <w:b w:val="0"/>
          <w:i w:val="0"/>
        </w:rPr>
        <w:t xml:space="preserve">Trong </w:t>
      </w:r>
      <w:r>
        <w:rPr>
          <w:b w:val="0"/>
          <w:i/>
        </w:rPr>
        <w:t>Stone v. Ritter,</w:t>
      </w:r>
      <w:r>
        <w:rPr>
          <w:b w:val="0"/>
          <w:i w:val="0"/>
        </w:rPr>
        <w:t xml:space="preserve"> Tòa án Tối cao [Delaware] đã làm rõ rằng các yêu cầu </w:t>
      </w:r>
      <w:r>
        <w:rPr>
          <w:b w:val="0"/>
          <w:i/>
        </w:rPr>
        <w:t>Caremark</w:t>
      </w:r>
      <w:r>
        <w:rPr>
          <w:b w:val="0"/>
          <w:i w:val="0"/>
        </w:rPr>
        <w:t xml:space="preserve"> là sự vi phạm nghĩa vụ trung thành, chứ không phải nghĩa vụ cẩn trọng, với điều kiện tiên quyết là phải có phát hiện về ý đồ xấu. Tòa án Tối cao đã khẳng định ngôn từ của Tòa án này trong </w:t>
      </w:r>
      <w:r>
        <w:rPr>
          <w:b w:val="0"/>
          <w:i/>
        </w:rPr>
        <w:t>Caremark</w:t>
      </w:r>
      <w:r>
        <w:rPr>
          <w:b w:val="0"/>
          <w:i w:val="0"/>
        </w:rPr>
        <w:t xml:space="preserve"> khi phán quyết rằng "chỉ một sự thất bại kéo dài hoặc có hệ thống của hội đồng quản trị trong việc thực hiện giám sát—chẳng hạn như sự thất bại hoàn toàn trong việc cố gắng đảm bảo rằng có một hệ thống thông tin và báo cáo hợp lý—mới xác lập được sự thiếu thiện chí, vốn là điều kiện cần thiết để phát sinh trách nhiệm." Việc chứng minh sự thiếu thiện chí chính là rạn san hô mà hầu hết các yêu cầu </w:t>
      </w:r>
      <w:r>
        <w:rPr>
          <w:b w:val="0"/>
          <w:i/>
        </w:rPr>
        <w:t>Caremark</w:t>
      </w:r>
      <w:r>
        <w:rPr>
          <w:b w:val="0"/>
          <w:i w:val="0"/>
        </w:rPr>
        <w:t xml:space="preserve"> đều mắc cạn. Có hai tình huống khả thi mà trong đó nguyên đơn có thể khẳng định thành công một yêu cầu </w:t>
      </w:r>
      <w:r>
        <w:rPr>
          <w:b w:val="0"/>
          <w:i/>
        </w:rPr>
        <w:t>Caremark</w:t>
      </w:r>
      <w:r>
        <w:rPr>
          <w:b w:val="0"/>
          <w:i w:val="0"/>
        </w:rPr>
        <w:t xml:space="preserve">. Tòa án Tối cao mô tả các tình huống này là một trong hai: (a) các giám đốc hoàn toàn không triển khai bất kỳ hệ thống báo cáo hay thông tin hoặc biện pháp kiểm soát nào, </w:t>
      </w:r>
      <w:r>
        <w:rPr>
          <w:b w:val="0"/>
          <w:i/>
        </w:rPr>
        <w:t>hoặc</w:t>
      </w:r>
      <w:r>
        <w:rPr>
          <w:b w:val="0"/>
          <w:i w:val="0"/>
        </w:rPr>
        <w:t xml:space="preserve"> (b) sau khi đã triển khai hệ thống hoặc biện pháp kiểm soát như vậy, </w:t>
      </w:r>
      <w:r>
        <w:rPr>
          <w:b w:val="0"/>
          <w:i/>
        </w:rPr>
        <w:t>đã cố ý</w:t>
      </w:r>
      <w:r>
        <w:rPr>
          <w:b w:val="0"/>
          <w:i w:val="0"/>
        </w:rPr>
        <w:t xml:space="preserve"> không giám sát hoặc theo dõi hoạt động của nó, do đó tự tước đi khả năng được thông báo về các rủi ro hoặc vấn đề cần sự chú ý của họ. Trong cả hai tình huống, việc phát hiện trách nhiệm đều có điều kiện là nguyên đơn phải chứng minh rằng các giám đốc biết rằng họ đang không hoàn thành nghĩa vụ ủy thác của mình. "Khi các giám đốc không hành động trước một nghĩa vụ hành động đã biết, qua đó thể hiện sự coi thường có ý thức đối với trách nhiệm của mình, họ vi phạm nghĩa vụ trung thành bằng việc không hoàn thành nghĩa vụ ủy thác đó một cách thiện chí." Các ví dụ về việc giám đốc "tự tước đi khả năng được thông báo" bao gồm việc một công ty thiếu ủy ban kiểm toán, hoặc việc một công ty không sử dụng ủy ban kiểm toán của mình.</w:t>
      </w:r>
    </w:p>
    <w:p>
      <w:pPr>
        <w:spacing w:after="80"/>
      </w:pPr>
      <w:r>
        <w:rPr>
          <w:b w:val="0"/>
          <w:i w:val="0"/>
        </w:rPr>
        <w:t>Tôi phải phân tích các tình tiết được cáo buộc ở đây theo tiêu chuẩn trình bày khoan dung của Quy tắc 12(b)(6), đưa ra mọi suy luận hợp lý có lợi cho Nguyên đơn, để xem liệu có thể hình dung hợp lý rằng ông ấy có thể thắng kiện hay không. Vì tôi thấy là có, nên Đơn yêu cầu Bác bỏ vì không đưa ra được khiếu nại phải bị bác bỏ.</w:t>
      </w:r>
    </w:p>
    <w:p>
      <w:pPr>
        <w:spacing w:after="80"/>
      </w:pPr>
      <w:r>
        <w:rPr>
          <w:b w:val="0"/>
          <w:i/>
        </w:rPr>
        <w:t>In re American International Group, Inc. ("AIG")</w:t>
      </w:r>
      <w:r>
        <w:rPr>
          <w:b w:val="0"/>
          <w:i w:val="0"/>
        </w:rPr>
        <w:t xml:space="preserve"> minh họa cách tiêu chuẩn trình bày khoan dung của Quy tắc 12(b)(6) làm giảm bớt sự xem xét của Tòa án này đối với một yêu cầu </w:t>
      </w:r>
      <w:r>
        <w:rPr>
          <w:b w:val="0"/>
          <w:i/>
        </w:rPr>
        <w:t>Caremark</w:t>
      </w:r>
      <w:r>
        <w:rPr>
          <w:b w:val="0"/>
          <w:i w:val="0"/>
        </w:rPr>
        <w:t xml:space="preserve"> ở giai đoạn yêu cầu bác bỏ. Trong </w:t>
      </w:r>
      <w:r>
        <w:rPr>
          <w:b w:val="0"/>
          <w:i/>
        </w:rPr>
        <w:t>AIG,</w:t>
      </w:r>
      <w:r>
        <w:rPr>
          <w:b w:val="0"/>
          <w:i w:val="0"/>
        </w:rPr>
        <w:t xml:space="preserve"> các cơ sở nền tảng của các yêu cầu </w:t>
      </w:r>
      <w:r>
        <w:rPr>
          <w:b w:val="0"/>
          <w:i/>
        </w:rPr>
        <w:t>Caremark</w:t>
      </w:r>
      <w:r>
        <w:rPr>
          <w:b w:val="0"/>
          <w:i w:val="0"/>
        </w:rPr>
        <w:t xml:space="preserve"> là một số giao dịch, hành vi và hành vi lừa dối đã khiến AIG phải điều chỉnh lại vốn chủ sở hữu của cổ đông với số tiền 3,5 tỷ đô la và phải trả 1,6 tỷ đô la để dàn xếp các cuộc điều tra của chính phủ. Không đi vào các cáo buộc cụ thể của vụ án đó, vốn khá phức tạp, các nguyên đơn cáo buộc rằng các bị đơn đã tham gia vào các giao dịch được thiết kế để che giấu tình hình tài chính thực sự của AIG, thực hiện các kế hoạch bất hợp pháp để trốn thuế, bán các sản phẩm tài chính bất hợp pháp cho các công ty khác, và thao túng thị trường. Giao dịch gian lận lớn nhất được cáo buộc là một giao dịch tái bảo hiểm giả mạo trị giá 500 triệu đô la được thiết kế để chống đỡ các báo cáo tài chính của AIG.</w:t>
      </w:r>
    </w:p>
    <w:p>
      <w:pPr>
        <w:spacing w:after="80"/>
      </w:pPr>
      <w:r>
        <w:rPr>
          <w:b w:val="0"/>
          <w:i w:val="0"/>
        </w:rPr>
        <w:t>Các giám đốc, cán bộ và nhân viên bị đơn mỗi người đều đệ đơn yêu cầu bác bỏ đơn khởi kiện. Khi quyết định liệu đơn khởi kiện có nên bị bác bỏ hay không, Phó Chánh án khi đó là Strine đã minh họa tác động của yêu cầu, theo 12(b)(6), rằng ông phải đưa ra mọi suy luận hợp lý có lợi cho các nguyên đơn:</w:t>
      </w:r>
    </w:p>
    <w:p>
      <w:pPr>
        <w:spacing w:after="80"/>
      </w:pPr>
      <w:r>
        <w:rPr>
          <w:b w:val="0"/>
          <w:i w:val="0"/>
        </w:rPr>
        <w:t>Mặc dù các Nguyên đơn Cổ đông đưa ra các cáo buộc chi tiết về các giao dịch và kế hoạch bất hợp pháp đã lan tràn tại AIG, họ không thể gắn kết tất cả các bị đơn một cách trực tiếp với các tình tiết cụ thể cho tất cả các kế hoạch. Trong một số trường hợp . . . Đơn khởi kiện chỉ phác thảo hành vi sai trái đã xảy ra, hoặc trình bày sự tham gia của các [bị đơn] khác. Nhưng, như đã thảo luận ở trên, đây là một đơn yêu cầu bác bỏ, và do đó tôi phải dành cho các Nguyên đơn Cổ đông lợi ích của mọi suy luận hợp lý. Ngay cả những giao dịch không thể gắn kết với các bị đơn cụ thể cũng hỗ trợ suy luận rằng, với tính phổ biến của gian lận, [các bị đơn] biết rằng AIG đang thực hiện hành vi bất hợp pháp.</w:t>
      </w:r>
    </w:p>
    <w:p>
      <w:pPr>
        <w:spacing w:after="80"/>
      </w:pPr>
      <w:r>
        <w:rPr>
          <w:b w:val="0"/>
          <w:i/>
        </w:rPr>
        <w:t>In re Am. Int'l Group, Inc.</w:t>
      </w:r>
      <w:r>
        <w:rPr>
          <w:b w:val="0"/>
          <w:i w:val="0"/>
        </w:rPr>
        <w:t xml:space="preserve"> , 965 A.2d 763, 782 (Del. Ch. 2009). Tòa án giải thích rằng, nếu vụ án được phân tích theo Quy tắc 23.1, một số bị đơn sẽ ở "vị thế thuận lợi" để lập luận rằng đơn kiện cần thêm chi tiết cụ thể để trình bày đầy đủ về việc các bị đơn biết rõ sự việc. Tuy nhiên, vì Tòa án quyết định vụ án theo Quy tắc 12(b)(6) và vì tính lan rộng và tính trọng yếu của hành vi gian lận được cáo buộc, Tòa án suy đoán rằng các bị đơn biết rằng các kiểm soát nội bộ của AIG là không đầy đủ. Đối với mục đích của một kiến nghị bác bỏ theo 12(b)(6), Tòa án suy đoán rằng "ngay cả khi [các bị đơn] không trực tiếp đồng lõa trong các kế hoạch sai trái, họ đã biết về các kế hoạch đó và cố ý không ngăn chặn chúng." Tôi thấy phân tích của Tòa án trong </w:t>
      </w:r>
      <w:r>
        <w:rPr>
          <w:b w:val="0"/>
          <w:i/>
        </w:rPr>
        <w:t>AIG</w:t>
      </w:r>
      <w:r>
        <w:rPr>
          <w:b w:val="0"/>
          <w:i w:val="0"/>
        </w:rPr>
        <w:t xml:space="preserve"> hữu ích ở đây. Phân tích của tôi như sau.</w:t>
      </w:r>
    </w:p>
    <w:p>
      <w:pPr>
        <w:spacing w:after="80"/>
      </w:pPr>
      <w:r>
        <w:rPr>
          <w:b w:val="0"/>
          <w:i/>
        </w:rPr>
        <w:t>Fuqi Không Có Kiểm Soát Có Ý Nghĩa Nào</w:t>
      </w:r>
    </w:p>
    <w:p>
      <w:pPr>
        <w:spacing w:after="80"/>
      </w:pPr>
      <w:r>
        <w:rPr>
          <w:b w:val="0"/>
          <w:i w:val="0"/>
        </w:rPr>
        <w:t xml:space="preserve">Một cách mà nguyên đơn có thể trình bày thành công một khiếu nại theo </w:t>
      </w:r>
      <w:r>
        <w:rPr>
          <w:b w:val="0"/>
          <w:i/>
        </w:rPr>
        <w:t>Caremark</w:t>
      </w:r>
      <w:r>
        <w:rPr>
          <w:b w:val="0"/>
          <w:i w:val="0"/>
        </w:rPr>
        <w:t xml:space="preserve"> là trình bày các sự kiện cho thấy một công ty không có kiểm soát nội bộ nào. Fuqi có một hệ thống tuân thủ nào đó. Ví dụ, công ty có một Ủy ban Kiểm toán và đã nộp báo cáo tài chính cho SEC vào năm 2009. Tuy nhiên, nếu chấp nhận các cáo buộc của Nguyên đơn là đúng, các cơ chế mà Fuqi có dường như đã hoàn toàn không đầy đủ. Trong các thông cáo báo chí của mình, Fuqi đã trình bày chi tiết các vấn đề nghiêm trọng của mình với kiểm soát nội bộ. Ví dụ, Fuqi đã tiết lộ "việc ghi chép không chính xác và không kịp thời các biến động hàng tồn kho của hoạt động bán lẻ." Các vấn đề với hàng tồn kho đặc biệt đáng lo ngại ở đây, vì Fuqi là một công ty trang sức, chuyên về kim loại quý và đá quý - những thứ có giá trị và dễ bị đánh cắp. Tuy nhiên, các giám đốc của Fuqi đã để công ty vận hành với rất ít hoặc không có kiểm soát nào đối với những tài sản dễ bị tổn thất này. Các thiếu sót kế toán do Fuqi tự tiết lộ bao gồm: (i) việc tách phân khúc bán lẻ khỏi sổ cái chung không chính xác; (ii) các giao dịch mua và khoản phải trả chưa được ghi chép; (iii) việc vô tình đưa vào hàng tồn kho ký gửi; (iv) việc ghi chép không chính xác và không kịp thời các biến động hàng tồn kho của hoạt động bán lẻ; và (v) tính giá hàng tồn kho kim cương không chính xác, các giao dịch mua chưa được ghi chép và các khoản phải trả chưa được ghi chép.</w:t>
      </w:r>
    </w:p>
    <w:p>
      <w:pPr>
        <w:spacing w:after="80"/>
      </w:pPr>
      <w:r>
        <w:rPr>
          <w:b w:val="0"/>
          <w:i w:val="0"/>
        </w:rPr>
        <w:t xml:space="preserve">Những tiết lộ này khiến tôi tin rằng Fuqi không có kiểm soát </w:t>
      </w:r>
      <w:r>
        <w:rPr>
          <w:b w:val="0"/>
          <w:i/>
        </w:rPr>
        <w:t>có ý nghĩa</w:t>
      </w:r>
      <w:r>
        <w:rPr>
          <w:b w:val="0"/>
          <w:i w:val="0"/>
        </w:rPr>
        <w:t xml:space="preserve"> nào. Hội đồng quản trị có thể đã có các cuộc họp thường xuyên, và một Ủy ban Kiểm toán có thể đã tồn tại, nhưng dường như không có bất kỳ sự điều chỉnh nào đối với hoạt động của công ty </w:t>
      </w:r>
      <w:r>
        <w:rPr>
          <w:b w:val="0"/>
          <w:i/>
        </w:rPr>
        <w:t>tại Trung Quốc.</w:t>
      </w:r>
      <w:r>
        <w:rPr>
          <w:b w:val="0"/>
          <w:i w:val="0"/>
        </w:rPr>
        <w:t xml:space="preserve"> Tuy nhiên, ngay cả khi tôi cho rằng Fuqi có một hệ thống kiểm soát nội bộ nào đó, tôi có thể suy đoán rằng việc hội đồng quản trị không giám sát hệ thống đó là một sự vi phạm nghĩa vụ tín thác.</w:t>
      </w:r>
    </w:p>
    <w:p>
      <w:pPr>
        <w:spacing w:after="80"/>
      </w:pPr>
      <w:r>
        <w:rPr>
          <w:b w:val="0"/>
          <w:i/>
        </w:rPr>
        <w:t>Hội Đồng Quản Trị Đã Phớt Lờ Các Dấu Hiệu Cảnh Báo</w:t>
      </w:r>
    </w:p>
    <w:p>
      <w:pPr>
        <w:spacing w:after="80"/>
      </w:pPr>
      <w:r>
        <w:rPr>
          <w:b w:val="0"/>
          <w:i w:val="0"/>
        </w:rPr>
        <w:t xml:space="preserve">Như Tòa án Tối cao đã phán quyết trong </w:t>
      </w:r>
      <w:r>
        <w:rPr>
          <w:b w:val="0"/>
          <w:i/>
        </w:rPr>
        <w:t>Stone v. Ritter,</w:t>
      </w:r>
      <w:r>
        <w:rPr>
          <w:b w:val="0"/>
          <w:i w:val="0"/>
        </w:rPr>
        <w:t xml:space="preserve"> nếu các giám đốc đã triển khai một hệ thống kiểm soát, thì việc xác định trách nhiệm pháp lý dựa trên việc các giám đốc đã "cố ý không giám sát hoặc theo dõi các hoạt động [của hệ thống] do đó tự vô hiệu hóa khả năng được thông báo về các rủi ro hoặc vấn đề cần sự chú ý của họ." Một cách mà nguyên đơn có thể trình bày về việc cố ý không giám sát như vậy là xác định các "dấu hiệu cảnh báo" - những sự kiện rõ ràng và có vấn đề - hỗ trợ cho suy đoán rằng các giám đốc của Fuqi biết rằng có những điểm yếu trọng yếu trong kiểm soát nội bộ của Fuqi và đã không sửa chữa những điểm yếu đó. Không rõ kiểm soát nội bộ của Fuqi đã không đầy đủ từ bao lâu về trước. Ít nhất, hội đồng quản trị Fuqi đã có một số "cảnh báo" rằng mọi thứ không ổn với kiểm soát nội bộ kể từ tháng 3 năm 2010.</w:t>
      </w:r>
    </w:p>
    <w:p>
      <w:pPr>
        <w:spacing w:after="80"/>
      </w:pPr>
      <w:r>
        <w:rPr>
          <w:b w:val="0"/>
          <w:i w:val="0"/>
        </w:rPr>
        <w:t>Thứ nhất, Fuqi là một công ty Trung Quốc có trước đây đã tiếp cận thị trường vốn Hoa Kỳ thông qua Sáp nhập Đảo ngược. Do đó, các giám đốc của Fuqi biết rằng có thể có những thách thức trong việc đưa kiểm soát nội bộ của Fuqi hài hòa với các hệ thống báo cáo chứng khoán Hoa Kỳ. Bất chấp thực tế đó, theo Đơn kiện, các giám đốc đã không làm gì để đảm bảo rằng các cơ chế báo cáo của mình là chính xác. Thứ hai, hội đồng quản trị biết rằng mình có vấn đề với quy trình kế toán và hàng tồn kho của mình muộn nhất là vào tháng 3 năm 2010, vì họ đã thông báo rằng báo cáo tài chính năm 2009 sẽ cần được trình bày lại vào thời điểm đó. Trong cùng thông cáo báo chí đó, Fuqi cũng thừa nhận khả năng có những điểm yếu trọng yếu trong kiểm soát nội bộ của mình. Thứ ba, Fuqi đã nhận được một lá thư từ NASDAQ vào tháng 4 năm 2010 cảnh báo Fuqi rằng công ty sẽ đối mặt với việc bị hủy niêm yết nếu Fuqi không cập nhật các yêu cầu báo cáo của mình với SEC.</w:t>
      </w:r>
    </w:p>
    <w:p>
      <w:pPr>
        <w:spacing w:after="80"/>
      </w:pPr>
      <w:r>
        <w:rPr>
          <w:b w:val="0"/>
          <w:i w:val="0"/>
        </w:rPr>
        <w:t>Có vẻ hợp lý để suy đoán rằng, vì những "dấu hiệu cảnh báo" này, các giám đốc biết rằng có những thiếu sót trong kiểm soát nội bộ của Fuqi. Hơn nữa, lá thư của NASDAQ gửi cho Fuqi đã đặt hội đồng quản trị vào tình trạng được thông báo rằng những thiếu sót này có nguy cơ gây ra những hậu quả bất lợi nghiêm trọng. Các giám đốc đã thừa nhận điều này trong thông cáo báo chí tháng 3 năm 2010 của họ.</w:t>
      </w:r>
    </w:p>
    <w:p>
      <w:pPr>
        <w:spacing w:after="80"/>
      </w:pPr>
      <w:r>
        <w:rPr>
          <w:b w:val="0"/>
          <w:i w:val="0"/>
        </w:rPr>
        <w:t xml:space="preserve">Việc phân tích ngày tháng trong các tiết lộ của Fuqi cho thấy rằng, dựa trên các sự kiện được trình bày, việc suy đoán rằng các giám đốc biết rằng kiểm soát nội bộ là không đầy đủ và đã không hành động khi đối mặt với một nghĩa vụ đã biết là hợp lý. Fuqi đã thông báo cho cổ đông rằng công ty đang trình bày lại báo cáo tài chính năm 2009 và đang điều tra các "điểm yếu trọng yếu" có thể có trong kiểm soát của mình vào tháng 3 năm 2010. Rich đã gửi Thư Yêu cầu vào tháng 7 năm 2010, và hội đồng quản trị đã bổ nhiệm Ủy ban Đặc biệt vào tháng 10 năm 2010. Vào tháng 3 năm 2011, Fuqi thông báo rằng các giao dịch chuyển tiền đã xảy ra từ tháng 9 năm 2009 đến </w:t>
      </w:r>
      <w:r>
        <w:rPr>
          <w:b w:val="0"/>
          <w:i/>
        </w:rPr>
        <w:t>tháng 11</w:t>
      </w:r>
      <w:r>
        <w:rPr>
          <w:b w:val="0"/>
          <w:i w:val="0"/>
        </w:rPr>
        <w:t xml:space="preserve"> năm 2010. Những ngày này chỉ ra rằng (1) các giám đốc của Fuqi biết rằng có những điểm yếu trọng yếu trong kiểm soát nội bộ của Fuqi </w:t>
      </w:r>
      <w:r>
        <w:rPr>
          <w:b w:val="0"/>
          <w:i/>
        </w:rPr>
        <w:t>muộn nhất</w:t>
      </w:r>
      <w:r>
        <w:rPr>
          <w:b w:val="0"/>
          <w:i w:val="0"/>
        </w:rPr>
        <w:t xml:space="preserve"> là vào tháng 3 năm 2010; (2) yêu cầu của cổ đông Rich vào tháng 7 năm 2010 (cũng như vô số vụ kiện chứng khoán được đệ trình) đã đặt các giám đốc vào tình trạng được thông báo rằng các cổ đông sẽ xem xét kỹ lưỡng những gì đang diễn ra tại Fuqi; (3) Fuqi được cho là đã bắt đầu "hành động" theo yêu cầu của Rich vào tháng 11 năm 2010; và (4) bất chấp việc họ biết về những điểm yếu trong kiểm soát nội bộ của Fuqi, các giám đốc đã để 130 triệu đô la tiền mặt được chuyển ra khỏi công ty, một số vào cuối tháng 11 năm 2010. Các Nguyên đơn đã rút ra những sự kiện này trực tiếp từ các tiết lộ công khai của Fuqi. Về mặt hình thức, những tiết lộ này đủ để cho phép tôi suy đoán một cách hợp lý về ý chí phạm tội (scienter) của các Bị đơn.</w:t>
      </w:r>
    </w:p>
    <w:p>
      <w:pPr>
        <w:spacing w:after="80"/>
      </w:pPr>
      <w:r>
        <w:rPr>
          <w:b w:val="0"/>
          <w:i w:val="0"/>
        </w:rPr>
        <w:t>Việc những giao dịch chuyển tiền này không được phát hiện cho đến tháng 3 năm 2011, khi kiểm toán viên của Fuqi phát hiện ra chúng, càng củng cố suy đoán rằng kiểm soát nội bộ đã (và có thể vẫn còn) hoàn toàn không đầy đủ. Việc Chong có thể chuyển 130 triệu đô la ra khỏi kho bạc của công ty mà các giám đốc không biết trong hơn một năm là điều khó tin. Hoặc là các giám đốc biết về các giao dịch chuyển tiền và đã đồng lõa, hoặc là họ không có kiểm soát nào và không biết về chúng. Nếu các giám đốc có dù chỉ là khuôn khổ kiểm soát phù hợp tối thiểu, họ đã ngăn chặn được các giao dịch chuyển tiền.</w:t>
      </w:r>
    </w:p>
    <w:p>
      <w:pPr>
        <w:spacing w:after="80"/>
      </w:pPr>
      <w:r>
        <w:rPr>
          <w:b w:val="0"/>
          <w:i w:val="0"/>
        </w:rPr>
        <w:t xml:space="preserve">Khi đối mặt với việc biết rằng kiểm soát của công ty là không đầy đủ, các giám đốc phải </w:t>
      </w:r>
      <w:r>
        <w:rPr>
          <w:b w:val="0"/>
          <w:i/>
        </w:rPr>
        <w:t>hành động,</w:t>
      </w:r>
      <w:r>
        <w:rPr>
          <w:b w:val="0"/>
          <w:i w:val="0"/>
        </w:rPr>
        <w:t xml:space="preserve"> tức là họ phải ngăn chặn hành vi sai trái tiếp theo xảy ra. Việc cố ý không hành động, khi đối mặt với một nghĩa vụ đã biết, là một sự vi phạm nghĩa vụ trung thành. Ít nhất, có thể suy đoán rằng ngay cả khi các Bị đơn không đồng lõa trong các giao dịch chuyển tiền này, họ đã biết về những điểm yếu lan rộng, cơ bản trong kiểm soát của Fuqi và cố ý không ngăn chặn các vấn đề tiếp theo xảy ra. Việc cố ý không ngăn chặn này, như Nguyên đơn cáo buộc, đưa ra một khiếu nại về vi phạm nghĩa vụ thiện chí theo </w:t>
      </w:r>
      <w:r>
        <w:rPr>
          <w:b w:val="0"/>
          <w:i/>
        </w:rPr>
        <w:t>Caremark.</w:t>
      </w:r>
    </w:p>
    <w:p>
      <w:pPr>
        <w:spacing w:after="80"/>
      </w:pPr>
      <w:r>
        <w:rPr>
          <w:b w:val="0"/>
          <w:i w:val="0"/>
        </w:rPr>
        <w:t xml:space="preserve">Cuối cùng, như Phó Thẩm phán khi đó là Lamb đã giải thích trong </w:t>
      </w:r>
      <w:r>
        <w:rPr>
          <w:b w:val="0"/>
          <w:i/>
        </w:rPr>
        <w:t>David B. Shaev Profit Sharing Account v. Armstrong,</w:t>
      </w:r>
      <w:r>
        <w:rPr>
          <w:b w:val="0"/>
          <w:i w:val="0"/>
        </w:rPr>
        <w:t xml:space="preserve"> việc không thành lập ủy ban kiểm toán hoặc không sử dụng ủy ban kiểm toán hiện có là những ví dụ về việc các giám đốc "tự vô hiệu hóa khả năng được thông báo." Việc ban quản lý Fuqi không trả phí cho các cố vấn của Ủy ban Kiểm toán là một sự cố ý không sử dụng Ủy ban Kiểm toán. Do đó, tôi có thể suy đoán rằng hội đồng quản trị đã tự vô hiệu hóa khả năng được thông báo.</w:t>
      </w:r>
    </w:p>
    <w:p>
      <w:pPr>
        <w:spacing w:after="80"/>
      </w:pPr>
      <w:r>
        <w:rPr>
          <w:b w:val="0"/>
          <w:i w:val="0"/>
        </w:rPr>
        <w:t xml:space="preserve">Vì những lý do trên, tôi thấy rằng Nguyên đơn đã trình bày một khiếu nại theo </w:t>
      </w:r>
      <w:r>
        <w:rPr>
          <w:b w:val="0"/>
          <w:i/>
        </w:rPr>
        <w:t>Caremark</w:t>
      </w:r>
      <w:r>
        <w:rPr>
          <w:b w:val="0"/>
          <w:i w:val="0"/>
        </w:rPr>
        <w:t xml:space="preserve"> mà dựa vào đó có thể được khắc phục.</w:t>
      </w:r>
    </w:p>
    <w:p>
      <w:pPr>
        <w:pStyle w:val="Heading5"/>
      </w:pPr>
      <w:r>
        <w:rPr>
          <w:rFonts w:ascii="Calibri" w:hAnsi="Calibri"/>
          <w:b/>
          <w:i/>
          <w:sz w:val="22"/>
        </w:rPr>
        <w:t>Bình luận và Câu hỏi</w:t>
      </w:r>
    </w:p>
    <w:p>
      <w:pPr>
        <w:spacing w:after="80"/>
      </w:pPr>
      <w:r>
        <w:rPr>
          <w:b w:val="0"/>
          <w:i w:val="0"/>
        </w:rPr>
        <w:t xml:space="preserve">1. Tòa án nhận thấy rằng mặc dù Fuqi có kiểm soát nội bộ, dù là kiểm soát hoàn toàn không đầy đủ. "Do đó, để trình bày một khiếu nại </w:t>
      </w:r>
      <w:r>
        <w:rPr>
          <w:b w:val="0"/>
          <w:i/>
        </w:rPr>
        <w:t>Caremark</w:t>
      </w:r>
      <w:r>
        <w:rPr>
          <w:b w:val="0"/>
          <w:i w:val="0"/>
        </w:rPr>
        <w:t xml:space="preserve"> khả thi, và để dựa vào đó mà suy đoán khả năng đáng kể về trách nhiệm của giám đốc, nguyên đơn phải trình bày sự tồn tại của các sự kiện gợi ý rằng hội đồng quản trị biết rằng kiểm soát nội bộ là không đầy đủ, rằng những thiếu sót đó có thể để lại chỗ cho hành vi bất hợp pháp hoặc gây hại trọng yếu, và rằng hội đồng quản trị đã chọn không làm gì về những thiếu sót kiểm soát mà họ biết là tồn tại." Phó Thẩm phán Glasscock đã suy đoán như thế nào từ các sự kiện được trình bày rằng các giám đốc bị đơn biết rằng kiểm soát nội bộ của Fuqi là không đầy đủ và đã không hành động? Tòa án có đánh đồng một kết quả tồi tệ với ý chí xấu không?</w:t>
      </w:r>
    </w:p>
    <w:p>
      <w:pPr>
        <w:spacing w:after="80"/>
      </w:pPr>
      <w:r>
        <w:rPr>
          <w:b w:val="0"/>
          <w:i w:val="0"/>
        </w:rPr>
        <w:t>2. Bạn sẽ đưa ra lời khuyên gì cho hội đồng quản trị của một công ty Delaware sở hữu tài sản đáng kể và/hoặc có hoạt động đáng kể ở nước ngoài về cách giảm thiểu rủi ro phải chịu trách nhiệm giám sát?</w:t>
      </w:r>
    </w:p>
    <w:p>
      <w:pPr>
        <w:spacing w:after="80"/>
      </w:pPr>
      <w:r>
        <w:rPr>
          <w:b w:val="0"/>
          <w:i w:val="0"/>
        </w:rPr>
        <w:t>3. Thay vì lập luận rằng yêu cầu đó là vô ích hay có lý do miễn trừ nào khác, cổ đông George Rich đã gửi yêu cầu lên hội đồng quản trị Fuqi trước khi cuối cùng nộp đơn kiện phái sinh của mình. Lựa chọn này thật kỳ lạ. Vì những lý do mà chúng ta sẽ xem xét trong Chương 10, các cổ đông nguyên đơn hiếm khi gửi yêu cầu lên hội đồng quản trị của các công ty Delaware. Dù việc cổ đông gửi yêu cầu là điều bất thường, thì việc cổ đông gửi yêu cầu chờ đợi hai năm để nhận phản hồi từ hội đồng quản trị lại càng bất thường hơn.</w:t>
      </w:r>
    </w:p>
    <w:p>
      <w:pPr>
        <w:spacing w:after="80"/>
      </w:pPr>
      <w:r>
        <w:rPr>
          <w:b w:val="0"/>
          <w:i w:val="0"/>
        </w:rPr>
        <w:t>4. Tòa án lưu ý rằng các giám đốc bên ngoài có thể đã từ bỏ nghĩa vụ của mình bằng cách từ chức. Phó Chánh án Glasscock nhấn mạnh rằng "việc cố ý không hành động, khi đối mặt với một nghĩa vụ đã biết, là sự vi phạm nghĩa vụ trung thành," và hơn nữa, "quy tắc phán đoán kinh doanh 'không có vai trò gì khi các giám đốc đã từ bỏ chức năng của mình, hoặc không có quyết định có ý thức mà không hành động.'" Dưới ánh sáng của những lời răn dạy tư pháp này, bạn sẽ đưa ra lời khuyên gì cho một giám đốc nghi ngờ rằng ban điều hành đã tham gia vào gian lận kế toán hoặc hành vi sai trái khác của công ty?</w:t>
      </w:r>
    </w:p>
    <w:p>
      <w:pPr>
        <w:spacing w:after="80"/>
      </w:pPr>
      <w:r>
        <w:rPr>
          <w:b w:val="0"/>
          <w:i w:val="0"/>
        </w:rPr>
        <w:t>5. Việc từ chức có thể không bảo vệ các giám đốc bên ngoài khỏi trách nhiệm ủy thác, như các giám đốc của một công ty đại chúng Delaware khác đã học được vào năm 2013. Puda Coal, giống như Fuqi International, trở thành công ty Delaware thông qua một vụ sáp nhập ngược với một công ty Trung Quốc và duy trì tài sản cũng như hoạt động chính tại Trung Quốc. Năm 2009, chủ tịch hội đồng quản trị kiêm CEO của công ty, Ming Zhao, đã biển thủ tài sản của Puda Coal, chuyển chúng sang các công ty khác do Zhao kiểm soát mà không có sự cho phép của hội đồng quản trị. Ba giám đốc bên ngoài của công ty, đều là người Mỹ cư trú tại Hoa Kỳ, đã phát hiện ra hành vi tự giao dịch của Zhao từ một bên thứ ba hơn 18 tháng sau đó. Các cổ đông đã nộp đơn kiện phái sinh chống lại Zhao cũng như các thành viên hội đồng quản trị khác, cáo buộc, trong số các khiếu nại khác, rằng các giám đốc không thuộc ban điều hành đã vi phạm nghĩa vụ trung thành của họ bằng cách không thực hiện giám sát thích đáng đối với tài sản của công ty. Mặc dù các giám đốc bên ngoài chiếm đa số trong hội đồng quản trị, họ đã không khiến công ty tham gia vào vụ kiện của các nguyên đơn. Thay vào đó, họ từ chức khỏi hội đồng quản trị Puda Coal và yêu cầu bác bỏ đơn kiện vì không gửi yêu cầu và không nêu rõ được khiếu nại.</w:t>
      </w:r>
    </w:p>
    <w:p>
      <w:pPr>
        <w:spacing w:after="80"/>
      </w:pPr>
      <w:r>
        <w:rPr>
          <w:b w:val="0"/>
          <w:i w:val="0"/>
        </w:rPr>
        <w:t xml:space="preserve">Tòa án không chỉ từ chối bác bỏ các khiếu nại theo </w:t>
      </w:r>
      <w:r>
        <w:rPr>
          <w:b w:val="0"/>
          <w:i/>
        </w:rPr>
        <w:t>Caremark</w:t>
      </w:r>
      <w:r>
        <w:rPr>
          <w:b w:val="0"/>
          <w:i w:val="0"/>
        </w:rPr>
        <w:t>, mà Chánh án khi đó là Leo Strine còn chỉ trích mạnh mẽ các bị đơn vì đã từ chức và để Puda Coal "dưới quyền thống trị duy nhất của một người [CEO/chủ tịch] mà họ tin rằng đã vi phạm nghĩa vụ trung thành ủy thác của mình một cách triệt để." Thật vậy, Strine phỏng đoán rằng các giám đốc bên ngoài có thể đã vi phạm nghĩa vụ ủy thác của họ bằng cách từ chức: "[C]ó một số tình huống mà việc bỏ chạy không miễn trừ trách nhiệm cho bạn. Nó thực sự liên quan đến việc vi phạm nghĩa vụ. . . . Nếu những giám đốc này cuối cùng sẽ làm chứng rằng vào thời điểm họ từ chức, họ tin rằng giám đốc điều hành của công ty đã đánh cắp tài sản của công ty, và họ đã không khiến công ty . . . làm bất cứ điều gì, mà chỉ đơn giản là từ chức, tôi không chắc rằng đó là một quyết định mà bản thân nó không phải là sự vi phạm nghĩa vụ ủy thác."</w:t>
      </w:r>
    </w:p>
    <w:p>
      <w:pPr>
        <w:spacing w:after="80"/>
      </w:pPr>
      <w:r>
        <w:rPr>
          <w:b w:val="0"/>
          <w:i w:val="0"/>
        </w:rPr>
        <w:t>6. Các giám đốc và cán bộ không hành động thiện chí nếu họ cố ý khiến công ty vi phạm pháp luật. Trước khi được thăng lên Tòa án Tối cao Delaware, Chánh án khi đó là Leo Strine đã nói rõ:</w:t>
      </w:r>
    </w:p>
    <w:p>
      <w:pPr>
        <w:spacing w:after="80"/>
      </w:pPr>
      <w:r>
        <w:rPr>
          <w:b w:val="0"/>
          <w:i w:val="0"/>
        </w:rPr>
        <w:t>Luật Delaware không cấp phép cho những kẻ phá luật. Luật Delaware cho phép các công ty theo đuổi nhiều phương tiện khác nhau để kiếm lợi nhuận, tùy thuộc vào một giới hạn luật định quan trọng, đó là yêu cầu rằng các công ty Delaware chỉ theo đuổi 'hoạt động kinh doanh hợp pháp' bằng 'các hành vi hợp pháp.' Do đó, một người ủy thác của một công ty Delaware không thể trung thành với một công ty Delaware bằng cách cố ý khiến công ty tìm kiếm lợi nhuận bằng cách vi phạm pháp luật.</w:t>
      </w:r>
    </w:p>
    <w:p>
      <w:pPr>
        <w:spacing w:after="80"/>
      </w:pPr>
      <w:r>
        <w:rPr>
          <w:b w:val="0"/>
          <w:i w:val="0"/>
        </w:rPr>
        <w:t>Cũng hãy nhớ rằng, đạo luật miễn trừ trách nhiệm của Delaware loại trừ việc miễn trừ đối với "hành vi vi phạm pháp luật có ý thức." Del. Gen. Corp. L. § 102(b)(7).</w:t>
      </w:r>
    </w:p>
    <w:p>
      <w:pPr>
        <w:pStyle w:val="Heading2"/>
      </w:pPr>
      <w:r>
        <w:rPr>
          <w:rFonts w:ascii="Calibri" w:hAnsi="Calibri"/>
          <w:b/>
          <w:i w:val="0"/>
          <w:sz w:val="32"/>
        </w:rPr>
        <w:t xml:space="preserve">V. Các khiếu nại theo </w:t>
      </w:r>
      <w:r>
        <w:rPr>
          <w:rFonts w:ascii="Calibri" w:hAnsi="Calibri"/>
          <w:b/>
          <w:i/>
          <w:sz w:val="32"/>
        </w:rPr>
        <w:t>Caremark</w:t>
      </w:r>
      <w:r>
        <w:rPr>
          <w:rFonts w:ascii="Calibri" w:hAnsi="Calibri"/>
          <w:b/>
          <w:i w:val="0"/>
          <w:sz w:val="32"/>
        </w:rPr>
        <w:t xml:space="preserve"> và Quản lý Rủi ro</w:t>
      </w:r>
    </w:p>
    <w:p>
      <w:pPr>
        <w:spacing w:after="80"/>
      </w:pPr>
      <w:r>
        <w:rPr>
          <w:b w:val="0"/>
          <w:i w:val="0"/>
        </w:rPr>
        <w:t>Như chúng ta đã thấy, luật Delaware yêu cầu các hội đồng quản trị sử dụng các hệ thống thông tin và báo cáo hợp lý được thiết kế để đưa ra thông báo về hoạt động bất hợp pháp tiềm ẩn (hành vi gian lận hoặc tội phạm) trong công ty. Các chương trình tuân thủ và giám sát này cho phép các giám đốc can thiệp, ngăn chặn hành vi sai trái khiến công ty đối mặt với rủi ro về các hình phạt hình sự hoặc dân sự và, liên quan đến đó, những tổn thất khổng lồ. Tất nhiên, các công ty cũng đối mặt với những rủi ro khác ngoài mối đe dọa rằng các hoạt động của các giám đốc điều hành hoặc nhân viên cấp thấp hơn của công ty sẽ khiến công ty vi phạm luật dân sự hoặc hình sự hoặc các quy định hiện hành. Liệu các giám đốc có nghĩa vụ ủy thác tương tự để giám sát các loại rủi ro khác không?</w:t>
      </w:r>
    </w:p>
    <w:p>
      <w:pPr>
        <w:spacing w:after="80"/>
      </w:pPr>
      <w:r>
        <w:rPr>
          <w:b w:val="0"/>
          <w:i w:val="0"/>
        </w:rPr>
        <w:t>Khi các khoản vỡ nợ thế chấp dưới chuẩn tăng vọt, các công ty nắm giữ nhiều loại chứng khoán được bảo đảm bằng thế chấp khác nhau đã chịu tổn thất khổng lồ. Các nhà phân tích pháp lý và những người quan sát khác đã chỉ ra sự thụ động của hội đồng quản trị (các giám đốc "ngủ quên trên vô lăng") là một nguyên nhân góp phần gây ra những tổn thất khổng lồ mà các ngân hàng và tổ chức tài chính khác phải chịu, bao gồm tại Citigroup, chủ đề của vụ án tiếp theo của chúng ta. Các khoản đầu tư của Citigroup vào thế chấp dưới chuẩn và các công cụ nợ phức tạp đã đẩy ngân hàng khổng lồ này vào tình thế nguy hiểm và cuối cùng đe dọa sự tồn vong của nó. Citigroup đã báo lỗ 27 tỷ đô la, và giá cổ phiếu của nó giảm khoảng 77 phần trăm, trước khi chính phủ liên bang giải cứu tập đoàn quá lớn để sụp đổ này vào năm 2008. Liệu các cổ đông của Citigroup có nên có cơ hội chứng minh rằng các giám đốc của công ty đã góp phần vào thảm họa này bằng cách không thực hiện giám sát thích đáng đối với chức năng quản lý rủi ro của công ty không?</w:t>
      </w:r>
    </w:p>
    <w:p>
      <w:pPr>
        <w:pStyle w:val="Heading4"/>
      </w:pPr>
      <w:r>
        <w:rPr>
          <w:rFonts w:ascii="Calibri" w:hAnsi="Calibri"/>
          <w:b/>
          <w:i w:val="0"/>
          <w:sz w:val="23"/>
        </w:rPr>
        <w:t>In re Citigroup Inc. Shareholder Deriv. Litig.</w:t>
      </w:r>
    </w:p>
    <w:p>
      <w:pPr>
        <w:spacing w:after="80"/>
      </w:pPr>
      <w:r>
        <w:rPr>
          <w:b w:val="0"/>
          <w:i w:val="0"/>
        </w:rPr>
        <w:t>Tòa án Chancery Delaware</w:t>
      </w:r>
      <w:r>
        <w:br/>
      </w:r>
      <w:r>
        <w:rPr>
          <w:b w:val="0"/>
          <w:i w:val="0"/>
        </w:rPr>
        <w:t xml:space="preserve"> 964 A.2d 106 (2009)</w:t>
      </w:r>
    </w:p>
    <w:p>
      <w:pPr>
        <w:spacing w:after="80"/>
      </w:pPr>
      <w:r>
        <w:rPr>
          <w:b w:val="0"/>
          <w:i w:val="0"/>
        </w:rPr>
        <w:t>CHANDLER, CHÁNH ÁN:</w:t>
      </w:r>
    </w:p>
    <w:p>
      <w:pPr>
        <w:spacing w:after="80"/>
      </w:pPr>
      <w:r>
        <w:rPr>
          <w:b w:val="0"/>
          <w:i w:val="0"/>
        </w:rPr>
        <w:t>Đây là một vụ kiện phái sinh của cổ đông được đưa ra thay mặt cho Citigroup Inc. ("Citigroup" hoặc "Công ty"), nhằm thu hồi cho Công ty những tổn thất phát sinh từ việc tiếp xúc với thị trường cho vay dưới chuẩn. Các nguyên đơn, cổ đông của Citigroup, đã đưa ra vụ kiện này chống lại các giám đốc và cán bộ hiện tại và trước đây của Citigroup, cáo buộc, về bản chất, rằng các bị đơn đã vi phạm nghĩa vụ ủy thác của họ bằng cách không giám sát và quản lý đúng mức các rủi ro mà Công ty phải đối mặt từ các vấn đề trong thị trường cho vay dưới chuẩn và bằng cách không tiết lộ đúng mức việc Citigroup tiếp xúc với tài sản dưới chuẩn. Các nguyên đơn cáo buộc rằng có nhiều "cờ đỏ" mà lẽ ra phải thông báo cho các bị đơn về những vấn đề đang âm ỉ trong thị trường bất động sản và tín dụng và rằng các bị đơn đã bỏ qua những cảnh báo này để theo đuổi lợi nhuận ngắn hạn và gây tổn hại đến khả năng tồn tại lâu dài của Công ty.</w:t>
      </w:r>
    </w:p>
    <w:p>
      <w:pPr>
        <w:spacing w:after="80"/>
      </w:pPr>
      <w:r>
        <w:rPr>
          <w:b w:val="0"/>
          <w:i w:val="0"/>
        </w:rPr>
        <w:t xml:space="preserve">Lập luận của các nguyên đơn dựa trên một lý thuyết về trách nhiệm của giám đốc được Chánh án khi đó là Allen trình bày nổi tiếng nhất trong </w:t>
      </w:r>
      <w:r>
        <w:rPr>
          <w:b w:val="0"/>
          <w:i/>
        </w:rPr>
        <w:t>In re Caremark.</w:t>
      </w:r>
      <w:r>
        <w:rPr>
          <w:b w:val="0"/>
          <w:i w:val="0"/>
        </w:rPr>
        <w:t xml:space="preserve"> Trước </w:t>
      </w:r>
      <w:r>
        <w:rPr>
          <w:b w:val="0"/>
          <w:i/>
        </w:rPr>
        <w:t>Caremark</w:t>
      </w:r>
      <w:r>
        <w:rPr>
          <w:b w:val="0"/>
          <w:i w:val="0"/>
        </w:rPr>
        <w:t xml:space="preserve">, trong </w:t>
      </w:r>
      <w:r>
        <w:rPr>
          <w:b w:val="0"/>
          <w:i/>
        </w:rPr>
        <w:t>Graham v. Allis-Chalmers Manufacturing Company</w:t>
      </w:r>
      <w:r>
        <w:rPr>
          <w:b w:val="0"/>
          <w:i w:val="0"/>
        </w:rPr>
        <w:t xml:space="preserve">, Tòa án Tối cao Delaware, đáp lại một lý thuyết cho rằng các giám đốc của Allis-Chalmers phải chịu trách nhiệm vì lẽ ra họ phải biết về việc nhân viên vi phạm luật chống độc quyền liên bang, đã phán quyết rằng "khi không có lý do để nghi ngờ, các giám đốc không có nghĩa vụ thiết lập và vận hành một hệ thống gián điệp của công ty để truy tìm hành vi sai trái mà họ không có lý do để nghi ngờ là tồn tại." Hơn ba mươi năm sau, trong bối cảnh phê duyệt một thỏa thuận dàn xếp của một vụ kiện tập thể, Chánh án khi đó là Allen đã nhân cơ hội này để xem xét lại nghĩa vụ giám sát theo luật Delaware. Trong </w:t>
      </w:r>
      <w:r>
        <w:rPr>
          <w:b w:val="0"/>
          <w:i/>
        </w:rPr>
        <w:t>Caremark</w:t>
      </w:r>
      <w:r>
        <w:rPr>
          <w:b w:val="0"/>
          <w:i w:val="0"/>
        </w:rPr>
        <w:t>, các nguyên đơn cáo buộc rằng các giám đốc phải chịu trách nhiệm vì lẽ ra họ phải biết rằng một số cán bộ và nhân viên đang vi phạm Luật Thanh toán Chuyển tuyến Liên bang. Khi phân tích các khiếu nại này, Tòa án bắt đầu, một cách thích hợp, bằng việc xem xét nghĩa vụ cẩn trọng và các biện pháp bảo vệ của quy tắc phán đoán kinh doanh.</w:t>
      </w:r>
    </w:p>
    <w:p>
      <w:pPr>
        <w:spacing w:after="80"/>
      </w:pPr>
      <w:r>
        <w:rPr>
          <w:b w:val="0"/>
          <w:i w:val="0"/>
        </w:rPr>
        <w:t>Về các tiêu chuẩn trách nhiệm của giám đốc, Tòa án phân biệt giữa (1) "</w:t>
      </w:r>
      <w:r>
        <w:rPr>
          <w:b w:val="0"/>
          <w:i/>
        </w:rPr>
        <w:t>một quyết định của hội đồng quản trị</w:t>
      </w:r>
      <w:r>
        <w:rPr>
          <w:b w:val="0"/>
          <w:i w:val="0"/>
        </w:rPr>
        <w:t xml:space="preserve"> dẫn đến tổn thất vì quyết định đó là không khôn ngoan hoặc 'cẩu thả'" và (2) "</w:t>
      </w:r>
      <w:r>
        <w:rPr>
          <w:b w:val="0"/>
          <w:i/>
        </w:rPr>
        <w:t>việc hội đồng quản trị không hành động một cách thiếu cân nhắc</w:t>
      </w:r>
      <w:r>
        <w:rPr>
          <w:b w:val="0"/>
          <w:i w:val="0"/>
        </w:rPr>
        <w:t xml:space="preserve"> mà sự chú ý đúng mức, có thể lập luận, lẽ ra đã ngăn chặn được tổn thất." Trong loại trường hợp thứ nhất, hành động của giám đốc được phân tích theo quy tắc phán đoán kinh doanh, quy tắc này ngăn cản việc tòa án phán đoán lại quyết định nếu các giám đốc đã sử dụng một quy trình hợp lý và xem xét tất cả thông tin trọng yếu có sẵn một cách hợp lý—một tiêu chuẩn được đo lường bằng các khái niệm về sự cẩu thả nghiêm trọng. . . . Khi các giám đốc bị cáo buộc phải chịu trách nhiệm vì không giám sát các hoạt động tạo ra trách nhiệm, Tòa án </w:t>
      </w:r>
      <w:r>
        <w:rPr>
          <w:b w:val="0"/>
          <w:i/>
        </w:rPr>
        <w:t>Caremark</w:t>
      </w:r>
      <w:r>
        <w:rPr>
          <w:b w:val="0"/>
          <w:i w:val="0"/>
        </w:rPr>
        <w:t xml:space="preserve">, trong việc đánh giá lại phán quyết trong </w:t>
      </w:r>
      <w:r>
        <w:rPr>
          <w:b w:val="0"/>
          <w:i/>
        </w:rPr>
        <w:t>Graham</w:t>
      </w:r>
      <w:r>
        <w:rPr>
          <w:b w:val="0"/>
          <w:i w:val="0"/>
        </w:rPr>
        <w:t>, đã tuyên bố rằng mặc dù các giám đốc có thể phải chịu trách nhiệm vì không giám sát, "chỉ có sự thất bại liên tục hoặc có hệ thống của hội đồng quản trị trong việc thực hiện giám sát—chẳng hạn như sự thất bại hoàn toàn trong việc cố gắng đảm bảo rằng một hệ thống thông tin và báo cáo hợp lý tồn tại—mới thiết lập được sự thiếu thiện chí, vốn là điều kiện cần thiết để phát sinh trách nhiệm."</w:t>
      </w:r>
    </w:p>
    <w:p>
      <w:pPr>
        <w:spacing w:after="80"/>
      </w:pPr>
      <w:r>
        <w:rPr>
          <w:b w:val="0"/>
          <w:i w:val="0"/>
        </w:rPr>
        <w:t xml:space="preserve">Trong </w:t>
      </w:r>
      <w:r>
        <w:rPr>
          <w:b w:val="0"/>
          <w:i/>
        </w:rPr>
        <w:t>Stone v. Ritter</w:t>
      </w:r>
      <w:r>
        <w:rPr>
          <w:b w:val="0"/>
          <w:i w:val="0"/>
        </w:rPr>
        <w:t xml:space="preserve">, Tòa án Tối cao Delaware đã phê chuẩn tiêu chuẩn </w:t>
      </w:r>
      <w:r>
        <w:rPr>
          <w:b w:val="0"/>
          <w:i/>
        </w:rPr>
        <w:t>Caremark</w:t>
      </w:r>
      <w:r>
        <w:rPr>
          <w:b w:val="0"/>
          <w:i w:val="0"/>
        </w:rPr>
        <w:t xml:space="preserve"> về trách nhiệm giám sát của giám đốc và làm rõ rằng trách nhiệm pháp lý dựa trên khái niệm thiện chí (good faith), mà Tòa án trong </w:t>
      </w:r>
      <w:r>
        <w:rPr>
          <w:b w:val="0"/>
          <w:i/>
        </w:rPr>
        <w:t>Stone</w:t>
      </w:r>
      <w:r>
        <w:rPr>
          <w:b w:val="0"/>
          <w:i w:val="0"/>
        </w:rPr>
        <w:t xml:space="preserve"> cho rằng được nhúng vào nghĩa vụ trung thành (fiduciary duty of loyalty) và không cấu thành một nghĩa vụ trung thành độc lập có thể tự nó phát sinh trách nhiệm pháp lý. . . . Do đó, để xác lập trách nhiệm giám sát, nguyên đơn phải chứng minh rằng các giám đốc </w:t>
      </w:r>
      <w:r>
        <w:rPr>
          <w:b w:val="0"/>
          <w:i/>
        </w:rPr>
        <w:t>biết</w:t>
      </w:r>
      <w:r>
        <w:rPr>
          <w:b w:val="0"/>
          <w:i w:val="0"/>
        </w:rPr>
        <w:t xml:space="preserve"> rằng họ đang không thực hiện nghĩa vụ trung thành của mình hoặc rằng các giám đốc đã thể hiện sự </w:t>
      </w:r>
      <w:r>
        <w:rPr>
          <w:b w:val="0"/>
          <w:i/>
        </w:rPr>
        <w:t>coi nhẹ có ý thức</w:t>
      </w:r>
      <w:r>
        <w:rPr>
          <w:b w:val="0"/>
          <w:i w:val="0"/>
        </w:rPr>
        <w:t xml:space="preserve"> đối với trách nhiệm của mình, chẳng hạn như không hành động khi đối mặt với một nghĩa vụ hành động đã biết. Tiêu chuẩn này bắt nguồn từ các khái niệm về ác ý (bad faith); thật vậy, việc chứng minh ác ý là một </w:t>
      </w:r>
      <w:r>
        <w:rPr>
          <w:b w:val="0"/>
          <w:i/>
        </w:rPr>
        <w:t>điều kiện cần thiết</w:t>
      </w:r>
      <w:r>
        <w:rPr>
          <w:b w:val="0"/>
          <w:i w:val="0"/>
        </w:rPr>
        <w:t xml:space="preserve"> để quy trách nhiệm giám sát cho giám đốc.</w:t>
      </w:r>
    </w:p>
    <w:p>
      <w:pPr>
        <w:spacing w:after="80"/>
      </w:pPr>
      <w:r>
        <w:rPr>
          <w:b w:val="0"/>
          <w:i/>
        </w:rPr>
        <w:t>Các cáo buộc Caremark của Nguyên đơn</w:t>
      </w:r>
    </w:p>
    <w:p>
      <w:pPr>
        <w:spacing w:after="80"/>
      </w:pPr>
      <w:r>
        <w:rPr>
          <w:b w:val="0"/>
          <w:i w:val="0"/>
        </w:rPr>
        <w:t xml:space="preserve">Lý thuyết của nguyên đơn về việc các giám đốc bị đơn sẽ phải chịu trách nhiệm cá nhân có chút biến tấu so với khiếu nại </w:t>
      </w:r>
      <w:r>
        <w:rPr>
          <w:b w:val="0"/>
          <w:i/>
        </w:rPr>
        <w:t>Caremark</w:t>
      </w:r>
      <w:r>
        <w:rPr>
          <w:b w:val="0"/>
          <w:i w:val="0"/>
        </w:rPr>
        <w:t xml:space="preserve"> truyền thống. Trong một vụ án </w:t>
      </w:r>
      <w:r>
        <w:rPr>
          <w:b w:val="0"/>
          <w:i/>
        </w:rPr>
        <w:t>Caremark</w:t>
      </w:r>
      <w:r>
        <w:rPr>
          <w:b w:val="0"/>
          <w:i w:val="0"/>
        </w:rPr>
        <w:t xml:space="preserve"> điển hình, nguyên đơn lập luận rằng các bị đơn phải chịu trách nhiệm bồi thường thiệt hại phát sinh từ việc không giám sát hoặc không giám sát đúng mức hành vi sai trái hoặc vi phạm pháp luật của nhân viên. Ví dụ, trong </w:t>
      </w:r>
      <w:r>
        <w:rPr>
          <w:b w:val="0"/>
          <w:i/>
        </w:rPr>
        <w:t>Caremark</w:t>
      </w:r>
      <w:r>
        <w:rPr>
          <w:b w:val="0"/>
          <w:i w:val="0"/>
        </w:rPr>
        <w:t xml:space="preserve">, hội đồng quản trị bị cáo buộc đã không giám sát hành động của nhân viên vi phạm Luật Thanh toán Chống Chuyển tuyến Liên bang (federal Anti-Referral Payments Law); trong </w:t>
      </w:r>
      <w:r>
        <w:rPr>
          <w:b w:val="0"/>
          <w:i/>
        </w:rPr>
        <w:t>Stone</w:t>
      </w:r>
      <w:r>
        <w:rPr>
          <w:b w:val="0"/>
          <w:i w:val="0"/>
        </w:rPr>
        <w:t>, các giám đốc bị buộc tội không giám sát đúng mức dẫn đến trách nhiệm pháp lý cho công ty vì nhân viên vi phạm Luật Bảo mật Ngân hàng Liên bang (federal Bank Secrecy Act).</w:t>
      </w:r>
    </w:p>
    <w:p>
      <w:pPr>
        <w:spacing w:after="80"/>
      </w:pPr>
      <w:r>
        <w:rPr>
          <w:b w:val="0"/>
          <w:i w:val="0"/>
        </w:rPr>
        <w:t xml:space="preserve">Ngược lại, các khiếu nại </w:t>
      </w:r>
      <w:r>
        <w:rPr>
          <w:b w:val="0"/>
          <w:i/>
        </w:rPr>
        <w:t>Caremark</w:t>
      </w:r>
      <w:r>
        <w:rPr>
          <w:b w:val="0"/>
          <w:i w:val="0"/>
        </w:rPr>
        <w:t xml:space="preserve"> của nguyên đơn dựa trên cáo buộc rằng các bị đơn đã không giám sát đúng mức </w:t>
      </w:r>
      <w:r>
        <w:rPr>
          <w:b w:val="0"/>
          <w:i/>
        </w:rPr>
        <w:t>rủi ro kinh doanh</w:t>
      </w:r>
      <w:r>
        <w:rPr>
          <w:b w:val="0"/>
          <w:i w:val="0"/>
        </w:rPr>
        <w:t xml:space="preserve"> của Citigroup, cụ thể là mức độ phơi nhiễm của công ty đối với thị trường cho vay thế chấp dưới chuẩn (subprime mortgage market). Trong bản trả lời, nguyên đơn cáo buộc rằng các giám đốc bị đơn phải chịu trách nhiệm cá nhân theo </w:t>
      </w:r>
      <w:r>
        <w:rPr>
          <w:b w:val="0"/>
          <w:i/>
        </w:rPr>
        <w:t>Caremark</w:t>
      </w:r>
      <w:r>
        <w:rPr>
          <w:b w:val="0"/>
          <w:i w:val="0"/>
        </w:rPr>
        <w:t xml:space="preserve"> vì đã không "nỗ lực thiện chí tuân theo các quy trình đã được thiết lập hoặc không đảm bảo rằng tồn tại các hệ thống thông tin và báo cáo doanh nghiệp đầy đủ và phù hợp để giúp họ được thông tin đầy đủ về rủi ro của Citigroup đối với thị trường cho vay thế chấp dưới chuẩn." Nguyên đơn chỉ ra những cái gọi là "cờ đỏ" (red flags) lẽ ra phải đưa các bị đơn đến nhận thức về các vấn đề trong thị trường cho vay thế chấp dưới chuẩn và còn cáo buộc rằng hội đồng quản trị lẽ ra phải đặc biệt ý thức về những cờ đỏ này vì đa số giám đốc (1) đã phục vụ trong hội đồng quản trị Citigroup trong thời gian công ty có hành vi liên quan đến Enron trước đó và (2) là thành viên của Ủy ban ARM ("Quản lý Rủi ro Kiểm toán" - Audit Risk Management) và được coi là chuyên gia tài chính.</w:t>
      </w:r>
    </w:p>
    <w:p>
      <w:pPr>
        <w:spacing w:after="80"/>
      </w:pPr>
      <w:r>
        <w:rPr>
          <w:b w:val="0"/>
          <w:i w:val="0"/>
        </w:rPr>
        <w:t xml:space="preserve">Mặc dù những khiếu nại này được nguyên đơn gọi là khiếu nại </w:t>
      </w:r>
      <w:r>
        <w:rPr>
          <w:b w:val="0"/>
          <w:i/>
        </w:rPr>
        <w:t>Caremark</w:t>
      </w:r>
      <w:r>
        <w:rPr>
          <w:b w:val="0"/>
          <w:i w:val="0"/>
        </w:rPr>
        <w:t>, lý thuyết của nguyên đơn thực chất là một khiếu nại rằng các giám đốc bị đơn phải chịu trách nhiệm cá nhân với Công ty vì họ đã không nhận thức đầy đủ về rủi ro do chứng khoán dưới chuẩn gây ra. Khi nhìn xa hơn những cáo buộc hoa mỹ về nghĩa vụ giám sát và cờ đỏ được dùng để tô điểm cho những khiếu nại này, điều còn lại dường như là việc các cổ đông nguyên đơn đang cố gắng buộc các giám đốc bị đơn phải chịu trách nhiệm cá nhân vì đã đưa ra (hoặc cho phép đưa ra) những quyết định kinh doanh mà, nhìn lại thì hóa ra lại bất lợi cho Công ty. Các tòa án Delaware đã đối mặt với những loại khiếu nại này nhiều lần và đã phát triển các học thuyết để xử lý chúng—nghĩa vụ trung thành về cẩn trọng (fiduciary duty of care) và quy tắc phán đoán kinh doanh (business judgment rule). Những học thuyết này tập trung đúng đắn vào quá trình ra quyết định thay vì đánh giá thực chất về giá trị của quyết định.</w:t>
      </w:r>
    </w:p>
    <w:p>
      <w:pPr>
        <w:spacing w:after="80"/>
      </w:pPr>
      <w:r>
        <w:rPr>
          <w:b w:val="0"/>
          <w:i w:val="0"/>
        </w:rPr>
        <w:t>Nếu không có cáo buộc về việc có lợi ích cá nhân hoặc không trung thành với công ty, quy tắc phán đoán kinh doanh ngăn cản thẩm phán hoặc bồi thẩm đoàn đánh giá lại các quyết định của giám đốc nếu chúng là sản phẩm của một quá trình hợp lý và các giám đốc đã tận dụng tất cả thông tin trọng yếu và sẵn có một cách hợp lý. Tiêu chuẩn trách nhiệm của giám đốc theo quy tắc phán đoán kinh doanh "dựa trên các khái niệm về sơ suất nghiêm trọng (gross negligence)."</w:t>
      </w:r>
    </w:p>
    <w:p>
      <w:pPr>
        <w:spacing w:after="80"/>
      </w:pPr>
      <w:r>
        <w:rPr>
          <w:b w:val="0"/>
          <w:i w:val="0"/>
        </w:rPr>
        <w:t xml:space="preserve">Ngoài ra, Citigroup đã thông qua một điều khoản trong giấy chứng nhận thành lập theo § 102(b)(7) miễn trừ trách nhiệm cá nhân cho các giám đốc đối với các vi phạm nghĩa vụ trung thành, ngoại trừ, trong số những điều khác, các vi phạm nghĩa vụ trung thành hoặc các hành động hoặc thiếu sót không thiện chí hoặc liên quan đến hành vi sai trái cố ý hoặc vi phạm pháp luật có chủ đích. Bởi vì các giám đốc bị đơn "được miễn trừ trách nhiệm đối với một số hành vi nhất định, 'thì chỉ có thể tìm thấy mối đe dọa nghiêm trọng về trách nhiệm pháp lý nếu nguyên đơn đưa ra khiếu nại </w:t>
      </w:r>
      <w:r>
        <w:rPr>
          <w:b w:val="0"/>
          <w:i/>
        </w:rPr>
        <w:t>không được miễn trừ</w:t>
      </w:r>
      <w:r>
        <w:rPr>
          <w:b w:val="0"/>
          <w:i w:val="0"/>
        </w:rPr>
        <w:t xml:space="preserve"> chống lại các giám đốc dựa trên các sự kiện cụ thể.'" Ở đây, nguyên đơn không cáo buộc rằng các giám đốc có lợi ích trong giao dịch mà thay vào đó đặt nền tảng lý thuyết về trách nhiệm cá nhân của giám đốc vào ác ý.</w:t>
      </w:r>
    </w:p>
    <w:p>
      <w:pPr>
        <w:spacing w:after="80"/>
      </w:pPr>
      <w:r>
        <w:rPr>
          <w:b w:val="0"/>
          <w:i w:val="0"/>
        </w:rPr>
        <w:t xml:space="preserve">Do đó, nguyên đơn có thể lập luận ác ý bằng cách cáo buộc một cách cụ thể rằng một giám đốc </w:t>
      </w:r>
      <w:r>
        <w:rPr>
          <w:b w:val="0"/>
          <w:i/>
        </w:rPr>
        <w:t>đã biết</w:t>
      </w:r>
      <w:r>
        <w:rPr>
          <w:b w:val="0"/>
          <w:i w:val="0"/>
        </w:rPr>
        <w:t xml:space="preserve"> vi phạm nghĩa vụ trung thành hoặc không hành động vi phạm một nghĩa vụ hành động </w:t>
      </w:r>
      <w:r>
        <w:rPr>
          <w:b w:val="0"/>
          <w:i/>
        </w:rPr>
        <w:t>đã biết</w:t>
      </w:r>
      <w:r>
        <w:rPr>
          <w:b w:val="0"/>
          <w:i w:val="0"/>
        </w:rPr>
        <w:t xml:space="preserve">, thể hiện sự </w:t>
      </w:r>
      <w:r>
        <w:rPr>
          <w:b w:val="0"/>
          <w:i/>
        </w:rPr>
        <w:t>coi nhẹ có ý thức</w:t>
      </w:r>
      <w:r>
        <w:rPr>
          <w:b w:val="0"/>
          <w:i w:val="0"/>
        </w:rPr>
        <w:t xml:space="preserve"> đối với nghĩa vụ của mình.</w:t>
      </w:r>
    </w:p>
    <w:p>
      <w:pPr>
        <w:spacing w:after="80"/>
      </w:pPr>
      <w:r>
        <w:rPr>
          <w:b w:val="0"/>
          <w:i w:val="0"/>
        </w:rPr>
        <w:t xml:space="preserve">Tòa án Tối cao Delaware đã làm rõ trong </w:t>
      </w:r>
      <w:r>
        <w:rPr>
          <w:b w:val="0"/>
          <w:i/>
        </w:rPr>
        <w:t>Stone</w:t>
      </w:r>
      <w:r>
        <w:rPr>
          <w:b w:val="0"/>
          <w:i w:val="0"/>
        </w:rPr>
        <w:t xml:space="preserve"> rằng các giám đốc của các công ty Delaware có những trách nhiệm nhất định trong việc triển khai và giám sát một hệ thống giám sát; tuy nhiên, nghĩa vụ này không xóa bỏ các biện pháp bảo vệ cốt lõi của quy tắc phán đoán kinh doanh—những biện pháp bảo vệ được thiết kế để cho phép các nhà quản lý và giám đốc công ty theo đuổi các giao dịch rủi ro mà không phải lo sợ bị quy trách nhiệm cá nhân nếu những quyết định đó hóa ra bất lợi. Theo đó, gánh nặng mà nguyên đơn phải chịu để bác bỏ giả định của quy tắc phán đoán kinh doanh bằng cách chứng minh sơ suất nghiêm trọng là một gánh nặng khó khăn, và gánh nặng để chứng minh ác ý còn cao hơn nữa. . . . Giả định của quy tắc phán đoán kinh doanh, sự bảo vệ của điều khoản miễn trừ § 102(b)(7), và sự khó khăn trong việc chứng minh khiếu nại </w:t>
      </w:r>
      <w:r>
        <w:rPr>
          <w:b w:val="0"/>
          <w:i/>
        </w:rPr>
        <w:t>Caremark</w:t>
      </w:r>
      <w:r>
        <w:rPr>
          <w:b w:val="0"/>
          <w:i w:val="0"/>
        </w:rPr>
        <w:t xml:space="preserve"> cùng nhau tạo ra một gánh nặng cực kỳ cao đối với nguyên đơn để đưa ra khiếu nại về trách nhiệm cá nhân của giám đốc vì đã không nhìn thấy mức độ rủi ro kinh doanh của công ty.</w:t>
      </w:r>
    </w:p>
    <w:p>
      <w:pPr>
        <w:spacing w:after="80"/>
      </w:pPr>
      <w:r>
        <w:rPr>
          <w:b w:val="0"/>
          <w:i w:val="0"/>
        </w:rPr>
        <w:t>Trong phạm vi Tòa án cho phép các cổ đông nguyên đơn thành công với lý thuyết rằng một giám đốc phải chịu trách nhiệm vì không giám sát rủi ro kinh doanh, Tòa án có nguy cơ làm suy yếu chính sách đã được thiết lập vững chắc của luật Delaware bằng cách mời gọi các Tòa án thực hiện đánh giá nhìn lại về tính hợp lý hoặc tính thận trọng của các quyết định kinh doanh của giám đốc. Rủi ro được định nghĩa là khả năng mà lợi nhuận từ một khoản đầu tư sẽ khác với kỳ vọng. Bản chất của phán đoán kinh doanh của các nhà quản lý và giám đốc là quyết định cách công ty sẽ đánh giá sự đánh đổi giữa rủi ro và lợi nhuận. Các doanh nghiệp—và đặc biệt là các tổ chức tài chính—tạo ra lợi nhuận bằng cách chấp nhận rủi ro; một công ty hoặc nhà đầu tư sẵn sàng chấp nhận nhiều rủi ro hơn có thể kiếm được lợi nhuận cao hơn. Do đó, trong hầu hết mọi giao dịch kinh doanh, các bên tham gia giao dịch với nhận thức rằng, ngay cả khi họ đã đánh giá tình huống một cách chính xác, lợi nhuận vẫn có thể khác với kỳ vọng của họ.</w:t>
      </w:r>
    </w:p>
    <w:p>
      <w:pPr>
        <w:spacing w:after="80"/>
      </w:pPr>
      <w:r>
        <w:rPr>
          <w:b w:val="0"/>
          <w:i w:val="0"/>
        </w:rPr>
        <w:t xml:space="preserve">Gần như không thể để một tòa án, khi nhìn lại, xác định liệu các giám đốc của một công ty có đánh giá rủi ro một cách đúng đắn và do đó đưa ra quyết định kinh doanh "đúng" hay không. Những người ra quyết định kinh doanh phải hoạt động trong thế giới thực, với thông tin không hoàn hảo, nguồn lực hạn chế và tương lai không chắc chắn. Việc quy trách nhiệm cho các giám đốc vì đã đưa ra quyết định kinh doanh "sai" sẽ làm tê liệt khả năng của họ trong việc kiếm lợi nhuận cho nhà đầu tư bằng cách chấp nhận rủi ro kinh doanh. Thật vậy, chính kiểu đánh giá lại của tòa án này là điều mà quy tắc phán đoán kinh doanh được thiết kế để ngăn chặn, và ngay cả khi một đơn kiện được xây dựng theo lý thuyết </w:t>
      </w:r>
      <w:r>
        <w:rPr>
          <w:b w:val="0"/>
          <w:i/>
        </w:rPr>
        <w:t>Caremark</w:t>
      </w:r>
      <w:r>
        <w:rPr>
          <w:b w:val="0"/>
          <w:i w:val="0"/>
        </w:rPr>
        <w:t>, Tòa án này sẽ không từ bỏ những nguyên tắc nền tảng như vậy của luật nghĩa vụ trung thành Delaware.</w:t>
      </w:r>
    </w:p>
    <w:p>
      <w:pPr>
        <w:spacing w:after="80"/>
      </w:pPr>
      <w:r>
        <w:rPr>
          <w:b w:val="0"/>
          <w:i/>
        </w:rPr>
        <w:t>Đơn kiện không cáo buộc đúng về việc yêu cầu vô ích</w:t>
      </w:r>
      <w:r>
        <w:br/>
      </w:r>
      <w:r>
        <w:rPr>
          <w:b w:val="0"/>
          <w:i/>
        </w:rPr>
        <w:t xml:space="preserve"> đối với các khiếu nại về nghĩa vụ trung thành của Nguyên đơn</w:t>
      </w:r>
    </w:p>
    <w:p>
      <w:pPr>
        <w:spacing w:after="80"/>
      </w:pPr>
      <w:r>
        <w:rPr>
          <w:b w:val="0"/>
          <w:i w:val="0"/>
        </w:rPr>
        <w:t xml:space="preserve">Trong vụ án này, nguyên đơn cáo buộc rằng các bị đơn phải chịu trách nhiệm vì đã không giám sát đúng mức rủi ro mà Citigroup phải đối mặt từ chứng khoán dưới chuẩn. Mặc dù có thể nguyên đơn có thể đáp ứng gánh nặng trong một số tình huống sự kiện nhất định, nhưng nguyên đơn trong vụ án này đã không đưa ra được khiếu nại </w:t>
      </w:r>
      <w:r>
        <w:rPr>
          <w:b w:val="0"/>
          <w:i/>
        </w:rPr>
        <w:t>Caremark</w:t>
      </w:r>
      <w:r>
        <w:rPr>
          <w:b w:val="0"/>
          <w:i w:val="0"/>
        </w:rPr>
        <w:t xml:space="preserve"> đủ để miễn trừ yêu cầu dựa trên lý thuyết rằng các giám đốc đã không hoàn thành nghĩa vụ giám sát của mình bằng cách không giám sát rủi ro kinh doanh của công ty.</w:t>
      </w:r>
    </w:p>
    <w:p>
      <w:pPr>
        <w:spacing w:after="80"/>
      </w:pPr>
      <w:r>
        <w:rPr>
          <w:b w:val="0"/>
          <w:i w:val="0"/>
        </w:rPr>
        <w:t>Các cáo buộc trong Đơn kiện thực chất là một khiếu nại rằng Citigroup đã chịu tổn thất lớn và rằng có những dấu hiệu cảnh báo nhất định có thể hoặc lẽ ra phải đưa các bị đơn đến nhận thức về các rủi ro kinh doanh liên quan đến các khoản đầu tư của Citigroup vào tài sản dưới chuẩn. Sau đó, nguyên đơn kết luận rằng vì các bị đơn đã không ngăn chặn được tổn thất của Công ty liên quan đến một số rủi ro kinh doanh nhất định, nên họ hẳn đã coi nhẹ những dấu hiệu cảnh báo này một cách có ý thức hoặc đã biết mà không giám sát rủi ro của Công ty theo nghĩa vụ trung thành của mình.</w:t>
      </w:r>
    </w:p>
    <w:p>
      <w:pPr>
        <w:spacing w:after="80"/>
      </w:pPr>
      <w:r>
        <w:rPr>
          <w:b w:val="0"/>
          <w:i w:val="0"/>
        </w:rPr>
        <w:t>Nguyên đơn không phản đối rằng Citigroup đã có các quy trình và kiểm soát được thiết kế để giám sát rủi ro. Nguyên đơn thừa nhận rằng Citigroup đã thành lập Ủy ban ARM và vào năm 2004 đã sửa đổi điều lệ của Ủy ban ARM để bao gồm thực tế rằng một trong những mục đích của ủy ban ARM là hỗ trợ hội đồng quản trị hoàn thành trách nhiệm giám sát của mình liên quan đến các tiêu chuẩn chính sách và hướng dẫn đánh giá rủi ro và quản lý rủi ro. Ủy ban ARM cũng được giao nhiệm vụ, trong số những điều khác, (1) thảo luận với ban quản lý và kiểm toán viên độc lập về báo cáo tài chính đã được kiểm toán hàng năm, (2) xem xét với ban quản lý đánh giá về cấu trúc kiểm soát nội bộ của Citigroup, và (3) thảo luận với ban quản lý về các mức độ phơi nhiễm rủi ro tín dụng, thị trường, thanh khoản và hoạt động chính của Citigroup và các bước mà ban quản lý đã thực hiện để giám sát và kiểm soát những mức độ phơi nhiễm đó, bao gồm các chính sách đánh giá rủi ro và quản lý rủi ro của Citigroup.</w:t>
      </w:r>
    </w:p>
    <w:p>
      <w:pPr>
        <w:spacing w:after="80"/>
      </w:pPr>
      <w:r>
        <w:rPr>
          <w:b w:val="0"/>
          <w:i w:val="0"/>
        </w:rPr>
        <w:t>Tuy nhiên, nguyên đơn lập luận rằng các giám đốc bị đơn đã vi phạm nghĩa vụ giám sát của mình hoặc vì các cơ chế giám sát không đầy đủ hoặc vì các giám đốc bị đơn đã không nỗ lực thiện chí để tuân thủ các thủ tục giám sát đã được thiết lập. Để hỗ trợ cho khiếu nại này, Đơn kiện cáo buộc nhiều sự kiện mà nguyên đơn lập luận lẽ ra phải đưa các giám đốc bị đơn đến nhận thức về các vấn đề sắp xảy ra trong thị trường cho vay thế chấp dưới chuẩn và mức độ phơi nhiễm của Citigroup đối với thị trường đó. Nguyên đơn đã tóm tắt một số "cờ đỏ" này trong bản trả lời của mình như sau:</w:t>
      </w:r>
    </w:p>
    <w:p>
      <w:pPr>
        <w:spacing w:after="80"/>
        <w:ind w:left="360"/>
      </w:pPr>
      <w:r>
        <w:t xml:space="preserve">• </w:t>
      </w:r>
      <w:r>
        <w:rPr>
          <w:b w:val="0"/>
          <w:i w:val="0"/>
        </w:rPr>
        <w:t>Sự suy giảm đều đặn của thị trường nhà ở và tác động mà bong bóng sụp đổ sẽ gây ra đối với các khoản thế chấp và chứng khoán được bảo đảm bằng các khoản vay dưới chuẩn (subprime) kể từ đầu năm 2005;</w:t>
      </w:r>
    </w:p>
    <w:p>
      <w:pPr>
        <w:spacing w:after="80"/>
        <w:ind w:left="360"/>
      </w:pPr>
      <w:r>
        <w:t xml:space="preserve">• </w:t>
      </w:r>
      <w:r>
        <w:rPr>
          <w:b w:val="0"/>
          <w:i w:val="0"/>
        </w:rPr>
        <w:t>Hướng dẫn tháng 12 năm 2005 từ nhân viên FASB — “Nhân viên FASB nhận thức được các sản phẩm cho vay có những đặc điểm hợp đồng có thể làm tăng khả năng tổn thất của người khởi tạo, người nắm giữ, nhà đầu tư, người bảo lãnh hoặc đơn vị cung cấp dịch vụ trước rủi ro không thanh toán hoặc không thu hồi được.”;</w:t>
      </w:r>
    </w:p>
    <w:p>
      <w:pPr>
        <w:spacing w:after="80"/>
        <w:ind w:left="360"/>
      </w:pPr>
      <w:r>
        <w:t xml:space="preserve">• </w:t>
      </w:r>
      <w:r>
        <w:rPr>
          <w:b w:val="0"/>
          <w:i w:val="0"/>
        </w:rPr>
        <w:t>Sự gia tăng mạnh mẽ của tỷ lệ tịch thu nhà (foreclosure) bắt đầu từ năm 2006;</w:t>
      </w:r>
    </w:p>
    <w:p>
      <w:pPr>
        <w:spacing w:after="80"/>
        <w:ind w:left="360"/>
      </w:pPr>
      <w:r>
        <w:t xml:space="preserve">• </w:t>
      </w:r>
      <w:r>
        <w:rPr>
          <w:b w:val="0"/>
          <w:i w:val="0"/>
        </w:rPr>
        <w:t>Một số công ty cho vay dưới chuẩn lớn báo cáo thua lỗ đáng kể và nộp đơn xin phá sản bắt đầu từ năm 2006;</w:t>
      </w:r>
    </w:p>
    <w:p>
      <w:pPr>
        <w:spacing w:after="80"/>
        <w:ind w:left="360"/>
      </w:pPr>
      <w:r>
        <w:t xml:space="preserve">• </w:t>
      </w:r>
      <w:r>
        <w:rPr>
          <w:b w:val="0"/>
          <w:i w:val="0"/>
        </w:rPr>
        <w:t>Hàng tỷ đô-la thua lỗ được báo cáo bởi các đối thủ của Citigroup, chẳng hạn như Bear Stearns và Merrill Lynch.</w:t>
      </w:r>
    </w:p>
    <w:p>
      <w:pPr>
        <w:spacing w:after="80"/>
      </w:pPr>
      <w:r>
        <w:rPr>
          <w:b w:val="0"/>
          <w:i w:val="0"/>
        </w:rPr>
        <w:t>Nguyên đơn lập luận rằng yêu cầu bồi thường được miễn trừ vì phần lớn các giám đốc bị đơn phải đối mặt với khả năng cao phải chịu trách nhiệm cá nhân do họ được giao nhiệm vụ quản lý rủi ro của Citigroup với tư cách thành viên của Ủy ban ARM và với tư cách là chuyên gia tài chính của ủy ban kiểm toán, nhưng đã không giám sát và theo dõi đúng mức rủi ro đó. Tuy nhiên, như đã giải thích ở trên, để xác lập trách nhiệm giám sát của giám đốc, nguyên đơn cuối cùng sẽ phải chứng minh hành vi thiếu thiện chí (bad faith) của các giám đốc bị đơn. Nguyên đơn không đưa ra được bất kỳ cáo buộc thực tế cụ thể nào làm dấy lên nghi ngờ hợp lý rằng các giám đốc bị đơn đã hành động thiện chí.</w:t>
      </w:r>
    </w:p>
    <w:p>
      <w:pPr>
        <w:spacing w:after="80"/>
      </w:pPr>
      <w:r>
        <w:rPr>
          <w:b w:val="0"/>
          <w:i w:val="0"/>
        </w:rPr>
        <w:t>Những “dấu hiệu cảnh báo” (red flags) trong Đơn kiện thực chất chỉ là những phần của các tài liệu công khai phản ánh tình hình ngày càng xấu đi trên thị trường thế chấp dưới chuẩn và trong nền kinh tế nói chung. Nguyên đơn không đưa ra được “những sự kiện cụ thể cho thấy Hội đồng quản trị đã được trình bày những ‘dấu hiệu cảnh báo’ cảnh báo họ về hành vi sai trái tiềm tàng” tại Công ty. Việc các giám đốc bị đơn biết về những dấu hiệu suy thoái trên thị trường thế chấp dưới chuẩn, hoặc thậm chí những dấu hiệu cho thấy tình hình có thể xấu đi hơn nữa, không đủ để chứng minh rằng các giám đốc đã hoặc lẽ ra phải biết về bất kỳ hành vi sai trái nào tại Công ty hoặc đã cố ý phớt lờ nghĩa vụ nào đó để ngăn chặn Citigroup chịu thua lỗ. . . . Các cáo buộc của nguyên đơn thậm chí không nêu rõ cơ chế giám sát của hội đồng quản trị đã không đầy đủ như thế nào hoặc làm sao các giám đốc bị đơn biết về những thiếu sót đó và cố ý phớt lờ chúng. Thay vào đó, nguyên đơn dường như hy vọng Tòa án sẽ chấp nhận kết luận rằng vì Công ty chịu thua lỗ lớn, và vì một hệ thống quản lý rủi ro hoạt động đúng đắn lẽ ra đã tránh được những thua lỗ đó, nên các giám đốc hẳn đã vi phạm nghĩa vụ tín thác (fiduciary duties) của mình khi để xảy ra những thua lỗ đó.</w:t>
      </w:r>
    </w:p>
    <w:p>
      <w:pPr>
        <w:spacing w:after="80"/>
      </w:pPr>
      <w:r>
        <w:rPr>
          <w:b w:val="0"/>
          <w:i w:val="0"/>
        </w:rPr>
        <w:t xml:space="preserve">Nguyên đơn viện dẫn </w:t>
      </w:r>
      <w:r>
        <w:rPr>
          <w:b w:val="0"/>
          <w:i/>
        </w:rPr>
        <w:t>McCall v. Scott</w:t>
      </w:r>
      <w:r>
        <w:rPr>
          <w:b w:val="0"/>
          <w:i w:val="0"/>
        </w:rPr>
        <w:t xml:space="preserve"> để ủng hộ quan điểm rằng các giám đốc từng có mặt trong hội đồng quản trị trong thời gian xảy ra hành vi sai trái trước đây nên nhạy cảm với những tình huống tương tự đã từng dẫn đến các cuộc điều tra trước đó. Tuy nhiên, vụ án đó thực ra lại cho thấy cách nguyên đơn cố gắng áp đặt tiêu chuẩn cao hơn lên các giám đốc vì vụ bê bối Enron là không thỏa đáng. . . . Khác với các cáo buộc của nguyên đơn về Enron, “kinh nghiệm” trước đây được nhắc đến trong </w:t>
      </w:r>
      <w:r>
        <w:rPr>
          <w:b w:val="0"/>
          <w:i/>
        </w:rPr>
        <w:t>McCall</w:t>
      </w:r>
      <w:r>
        <w:rPr>
          <w:b w:val="0"/>
          <w:i w:val="0"/>
        </w:rPr>
        <w:t xml:space="preserve"> là một cuộc điều tra và dàn xếp cho </w:t>
      </w:r>
      <w:r>
        <w:rPr>
          <w:b w:val="0"/>
          <w:i/>
        </w:rPr>
        <w:t>cùng loại</w:t>
      </w:r>
      <w:r>
        <w:rPr>
          <w:b w:val="0"/>
          <w:i w:val="0"/>
        </w:rPr>
        <w:t xml:space="preserve"> hành vi lập hóa đơn đáng ngờ trước Tòa phúc thẩm Liên bang Khu vực Sáu (Sixth Circuit). Nguyên đơn không chứng minh được rằng việc dính líu đến các vụ bê bối liên quan đến Enron lẽ ra phải khiến các giám đốc bị đơn đặc biệt cảnh giác với các vấn đề trên thị trường thế chấp dưới chuẩn.</w:t>
      </w:r>
    </w:p>
    <w:p>
      <w:pPr>
        <w:spacing w:after="80"/>
      </w:pPr>
      <w:r>
        <w:rPr>
          <w:b w:val="0"/>
          <w:i w:val="0"/>
        </w:rPr>
        <w:t>Đơn kiện và bản biện hộ trả lời của nguyên đơn liên tục đưa ra cáo buộc mang tính kết luận rằng các bị đơn đã vi phạm nghĩa vụ giám sát của mình, nhưng không chỗ nào nguyên đơn giải thích thỏa đáng các giám đốc bị đơn thực sự đã làm gì hoặc đã không làm gì để cấu thành hành vi vi phạm như vậy.</w:t>
      </w:r>
    </w:p>
    <w:p>
      <w:pPr>
        <w:spacing w:after="80"/>
      </w:pPr>
      <w:r>
        <w:rPr>
          <w:b w:val="0"/>
          <w:i w:val="0"/>
        </w:rPr>
        <w:t>Một điều đã được khẳng định rõ ràng rằng việc một công ty chấp nhận rủi ro kinh doanh và chịu thua lỗ — thậm chí thua lỗ thảm khốc — tự nó không chứng minh hành vi sai trái, và nếu không có gì thêm, không phải là căn cứ để quy trách nhiệm cá nhân cho giám đốc. Việc có những dấu hiệu trên thị trường phản ánh tình hình xấu đi và cho thấy tình hình có thể xấu đi hơn nữa không phải là lời mời Tòa án này bỏ qua các giả định của quy tắc phán đoán kinh doanh (business judgment rule) và kết luận rằng các giám đốc phải chịu trách nhiệm vì họ đã không đánh giá đúng mức rủi ro kinh doanh.</w:t>
      </w:r>
    </w:p>
    <w:p>
      <w:pPr>
        <w:spacing w:after="80"/>
      </w:pPr>
      <w:r>
        <w:rPr>
          <w:b w:val="0"/>
          <w:i w:val="0"/>
        </w:rPr>
        <w:t xml:space="preserve">Phán quyết gần đây của Tòa án trong </w:t>
      </w:r>
      <w:r>
        <w:rPr>
          <w:b w:val="0"/>
          <w:i/>
        </w:rPr>
        <w:t>American International Group, Inc. Consolidated Derivative Litigation</w:t>
      </w:r>
      <w:r>
        <w:rPr>
          <w:b w:val="0"/>
          <w:i w:val="0"/>
        </w:rPr>
        <w:t xml:space="preserve"> cho thấy sự tương phản rõ rệt giữa các cáo buộc ở đây và những cáo buộc đủ để vượt qua đơn yêu cầu bác bỏ (motion to dismiss). Trong </w:t>
      </w:r>
      <w:r>
        <w:rPr>
          <w:b w:val="0"/>
          <w:i/>
        </w:rPr>
        <w:t>AIG</w:t>
      </w:r>
      <w:r>
        <w:rPr>
          <w:b w:val="0"/>
          <w:i w:val="0"/>
        </w:rPr>
        <w:t xml:space="preserve">, Tòa án xử lý đơn yêu cầu bác bỏ một đơn kiện bao gồm “những cáo buộc được lập luận chặt chẽ về gian lận tài chính lan rộng, đa dạng và quy mô lớn liên quan đến các nhà quản lý ở cấp cao nhất của AIG.” . . . Khác với các cáo buộc trong vụ án này, các bị đơn trong </w:t>
      </w:r>
      <w:r>
        <w:rPr>
          <w:b w:val="0"/>
          <w:i/>
        </w:rPr>
        <w:t>AIG</w:t>
      </w:r>
      <w:r>
        <w:rPr>
          <w:b w:val="0"/>
          <w:i w:val="0"/>
        </w:rPr>
        <w:t xml:space="preserve"> bị cáo buộc đã không thực hiện giám sát hợp lý đối với hành vi </w:t>
      </w:r>
      <w:r>
        <w:rPr>
          <w:b w:val="0"/>
          <w:i/>
        </w:rPr>
        <w:t>gian lận</w:t>
      </w:r>
      <w:r>
        <w:rPr>
          <w:b w:val="0"/>
          <w:i w:val="0"/>
        </w:rPr>
        <w:t xml:space="preserve"> và </w:t>
      </w:r>
      <w:r>
        <w:rPr>
          <w:b w:val="0"/>
          <w:i/>
        </w:rPr>
        <w:t>phạm tội</w:t>
      </w:r>
      <w:r>
        <w:rPr>
          <w:b w:val="0"/>
          <w:i w:val="0"/>
        </w:rPr>
        <w:t xml:space="preserve"> lan rộng. Thật vậy, Tòa án trong </w:t>
      </w:r>
      <w:r>
        <w:rPr>
          <w:b w:val="0"/>
          <w:i/>
        </w:rPr>
        <w:t>AIG</w:t>
      </w:r>
      <w:r>
        <w:rPr>
          <w:b w:val="0"/>
          <w:i w:val="0"/>
        </w:rPr>
        <w:t xml:space="preserve"> thậm chí còn tuyên bố rằng đơn kiện ở đó ủng hộ khẳng định rằng các quan chức cấp cao của AIG đang lãnh đạo một “tổ chức phạm tội” và rằng “[t]ính đa dạng, lan rộng và trọng yếu của hành vi sai trái tài chính bị cáo buộc tại AIG là phi thường.”</w:t>
      </w:r>
    </w:p>
    <w:p>
      <w:pPr>
        <w:spacing w:after="80"/>
      </w:pPr>
      <w:r>
        <w:rPr>
          <w:b w:val="0"/>
          <w:i w:val="0"/>
        </w:rPr>
        <w:t xml:space="preserve">Ở đây, nguyên đơn lập luận rằng Đơn kiện ủng hộ kết luận hợp lý rằng các giám đốc bị đơn đã hành động thiếu thiện chí khi không nhận ra những dấu hiệu cảnh báo về sự suy thoái trên thị trường thế chấp dưới chuẩn và không khiến Citigroup thay đổi chính sách đầu tư để hạn chế mức độ tiếp xúc với thị trường dưới chuẩn. Nghĩa vụ giám sát của giám đốc được thiết kế để đảm bảo tồn tại các hệ thống báo cáo và thông tin hợp lý cho phép giám đốc biết về và ngăn chặn hành vi sai trái có thể gây thua lỗ cho Công ty. Có những khác biệt đáng kể giữa việc không giám sát hành vi gian lận hoặc phạm tội của nhân viên và việc không nhận ra mức độ rủi ro kinh doanh của Công ty. Các giám đốc nên, thật vậy theo luật Delaware thì phải, đảm bảo tồn tại các hệ thống thông tin và báo cáo hợp lý để đưa ra cảnh báo cho họ về hành vi gian lận hoặc phạm tội trong công ty. Những chương trình giám sát như vậy cho phép giám đốc can thiệp và ngăn chặn gian lận hoặc hành vi sai trái khác có thể khiến công ty gặp rủi ro thua lỗ do hành vi đó. Mặc dù có thể hấp dẫn khi nói rằng giám đốc có cùng nghĩa vụ giám sát và theo dõi rủi ro kinh doanh, nhưng việc áp đặt lên giám đốc những nghĩa vụ kiểu </w:t>
      </w:r>
      <w:r>
        <w:rPr>
          <w:b w:val="0"/>
          <w:i/>
        </w:rPr>
        <w:t>Caremark</w:t>
      </w:r>
      <w:r>
        <w:rPr>
          <w:b w:val="0"/>
          <w:i w:val="0"/>
        </w:rPr>
        <w:t xml:space="preserve"> để theo dõi rủi ro kinh doanh là khác biệt về bản chất.</w:t>
      </w:r>
    </w:p>
    <w:p>
      <w:pPr>
        <w:spacing w:after="80"/>
      </w:pPr>
      <w:r>
        <w:rPr>
          <w:b w:val="0"/>
          <w:i w:val="0"/>
        </w:rPr>
        <w:t xml:space="preserve">Việc áp đặt trách nhiệm giám sát lên giám đốc vì không theo dõi rủi ro “quá mức” sẽ khiến tòa án phải tiến hành đánh giá nhìn lại (hindsight) đối với các quyết định nằm ở trung tâm phán đoán kinh doanh của giám đốc. Nghĩa vụ giám sát theo luật Delaware không được thiết kế để khiến giám đốc, kể cả giám đốc chuyên môn, phải chịu </w:t>
      </w:r>
      <w:r>
        <w:rPr>
          <w:b w:val="0"/>
          <w:i/>
        </w:rPr>
        <w:t>trách nhiệm cá nhân</w:t>
      </w:r>
      <w:r>
        <w:rPr>
          <w:b w:val="0"/>
          <w:i w:val="0"/>
        </w:rPr>
        <w:t xml:space="preserve"> vì không dự đoán được tương lai và không đánh giá đúng mức rủi ro kinh doanh.</w:t>
      </w:r>
    </w:p>
    <w:p>
      <w:pPr>
        <w:spacing w:after="80"/>
      </w:pPr>
      <w:r>
        <w:rPr>
          <w:b w:val="0"/>
          <w:i w:val="0"/>
        </w:rPr>
        <w:t>Thay vì đưa ra những sự kiện có thể chứng minh hành vi thiếu thiện chí của các giám đốc, bằng cách trình bày với Tòa án những cái gọi là “dấu hiệu cảnh báo”, nguyên đơn đang mời Tòa án tham gia vào đúng kiểu phán đoán lại mang tính tư pháp mà quy tắc phán đoán kinh doanh nghiêm cấm. Trong bất kỳ quyết định kinh doanh nào hóa ra tồi tệ, đều sẽ có những dấu hiệu mà người ta có thể chỉ ra và lập luận là bằng chứng cho thấy quyết định đó sai. Thật vậy, trong một vụ án với những thua lỗ kinh khủng như vậy, người ta dễ bị cám dỗ nghĩ rằng mình lẽ ra đã có thể đưa ra quyết định “đúng” nếu ở vào vị trí của các giám đốc. Tuy nhiên, sự cám dỗ này chính là một trong những lý do cho giả định chống lại việc các thẩm phán đánh giá khách quan các quyết định kinh doanh, một giả định không kém phần áp dụng khi thua lỗ của Công ty là lớn.</w:t>
      </w:r>
    </w:p>
    <w:p>
      <w:pPr>
        <w:spacing w:after="80"/>
      </w:pPr>
      <w:r>
        <w:rPr>
          <w:b w:val="0"/>
          <w:i w:val="0"/>
        </w:rPr>
        <w:t xml:space="preserve">Citigroup đã chịu những thua lỗ kinh khủng, một phần là do những vấn đề gần đây trong nền kinh tế Hoa Kỳ, đặc biệt là những vấn đề trên thị trường thế chấp dưới chuẩn. Có thể hiểu được rằng các nhà đầu tư, và những người khác, muốn tìm ai đó phải chịu trách nhiệm cho những thua lỗ này, và thường rất khó phân biệt giữa mong muốn đổ lỗi cho </w:t>
      </w:r>
      <w:r>
        <w:rPr>
          <w:b w:val="0"/>
          <w:i/>
        </w:rPr>
        <w:t>ai đó</w:t>
      </w:r>
      <w:r>
        <w:rPr>
          <w:b w:val="0"/>
          <w:i w:val="0"/>
        </w:rPr>
        <w:t xml:space="preserve"> và mong muốn buộc những người có trách nhiệm phải giải trình về hành vi sai trái của họ. May thay, luật pháp của chúng ta cung cấp hướng dẫn cho đúng những tình huống này dưới dạng các học thuyết điều chỉnh nghĩa vụ của các quan chức và giám đốc của các công ty Delaware. Luật này đã được tinh chỉnh qua hàng trăm năm, chắc chắn bao gồm nhiều cuộc khủng hoảng, và chúng ta không được để mong muốn đổ lỗi cho ai đó vì thua lỗ của mình khiến chúng ta đánh mất mục đích của luật pháp. Suy cho cùng, quyền tự quyết được trao cho giám đốc và nhà quản lý cho phép họ tối đa hóa giá trị cổ đông trong dài hạn bằng cách chấp nhận rủi ro mà không phải sợ hãi một cách tê liệt rằng họ sẽ phải chịu trách nhiệm cá nhân nếu công ty gặp thua lỗ. Tuy nhiên, học thuyết này cũng có nghĩa là khi công ty gặp thua lỗ, cổ đông có thể không buộc được các giám đốc phải chịu trách nhiệm cá nhân.</w:t>
      </w:r>
    </w:p>
    <w:p>
      <w:pPr>
        <w:pStyle w:val="Heading5"/>
      </w:pPr>
      <w:r>
        <w:rPr>
          <w:rFonts w:ascii="Calibri" w:hAnsi="Calibri"/>
          <w:b/>
          <w:i/>
          <w:sz w:val="22"/>
        </w:rPr>
        <w:t>Bình luận và Câu hỏi</w:t>
      </w:r>
    </w:p>
    <w:p>
      <w:pPr>
        <w:spacing w:after="80"/>
      </w:pPr>
      <w:r>
        <w:rPr>
          <w:b w:val="0"/>
          <w:i w:val="0"/>
        </w:rPr>
        <w:t xml:space="preserve">1. Làm thế nào mà Thẩm phán Chandler phân biệt các khiếu nại được trình bày trong vụ án này với các cáo buộc do các cổ đông nguyên đơn đưa ra trong </w:t>
      </w:r>
      <w:r>
        <w:rPr>
          <w:b w:val="0"/>
          <w:i/>
        </w:rPr>
        <w:t>Caremark</w:t>
      </w:r>
      <w:r>
        <w:rPr>
          <w:b w:val="0"/>
          <w:i w:val="0"/>
        </w:rPr>
        <w:t>? Hãy so sánh những phát biểu của Thẩm phán Chandler về nghĩa vụ giám sát của hội đồng quản trị Citigroup với mô tả của Thẩm phán Allen về nghĩa vụ giám sát mà các giám đốc của Caremark phải gánh vác. Bạn có nghĩ rằng Thẩm phán Chandler sẽ bác đơn khiếu nại của nguyên đơn trong vụ án này nếu các bị đơn là giám đốc của một công ty phi tài chính không? Các giám đốc của Citigroup có nên được giảm bớt trách nhiệm giám sát các rủi ro tài chính vì hoạt động kinh doanh của Citigroup, với tư cách là một tổ chức tài chính, tạo ra lợi nhuận bằng cách chấp nhận rủi ro không? Điều đó có hợp lý xét về mặt chính sách công không?</w:t>
      </w:r>
    </w:p>
    <w:p>
      <w:pPr>
        <w:spacing w:after="80"/>
      </w:pPr>
      <w:r>
        <w:rPr>
          <w:b w:val="0"/>
          <w:i w:val="0"/>
        </w:rPr>
        <w:t>2. Việc các giám đốc điều hành và nhân viên khác tại Citigroup (cũng như Bear Stearns, Lehman Brothers, AIG và các tổ chức tài chính khác) chấp nhận rủi ro quá mức đã khiến công chúng chú ý đến việc quản trị rủi ro doanh nghiệp. Sau hậu quả của cuộc khủng hoảng cho vay thế chấp dưới chuẩn, các tòa án Delaware đã xem xét mối liên hệ giữa nghĩa vụ giám sát của giám đốc và chức năng quản trị rủi ro của họ. Các cổ đông phàn nàn rằng các giám đốc đã không giám sát đầy đủ các cán bộ và nhân viên để đảm bảo rằng họ không đầu tư vốn của công ty vào các chứng khoán hoặc giao dịch quá rủi ro. Tuy nhiên, ý kiến của Thẩm phán Chandler dường như làm chệch hướng sự chú ý khỏi việc quản trị bên trong Citigroup, quy cho tổn thất của cổ đông là do sự sụt giảm của thị trường và các lực lượng kinh tế khác nằm ngoài tầm kiểm soát của hội đồng quản trị Citigroup. Ý kiến của ông có gợi ý rằng các giám đốc của Citigroup không có nghĩa vụ hành động, ngay cả khi đã có những dấu hiệu cảnh báo cho thấy ban lãnh đạo đã tham gia vào việc chấp nhận rủi ro quá mức không? Quyết định của Thẩm phán Chandler có mang lại cho các giám đốc động lực để tìm hiểu về hoạt động của các hệ thống quản trị rủi ro doanh nghiệp không? Tại sao có hoặc tại sao không?</w:t>
      </w:r>
    </w:p>
    <w:p>
      <w:pPr>
        <w:spacing w:after="80"/>
      </w:pPr>
      <w:r>
        <w:rPr>
          <w:b w:val="0"/>
          <w:i w:val="0"/>
        </w:rPr>
        <w:t xml:space="preserve">3. Trong khi thừa nhận rằng các hội đồng quản trị phải có thông tin hợp lý để giám sát các hành vi gian lận hoặc bất hợp pháp khác, tòa án mô tả việc giám sát rủi ro kinh doanh là “về cơ bản khác biệt”. Bạn có đồng ý không? Các khiếu nại theo </w:t>
      </w:r>
      <w:r>
        <w:rPr>
          <w:b w:val="0"/>
          <w:i/>
        </w:rPr>
        <w:t>Caremark</w:t>
      </w:r>
      <w:r>
        <w:rPr>
          <w:b w:val="0"/>
          <w:i w:val="0"/>
        </w:rPr>
        <w:t xml:space="preserve"> về việc thất bại trong giám sát dựa trên quản trị rủi ro kém có đặc biệt liên quan đến các nguyên tắc nền tảng của quy tắc phán đoán kinh doanh không, ngay cả khi các cổ đông nguyên đơn không thách thức một quyết định của hội đồng quản trị (và do đó, quy tắc phán đoán kinh doanh không được áp dụng)? Các tòa án có nên xem xét kỹ lưỡng hơn đối với các khiếu nại như vậy không? Tại sao có hoặc tại sao không?</w:t>
      </w:r>
    </w:p>
    <w:p>
      <w:pPr>
        <w:spacing w:after="80"/>
      </w:pPr>
      <w:r>
        <w:rPr>
          <w:b w:val="0"/>
          <w:i w:val="0"/>
        </w:rPr>
        <w:t xml:space="preserve">4. Giống như Thẩm phán Chandler trong </w:t>
      </w:r>
      <w:r>
        <w:rPr>
          <w:b w:val="0"/>
          <w:i/>
        </w:rPr>
        <w:t>Citigroup</w:t>
      </w:r>
      <w:r>
        <w:rPr>
          <w:b w:val="0"/>
          <w:i w:val="0"/>
        </w:rPr>
        <w:t>, các tòa án đã bác bỏ hầu hết các khiếu nại chống lại các giám đốc bên ngoài của các công ty tài chính với cáo buộc vi phạm nghĩa vụ giám sát. Trong nhiều vụ án này, nguyên đơn đã không trình bày được các sự kiện cụ thể chứng minh rằng các bị đơn là giám đốc đã biết hoặc lẽ ra phải biết về những dấu hiệu cảnh báo được cho là có thật, bao gồm các báo cáo nội bộ của công ty và các thông tin liên lạc mà các giám đốc bên ngoài có thể đã nhận được hoặc không. Các thẩm phán nói chung miễn cưỡng suy luận rằng thông tin mà ban lãnh đạo biết cũng đã đến được sự chú ý của hội đồng quản trị hoặc thậm chí của các ủy ban của hội đồng quản trị.</w:t>
      </w:r>
    </w:p>
    <w:p>
      <w:pPr>
        <w:spacing w:after="80"/>
      </w:pPr>
      <w:r>
        <w:rPr>
          <w:b w:val="0"/>
          <w:i w:val="0"/>
        </w:rPr>
        <w:t xml:space="preserve">Các cổ đông nguyên đơn đã kiện các giám đốc của Goldman Sachs Group đã sử dụng một chiến lược khác để trình bày khiếu nại theo </w:t>
      </w:r>
      <w:r>
        <w:rPr>
          <w:b w:val="0"/>
          <w:i/>
        </w:rPr>
        <w:t>Caremark</w:t>
      </w:r>
      <w:r>
        <w:rPr>
          <w:b w:val="0"/>
          <w:i w:val="0"/>
        </w:rPr>
        <w:t xml:space="preserve"> chống lại các giám đốc của Goldman. Trong vụ </w:t>
      </w:r>
      <w:r>
        <w:rPr>
          <w:b w:val="0"/>
          <w:i/>
        </w:rPr>
        <w:t>In re The Goldman Sachs Group, Inc. S'holder Litig.</w:t>
      </w:r>
      <w:r>
        <w:rPr>
          <w:b w:val="0"/>
          <w:i w:val="0"/>
        </w:rPr>
        <w:t xml:space="preserve">, các cổ đông cáo buộc rằng cơ cấu thù lao của công ty, được hội đồng quản trị phê duyệt, đã khuyến khích ban lãnh đạo chấp nhận rủi ro quá mức trên thị trường chứng khoán thế chấp dưới chuẩn—và cuối cùng là tham gia vào các hành vi phi đạo đức và bất hợp pháp—để tối đa hóa tiền thưởng hàng năm của họ. Tòa án đã bác bỏ các khiếu nại của nguyên đơn, nhắc lại rằng, trong trường hợp không có dấu hiệu cảnh báo, các thẩm phán sẽ không đánh giá lại quyết định của giám đốc. Viện dẫn </w:t>
      </w:r>
      <w:r>
        <w:rPr>
          <w:b w:val="0"/>
          <w:i/>
        </w:rPr>
        <w:t>Citigroup</w:t>
      </w:r>
      <w:r>
        <w:rPr>
          <w:b w:val="0"/>
          <w:i w:val="0"/>
        </w:rPr>
        <w:t>, tòa án cũng cho rằng việc hội đồng quản trị xác định mức độ rủi ro phù hợp liên quan đến phán đoán kinh doanh và được bảo vệ bởi quy tắc phán đoán kinh doanh. Phó Thẩm phán Glasscock còn phát biểu thêm: “Nếu tồn tại một nghĩa vụ có thể khởi kiện để giám sát rủi ro kinh doanh, thì nghĩa vụ đó không thể bao gồm bất kỳ đánh giá thực chất nào của tòa án về việc hội đồng quản trị xác định mức độ rủi ro phù hợp. Những quyết định như vậy rõ ràng liên quan đến phán đoán kinh doanh.”</w:t>
      </w:r>
    </w:p>
    <w:p>
      <w:pPr>
        <w:spacing w:after="80"/>
      </w:pPr>
      <w:r>
        <w:rPr>
          <w:b w:val="0"/>
          <w:i w:val="0"/>
        </w:rPr>
        <w:t>5. Bất chấp các quyết định của tòa án Delaware, nhiều nhà bình luận đã quy ít nhất một phần trách nhiệm cho cuộc khủng hoảng năm 2008 cho các giám đốc và cán bộ vì đã không bảo vệ các tổ chức tài chính khỏi việc chấp nhận rủi ro quá mức. Thật vậy, sau hậu quả của cuộc khủng hoảng, các nhà phê bình đã đổ lỗi cho việc giám sát quản trị rủi ro kém cỏi dẫn đến sự phá sản của Lehman Brothers và sự gần như sụp đổ của Citigroup và các tổ chức tài chính khác. Ví dụ, Ủy ban Điều tra Khủng hoảng Tài chính đã báo cáo với Quốc hội rằng: “Sự thất bại của Lehman một phần là do các vấn đề nghiêm trọng trong quản trị doanh nghiệp của nó, bao gồm quản trị rủi ro, trầm trọng thêm bởi thù lao cho các giám đốc điều hành và nhà giao dịch của nó dựa chủ yếu vào lợi nhuận ngắn hạn.” Các thỏa thuận thù lao dựa trên cổ phần có thể khiến các giám đốc điều hành và nhà giao dịch hành xử liều lĩnh như thế nào?</w:t>
      </w:r>
    </w:p>
    <w:p>
      <w:pPr>
        <w:spacing w:after="80"/>
      </w:pPr>
      <w:r>
        <w:rPr>
          <w:b w:val="0"/>
          <w:i w:val="0"/>
        </w:rPr>
        <w:t xml:space="preserve">Mặc dù các tòa án đã bác bỏ hầu hết các vụ kiện phái sinh nhằm buộc các hội đồng quản trị của các tổ chức tài chính phải chịu trách nhiệm về việc giám sát rủi ro lỏng lẻo, các giám đốc đã không thắng trong vụ </w:t>
      </w:r>
      <w:r>
        <w:rPr>
          <w:b w:val="0"/>
          <w:i/>
        </w:rPr>
        <w:t>American Int'l Group v. Greenberg</w:t>
      </w:r>
      <w:r>
        <w:rPr>
          <w:b w:val="0"/>
          <w:i w:val="0"/>
        </w:rPr>
        <w:t xml:space="preserve">, một quyết định mà Thẩm phán Chandler đã phân biệt. Trong vụ </w:t>
      </w:r>
      <w:r>
        <w:rPr>
          <w:b w:val="0"/>
          <w:i/>
        </w:rPr>
        <w:t>AIG</w:t>
      </w:r>
      <w:r>
        <w:rPr>
          <w:b w:val="0"/>
          <w:i w:val="0"/>
        </w:rPr>
        <w:t>, Phó Thẩm phán khi đó là Strine đã từ chối bác bỏ các khiếu nại chống lại cựu chủ tịch và CEO của AIG là Maurice Greenberg và một số giám đốc nội bộ (cái mà Greenberg gọi là “Vòng tròn Nội bộ”), phán quyết rằng: “Đơn khiếu nại ủng hộ một cách hợp lý khẳng định rằng Vòng tròn Nội bộ của AIG đã lãnh đạo một—và tôi sử dụng thuật ngữ này với nhận thức về sức mạnh của nó—tổ chức tội phạm. Tính đa dạng, mức độ lan rộng và tính trọng yếu của hành vi sai trái tài chính bị cáo buộc tại AIG là phi thường.” Mặc dù các cổ đông nguyên đơn không trình bày bằng chứng về việc các bị đơn biết trực tiếp về hành vi sai trái, tòa án vẫn suy luận ý chí phạm tội của họ, phán quyết rằng họ “đã biết mà vẫn dung túng cho các biện pháp kiểm soát không đầy đủ và biết mà vẫn không giám sát việc tuân thủ các nghĩa vụ pháp lý của cấp dưới.” Với tư cách là giám đốc và cán bộ cấp cao của AIG, các bị đơn không chỉ giữ những vị trí cao nhất trong công ty mà còn giám sát các bộ phận tham gia vào gian lận. Hơn nữa, hành vi sai trái bị cáo buộc lan rộng và nghiêm trọng đến mức tòa án thấy khó có thể xảy ra một số giao dịch bất hợp pháp mà họ không biết.</w:t>
      </w:r>
    </w:p>
    <w:p>
      <w:pPr>
        <w:spacing w:after="80"/>
      </w:pPr>
      <w:r>
        <w:rPr>
          <w:b w:val="0"/>
          <w:i w:val="0"/>
        </w:rPr>
        <w:t xml:space="preserve">7. Citigroup nằm trong nhóm các tổ chức tài chính lớn phải chịu tổn thất khổng lồ và trong một số trường hợp là thảm khốc. Sự sụp đổ của một tổ chức tài chính “quá lớn để sụp đổ” có thể gây ra sự thất bại của các công ty tài chính lớn khác, gây ra tổn thất thảm khốc cho cổ đông và, như chúng ta đã thấy vào năm 2008, đe dọa nền kinh tế Hoa Kỳ và toàn thế giới. Quy tắc phán đoán kinh doanh không chỉ bảo vệ các giám đốc khỏi trách nhiệm pháp lý đối với công ty và cổ đông của nó về các quyết định thiện chí tham gia vào các dự án kinh doanh rủi ro, mà các giám đốc còn không có bất kỳ nghĩa vụ nào phải xem xét việc thất bại của công ty mình có thể gây ra tác hại mang tính hệ thống cho các thành viên thị trường khác và nền kinh tế như thế nào. Vì các tổ chức tài chính đặt ra những rủi ro mang tính hệ thống độc đáo, liệu trách nhiệm giám sát của hội đồng quản trị có nên mở rộng ra ngoài những gì được yêu cầu để các giám đốc hoàn thành nghĩa vụ của họ theo </w:t>
      </w:r>
      <w:r>
        <w:rPr>
          <w:b w:val="0"/>
          <w:i/>
        </w:rPr>
        <w:t>Caremark</w:t>
      </w:r>
      <w:r>
        <w:rPr>
          <w:b w:val="0"/>
          <w:i w:val="0"/>
        </w:rPr>
        <w:t xml:space="preserve"> không? Để có một phân tích về câu hỏi này, xem Claire A. Hill &amp; Brett H. McDonnell, </w:t>
      </w:r>
      <w:r>
        <w:rPr>
          <w:b w:val="0"/>
          <w:i/>
        </w:rPr>
        <w:t>Reconsidering Board Oversight Duties After the Financial Crisis</w:t>
      </w:r>
      <w:r>
        <w:rPr>
          <w:b w:val="0"/>
          <w:i w:val="0"/>
        </w:rPr>
        <w:t>, 2013 U. Ill. L. Rev. 859 (đề xuất mở rộng nghĩa vụ giám sát của giám đốc để bao gồm rủi ro kinh doanh, nhưng không gợi ý rằng các giám đốc phải chịu trách nhiệm pháp lý vì vi phạm những nghĩa vụ đó). Liệu pháp luật có nên yêu cầu rằng, khi đánh giá các dự án kinh doanh, các giám đốc của các tập đoàn quan trọng mang tính hệ thống (như các tổ chức tài chính “quá lớn để sụp đổ”) không chỉ xem xét rủi ro đối với công ty và cổ đông của nó mà còn cả rủi ro đối với các công ty và thị trường khác không? Giáo sư Steven Schwarcz đã đề xuất rằng các giám đốc có “nghĩa vụ quản trị công” là không được chấp nhận rủi ro quá mức có thể gây hại mang tính hệ thống cho công chúng. Làm thế nào có thể thực thi một nghĩa vụ như vậy?</w:t>
      </w:r>
    </w:p>
    <w:p>
      <w:pPr>
        <w:spacing w:after="80"/>
      </w:pPr>
      <w:r>
        <w:rPr>
          <w:b w:val="0"/>
          <w:i w:val="0"/>
        </w:rPr>
        <w:t>8. Mục 165 của Đạo luật Dodd-Frank yêu cầu rằng hội đồng quản trị của một số công ty mẹ ngân hàng niêm yết công khai nhất định (những công ty có ít nhất 10 tỷ đô la tài sản) và các công ty tài chính phi ngân hàng niêm yết công khai (những công ty được Cục Dự trữ Liên bang giám sát) phải thành lập các ủy ban rủi ro độc lập, ở cấp hội đồng quản trị. Theo quy định của luật, các ủy ban rủi ro phải giám sát các thực tiễn quản trị rủi ro trên toàn doanh nghiệp và, trong số những điều khác, phải bao gồm ít nhất một chuyên gia quản trị rủi ro có kinh nghiệm xác định, đánh giá và quản lý các rủi ro của các công ty lớn, phức tạp. Những yêu cầu này có nhất quán với quan điểm của Thẩm phán Chandler về vai trò của hội đồng quản trị Citigroup không?</w:t>
      </w:r>
    </w:p>
    <w:p>
      <w:pPr>
        <w:spacing w:after="80"/>
      </w:pPr>
      <w:r>
        <w:rPr>
          <w:b w:val="0"/>
          <w:i w:val="0"/>
        </w:rPr>
        <w:t>9. Cho dù việc giám sát của hội đồng quản trị hiệu quả hơn có thể ngăn chặn hoặc ít nhất giảm thiểu tác động của cuộc khủng hoảng tín dụng đối với các công ty này hay không, vai trò của các giám đốc trong quản trị rủi ro trên toàn doanh nghiệp cũng đã được các cổ đông tổ chức xem xét, và các giám đốc doanh nghiệp đã nghe thấy lời kêu gọi tăng cường giám sát rủi ro của họ. Hội đồng quản trị của các tập đoàn trong lĩnh vực tài chính cũng như các tập đoàn trong các ngành khác hiện đang hướng sự chú ý nhiều hơn đến quản trị rủi ro. Các tập đoàn đã sửa đổi thực tiễn hội đồng quản trị của họ và áp dụng các cơ chế có hệ thống mới để đánh giá và cải thiện quản trị rủi ro, với mục tiêu mở rộng sự giám sát của các giám đốc đối với các rủi ro trên toàn doanh nghiệp.</w:t>
      </w:r>
    </w:p>
    <w:p>
      <w:pPr>
        <w:spacing w:after="80"/>
      </w:pPr>
      <w:r>
        <w:rPr>
          <w:b w:val="0"/>
          <w:i w:val="0"/>
        </w:rPr>
        <w:t xml:space="preserve">Các cuộc khảo sát đối với các giám đốc công ty đại chúng cho thấy phần lớn các hội đồng quản trị giao trách nhiệm chính về giám sát rủi ro cho các ủy ban kiểm toán của họ—phù hợp với các quy tắc niêm yết yêu cầu các ủy ban kiểm toán thảo luận về các chính sách đánh giá rủi ro và quản trị rủi ro—hoặc một ủy ban rủi ro chuyên trách. Tuy nhiên, toàn bộ hội đồng quản trị vẫn thực hiện một số giám sát trực tiếp và tích cực đối với một số rủi ro đã được xác định và đối với các rủi ro nói chung liên quan đến định hướng chiến lược và kế hoạch kinh doanh của công ty. Các cố vấn doanh nghiệp khuyên toàn bộ hội đồng quản trị nên tiến hành đánh giá hàng năm về hệ thống quản trị rủi ro của công ty, bao gồm các chính sách và thủ tục giám sát rủi ro được hội đồng quản trị và các ủy ban của nó thông qua. Hội đồng quản trị cũng nhận được các buổi thông tin định kỳ, bao gồm từ các chuyên gia chủ đề bên ngoài, liên quan đến việc giám sát của hội đồng quản trị đối với các kỳ vọng về văn hóa rủi ro và tầm quan trọng của “giọng điệu từ trên xuống”. Để thảo luận về vai trò của hội đồng quản trị trong quản trị rủi ro doanh nghiệp, xem Michelle M. Harner, </w:t>
      </w:r>
      <w:r>
        <w:rPr>
          <w:b w:val="0"/>
          <w:i/>
        </w:rPr>
        <w:t>Ignoring the Writing on the Wall: The Role of Risk Management in the Economic Crisis</w:t>
      </w:r>
      <w:r>
        <w:rPr>
          <w:b w:val="0"/>
          <w:i w:val="0"/>
        </w:rPr>
        <w:t>, 5 J. Bus. &amp; Tech. L. 45 (2010).</w:t>
      </w:r>
    </w:p>
    <w:p>
      <w:pPr>
        <w:spacing w:after="80"/>
      </w:pPr>
      <w:r>
        <w:rPr>
          <w:b w:val="0"/>
          <w:i w:val="0"/>
        </w:rPr>
        <w:t>10. Trong vài năm qua, các giám đốc và cán bộ của các công ty đại chúng đã phải vật lộn với một rủi ro kinh doanh lớn khác: nguy cơ bị tấn công mạng. Các tập đoàn không chỉ phải ứng phó với các mối đe dọa bên ngoài từ tin tặc, kẻ trộm, đối thủ cạnh tranh và cựu nhân viên, mà còn phải bảo vệ công ty khỏi các mối đe dọa bên trong từ nhân viên hiện tại, những người có thể cố ý lạm dụng hoặc vô tình làm mất thông tin độc quyền hoặc nhạy cảm về mặt thương mại. Sự phát triển của điện toán đám mây, sự phổ biến của công nghệ di động và sự bùng nổ của mạng xã hội, cùng những phát triển khác, đã làm trầm trọng thêm nguy cơ an ninh mạng. Tổn thất đối với các tập đoàn từ các vi phạm an ninh mạng bao gồm gián đoạn kinh doanh và thiệt hại danh tiếng, chi phí pháp lý và điều tra kỹ thuật số, thiệt hại đối với công nghệ thông tin và cơ sở hạ tầng liên quan của công ty, chi phí giảm thiểu và khôi phục dữ liệu, và các vụ kiện tập thể và kiện tụng khác do khách hàng, nhà cung cấp và nhân viên bị ảnh hưởng bởi vi phạm dữ liệu hoặc đánh cắp danh tính đệ trình.</w:t>
      </w:r>
    </w:p>
    <w:p>
      <w:pPr>
        <w:spacing w:after="80"/>
      </w:pPr>
      <w:r>
        <w:rPr>
          <w:b w:val="0"/>
          <w:i w:val="0"/>
        </w:rPr>
        <w:t>Vào tháng 6 năm 2014, Ủy viên SEC Luis Aguilar đã nói với khán giả tại NYSE rằng “đảm bảo tính đầy đủ của các biện pháp an ninh mạng của công ty cần phải là một phần trong trách nhiệm giám sát rủi ro của hội đồng quản trị.” Trong chừng mực các cuộc tấn công mạng đã trở thành một rủi ro đã biết đối với các công ty đại chúng, các giám đốc được cố vấn tốt hiện đang giám sát an ninh mạng gắn liền với việc giám sát cơ cấu quản trị rủi ro doanh nghiệp của công ty. Ủy viên Aguilar cảnh báo: “Các hội đồng quản trị chọn bỏ qua, hoặc xem nhẹ, tầm quan trọng của trách nhiệm giám sát an ninh mạng, làm như vậy là tự chuốc lấy nguy hiểm cho chính mình.”</w:t>
      </w:r>
    </w:p>
    <w:p>
      <w:pPr>
        <w:spacing w:after="80"/>
      </w:pPr>
      <w:r>
        <w:rPr>
          <w:b w:val="0"/>
          <w:i w:val="0"/>
        </w:rPr>
        <w:t>Thật vậy, các giám đốc và cán bộ đã phải đối mặt với các vụ kiện phái sinh do cổ đông đệ trình nhằm buộc họ phải chịu trách nhiệm về thiệt hại gây ra cho công ty. Cuộc tấn công mạng gây chú ý trên truyền thông nhắm vào Target Corporation trong mùa lễ năm 2013 là một ví dụ thú vị. Những kẻ trộm đã đánh cắp ước tính 70 triệu hồ sơ chứa dữ liệu cá nhân và tài chính của khách hàng. Chỉ vài tuần sau “vụ vi phạm dữ liệu tồi tệ nhất trong lịch sử bán lẻ”, các cổ đông đã đệ trình ít nhất hai vụ kiện phái sinh chống lại các giám đốc và cán bộ của Target, yêu cầu bồi thường thiệt hại bằng tiền và biện pháp khẩn cấp mang tính cải cách quản trị doanh nghiệp đáng kể. Các đơn khiếu nại cáo buộc rằng các bị đơn đã vi phạm nghĩa vụ cẩn trọng của họ vì đã không thực hiện các bước hợp lý để duy trì thông tin cá nhân và tài chính của khách hàng và không triển khai các biện pháp kiểm soát nội bộ được thiết kế để phát hiện và ngăn chặn vi phạm dữ liệu. Ngoài ra, các cổ đông nguyên đơn tìm cách buộc các bị đơn phải chịu trách nhiệm về thiệt hại phát sinh từ phản ứng bị cáo buộc là gian lận của công ty đối với vi phạm dữ liệu, cho rằng các giám đốc và cán bộ của Target đã hành động với ý đồ xấu và vi phạm nghĩa vụ trung thành bằng cách không thông báo đầy đủ cho khách hàng về vi phạm dữ liệu và bằng cách công bố thông tin không đầy đủ và gây hiểu lầm cho khách hàng. Bạn mong đợi các bị đơn trong vụ Target sẽ đưa ra những biện pháp bào chữa nào để đáp lại các khiếu nại vi phạm nghĩa vụ tín thác của cổ đông? Những khiếu nại nào, nếu có, mà bạn mong đợi sẽ vượt qua các kiến nghị bác bỏ đơn của các bị đơn?</w:t>
      </w:r>
    </w:p>
    <w:p>
      <w:pPr>
        <w:pStyle w:val="Heading2"/>
      </w:pPr>
      <w:r>
        <w:rPr>
          <w:rFonts w:ascii="Calibri" w:hAnsi="Calibri"/>
          <w:b/>
          <w:i w:val="0"/>
          <w:sz w:val="32"/>
        </w:rPr>
        <w:t>VI. Nghĩa vụ Công bố Thông tin</w:t>
      </w:r>
    </w:p>
    <w:p>
      <w:pPr>
        <w:spacing w:after="80"/>
      </w:pPr>
      <w:r>
        <w:rPr>
          <w:b w:val="0"/>
          <w:i w:val="0"/>
        </w:rPr>
        <w:t xml:space="preserve">Các giám đốc và cán bộ doanh nghiệp có nghĩa vụ công bố thông tin khẳng định phát sinh theo các đạo luật chứng khoán liên bang, những nghĩa vụ mà chúng ta sẽ xem xét chi tiết trong Chương 9. Phần lớn, các luật và quy định liên bang phức tạp này thiết lập phạm vi và nội dung của các nghĩa vụ công bố thông tin của các công ty đại chúng. Tuy nhiên, các tòa án Delaware cũng đã công nhận nghĩa vụ công bố thông tin tín thác mà các giám đốc và cán bộ doanh nghiệp phải gánh vác theo luật tiểu bang. Nhớ lại rằng trong </w:t>
      </w:r>
      <w:r>
        <w:rPr>
          <w:b w:val="0"/>
          <w:i/>
        </w:rPr>
        <w:t>Smith v. Van Gorkom</w:t>
      </w:r>
      <w:r>
        <w:rPr>
          <w:b w:val="0"/>
          <w:i w:val="0"/>
        </w:rPr>
        <w:t>, đa số cho rằng các giám đốc đã vi phạm nghĩa vụ công bố cho cổ đông của Trans Union “tất cả thông tin trọng yếu mà một cổ đông hợp lý sẽ coi là quan trọng” khi quyết định có nên phê duyệt đề xuất sáp nhập hay không. Các tòa án Delaware lần đầu tiên công nhận nghĩa vụ công bố thông tin của giám đốc liên quan đến một yêu cầu hành động của cổ đông. Tuy nhiên, ngay cả khi không có yêu cầu hành động của cổ đông, các giám đốc vẫn có nghĩa vụ công bố thông tin theo luật tiểu bang, như Tòa án Tối cao Delaware đã khẳng định trong vụ án sau đây.</w:t>
      </w:r>
    </w:p>
    <w:p>
      <w:pPr>
        <w:pStyle w:val="Heading4"/>
      </w:pPr>
      <w:r>
        <w:rPr>
          <w:rFonts w:ascii="Calibri" w:hAnsi="Calibri"/>
          <w:b/>
          <w:i w:val="0"/>
          <w:sz w:val="23"/>
        </w:rPr>
        <w:t>Malone v. Brincat</w:t>
      </w:r>
    </w:p>
    <w:p>
      <w:pPr>
        <w:spacing w:after="80"/>
      </w:pPr>
      <w:r>
        <w:rPr>
          <w:b w:val="0"/>
          <w:i w:val="0"/>
        </w:rPr>
        <w:t>Tòa án Tối cao Delaware</w:t>
      </w:r>
      <w:r>
        <w:br/>
      </w:r>
      <w:r>
        <w:rPr>
          <w:b w:val="0"/>
          <w:i w:val="0"/>
        </w:rPr>
        <w:t xml:space="preserve"> 722 A.2d 5 (1998)</w:t>
      </w:r>
    </w:p>
    <w:p>
      <w:pPr>
        <w:spacing w:after="80"/>
      </w:pPr>
      <w:r>
        <w:rPr>
          <w:b w:val="0"/>
          <w:i w:val="0"/>
        </w:rPr>
        <w:t>HOLLAND, THẨM PHÁN:</w:t>
      </w:r>
    </w:p>
    <w:p>
      <w:pPr>
        <w:spacing w:after="80"/>
      </w:pPr>
      <w:r>
        <w:rPr>
          <w:b w:val="0"/>
          <w:i w:val="0"/>
        </w:rPr>
        <w:t>Đơn kiện cáo buộc rằng các bị đơn là giám đốc đã cố ý phóng đại tình hình tài chính của Mercury trong nhiều lần liên tiếp suốt một giai đoạn bốn năm trong các công bố thông tin cho cổ đông của Mercury. Nguyên đơn cho rằng đơn kiện nêu ra một khiếu nại đủ điều kiện để được xem xét bồi thường vì vi phạm nghĩa vụ tín thác về công bố thông tin.</w:t>
      </w:r>
    </w:p>
    <w:p>
      <w:pPr>
        <w:spacing w:after="80"/>
      </w:pPr>
      <w:r>
        <w:rPr>
          <w:b w:val="0"/>
          <w:i w:val="0"/>
        </w:rPr>
        <w:t>Đơn kiện cáo buộc rằng các giám đốc “đã biết rõ và cố ý vi phạm nghĩa vụ tín thác về công bố thông tin của họ bởi vì các hồ sơ nộp cho SEC do các giám đốc thực hiện và mọi thông tin liên lạc từ công ty gửi đến cổ đông kể từ năm 1994 đều sai lệch một cách trọng yếu” và rằng “do hậu quả trực tiếp của những công bố thông tin sai lệch đó… Công ty đã mất toàn bộ hoặc gần như toàn bộ giá trị của mình (khoảng 2 tỷ đô la).”</w:t>
      </w:r>
    </w:p>
    <w:p>
      <w:pPr>
        <w:spacing w:after="80"/>
      </w:pPr>
      <w:r>
        <w:rPr>
          <w:b w:val="0"/>
          <w:i w:val="0"/>
        </w:rPr>
        <w:t>Theo nguyên đơn, kể từ năm 1994, các bị đơn là giám đốc đã khiến Mercury phát tán thông tin chứa đựng những số liệu phóng đại về lợi nhuận, kết quả tài chính và vốn chủ sở hữu của cổ đông Mercury… Đơn kiện cáo buộc rằng tất cả những thông tin không chính xác nêu trên đều được đưa vào hoặc được dẫn chiếu trong gần như mọi hồ sơ mà Mercury nộp cho SEC và mọi thông tin liên lạc mà các giám đốc của Mercury gửi đến cổ đông trong suốt giai đoạn này.</w:t>
      </w:r>
    </w:p>
    <w:p>
      <w:pPr>
        <w:spacing w:after="80"/>
      </w:pPr>
      <w:r>
        <w:rPr>
          <w:b w:val="0"/>
          <w:i w:val="0"/>
        </w:rPr>
        <w:t>Các bị đơn là giám đốc cá nhân đã nộp đơn yêu cầu bác bỏ vụ kiện, với lập luận rằng họ không có nghĩa vụ tín thác về công bố thông tin trong các tình huống được nêu trong đơn kiện.</w:t>
      </w:r>
    </w:p>
    <w:p>
      <w:pPr>
        <w:spacing w:after="80"/>
      </w:pPr>
      <w:r>
        <w:rPr>
          <w:b w:val="0"/>
          <w:i w:val="0"/>
        </w:rPr>
        <w:t>Sau khi có bản lập luận và tranh tụng, Tòa án Chancery đã chấp thuận cả hai đơn yêu cầu bác bỏ vụ kiện với phán quyết có hiệu lực chung thẩm. Tòa án Chancery phán quyết rằng các giám đốc không có nghĩa vụ tín thác về công bố thông tin theo luật Delaware khi không có yêu cầu về hành động của cổ đông.</w:t>
      </w:r>
    </w:p>
    <w:p>
      <w:pPr>
        <w:spacing w:after="80"/>
      </w:pPr>
      <w:r>
        <w:rPr>
          <w:b w:val="0"/>
          <w:i w:val="0"/>
        </w:rPr>
        <w:t>Chúng tôi không đồng ý, và mặc dù chúng tôi cho rằng Đơn kiện như được soạn thảo lẽ ra phải bị bác bỏ, nhưng lý lẽ của chúng tôi lại khác.</w:t>
      </w:r>
    </w:p>
    <w:p>
      <w:pPr>
        <w:spacing w:after="80"/>
      </w:pPr>
      <w:r>
        <w:rPr>
          <w:b w:val="0"/>
          <w:i w:val="0"/>
        </w:rPr>
        <w:t xml:space="preserve">Tòa án này đã phán quyết rằng hội đồng quản trị có nghĩa vụ tín thác phải công bố thông tin trọng yếu khi tìm kiếm hành động của cổ đông: Đã được xác lập vững chắc rằng nghĩa vụ công bố thông tin “không gì khác hơn là mệnh đề đã được thừa nhận rộng rãi rằng các giám đốc của các công ty Delaware có nghĩa vụ tín thác phải công bố đầy đủ và công bằng mọi thông tin trọng yếu nằm trong tầm kiểm soát của hội đồng quản trị </w:t>
      </w:r>
      <w:r>
        <w:rPr>
          <w:b w:val="0"/>
          <w:i/>
        </w:rPr>
        <w:t>khi hội đồng tìm kiếm hành động của cổ đông.</w:t>
      </w:r>
      <w:r>
        <w:rPr>
          <w:b w:val="0"/>
          <w:i w:val="0"/>
        </w:rPr>
        <w:t>”</w:t>
      </w:r>
    </w:p>
    <w:p>
      <w:pPr>
        <w:spacing w:after="80"/>
      </w:pPr>
      <w:r>
        <w:rPr>
          <w:b w:val="0"/>
          <w:i w:val="0"/>
        </w:rPr>
        <w:t>Phần lớn các phán quyết của Tòa án Chancery đã phán quyết rằng chỉ có thể có cơ sở khởi kiện về vi phạm công bố thông tin khi các giám đốc tìm kiếm hành động của cổ đông. Kháng cáo hiện tại đòi hỏi Tòa án này phải quyết định liệu nghĩa vụ tín thác của giám đốc phát sinh từ việc công bố thông tin sai lệch có được đặt ra khi không có yêu cầu về hành động của cổ đông hay không. Chúng tôi phán quyết rằng các giám đốc biết rõ mà vẫn phát tán thông tin sai lệch gây ra tổn hại cho công ty hoặc thiệt hại cho một cổ đông cá nhân là vi phạm nghĩa vụ tín thác của họ, và có thể bị buộc trách nhiệm theo cách thức phù hợp với hoàn cảnh.</w:t>
      </w:r>
    </w:p>
    <w:p>
      <w:pPr>
        <w:spacing w:after="80"/>
      </w:pPr>
      <w:r>
        <w:rPr>
          <w:b w:val="0"/>
          <w:i w:val="0"/>
        </w:rPr>
        <w:t>Nghĩa vụ Tín thác của Giám đốc Công ty Delaware</w:t>
      </w:r>
    </w:p>
    <w:p>
      <w:pPr>
        <w:spacing w:after="80"/>
      </w:pPr>
      <w:r>
        <w:rPr>
          <w:b w:val="0"/>
          <w:i w:val="0"/>
        </w:rPr>
        <w:t>Một tiền đề nền tảng cho việc áp đặt nghĩa vụ tín thác là sự tách biệt giữa quyền kiểm soát pháp lý và quyền sở hữu hưởng lợi. Các nguyên tắc công bằng can thiệp trong những tình huống đó để bảo vệ những người thụ hưởng không ở vị thế có thể tự bảo vệ mình.</w:t>
      </w:r>
    </w:p>
    <w:p>
      <w:pPr>
        <w:spacing w:after="80"/>
      </w:pPr>
      <w:r>
        <w:rPr>
          <w:b w:val="0"/>
          <w:i w:val="0"/>
        </w:rPr>
        <w:t>Các giám đốc của các công ty Delaware đứng trong mối quan hệ tín thác không chỉ với cổ đông mà còn với chính công ty mà họ phục vụ trong hội đồng quản trị. Nghĩa vụ tín thác của giám đốc đối với cả công ty lẫn cổ đông của công ty đã được Tòa án này mô tả như một bộ ba: sự cẩn trọng, thiện chí và lòng trung thành. Nghĩa vụ tín thác ba phần đó không hoạt động ngắt quãng mà là chiếc la bàn thường trực định hướng mọi hành động của giám đốc đối với công ty và mọi tương tác với cổ đông của công ty.</w:t>
      </w:r>
    </w:p>
    <w:p>
      <w:pPr>
        <w:spacing w:after="80"/>
      </w:pPr>
      <w:r>
        <w:rPr>
          <w:b w:val="0"/>
          <w:i w:val="0"/>
        </w:rPr>
        <w:t>Mặc dù nghĩa vụ tín thác của một giám đốc Delaware là không ngừng nghỉ, nhưng con đường hành xử chính xác cần được vạch ra để thực hiện đúng đắn trách nhiệm đó sẽ thay đổi tùy theo bối cảnh cụ thể của hành động mà giám đốc đang thực hiện đối với công ty hoặc cổ đông của công ty.</w:t>
      </w:r>
    </w:p>
    <w:p>
      <w:pPr>
        <w:spacing w:after="80"/>
      </w:pPr>
      <w:r>
        <w:rPr>
          <w:b w:val="0"/>
          <w:i w:val="0"/>
        </w:rPr>
        <w:t>Truyền thông của Giám đốc và Sự Tin cậy Chính đáng của Cổ đông</w:t>
      </w:r>
    </w:p>
    <w:p>
      <w:pPr>
        <w:spacing w:after="80"/>
      </w:pPr>
      <w:r>
        <w:rPr>
          <w:b w:val="0"/>
          <w:i w:val="0"/>
        </w:rPr>
        <w:t xml:space="preserve">Các cổ đông của một công ty Delaware được quyền tin tưởng vào các giám đốc do mình bầu ra để họ thực hiện nghĩa vụ tín thác (fiduciary duty) của mình vào mọi lúc. Bất cứ khi nào các giám đốc giao tiếp công khai hoặc trực tiếp với cổ đông về các vấn đề của công ty, dù có hay không có yêu cầu cổ đông hành động, các giám đốc đều có nghĩa vụ tín thác đối với cổ đông là phải thực hiện sự cẩn trọng thích đáng, thiện chí và trung thành. Do đó, </w:t>
      </w:r>
      <w:r>
        <w:rPr>
          <w:b w:val="0"/>
          <w:i/>
        </w:rPr>
        <w:t>a fortiori</w:t>
      </w:r>
      <w:r>
        <w:rPr>
          <w:b w:val="0"/>
          <w:i w:val="0"/>
        </w:rPr>
        <w:t xml:space="preserve"> (đương nhiên hơn nữa), khi các giám đốc giao tiếp công khai hoặc trực tiếp với cổ đông về các vấn đề của công ty thì </w:t>
      </w:r>
      <w:r>
        <w:rPr>
          <w:b w:val="0"/>
          <w:i/>
        </w:rPr>
        <w:t>sine qua non</w:t>
      </w:r>
      <w:r>
        <w:rPr>
          <w:b w:val="0"/>
          <w:i w:val="0"/>
        </w:rPr>
        <w:t xml:space="preserve"> (điều kiện tiên quyết không thể thiếu) của nghĩa vụ tín thác của giám đốc đối với cổ đông chính là sự trung thực.</w:t>
      </w:r>
    </w:p>
    <w:p>
      <w:pPr>
        <w:spacing w:after="80"/>
      </w:pPr>
      <w:r>
        <w:rPr>
          <w:b w:val="0"/>
          <w:i w:val="0"/>
        </w:rPr>
        <w:t>Nghĩa vụ công bố thông tin (duty of disclosure) là, và luôn luôn là, một ứng dụng cụ thể của nghĩa vụ tín thác chung mà các giám đốc phải gánh vác. Nghĩa vụ công bố thông tin buộc các giám đốc phải cung cấp cho cổ đông những thông tin chính xác và đầy đủ, có tính trọng yếu đối với một giao dịch hoặc một sự kiện công ty khác đang được trình ra để họ hành động.</w:t>
      </w:r>
    </w:p>
    <w:p>
      <w:pPr>
        <w:spacing w:after="80"/>
      </w:pPr>
      <w:r>
        <w:rPr>
          <w:b w:val="0"/>
          <w:i w:val="0"/>
        </w:rPr>
        <w:t>Vấn đề trong vụ án này không phải là liệu các giám đốc của Mercury có vi phạm nghĩa vụ công bố thông tin của họ hay không. Mà là liệu họ có vi phạm nghĩa vụ tín thác tổng quát hơn của mình về lòng trung thành và thiện chí hay không, bằng cách cố ý phát tán cho cổ đông những thông tin sai lệch về tình hình tài chính của công ty. Nghĩa vụ tín thác của giám đốc bao gồm nghĩa vụ đối xử trung thực với cổ đông của mình.</w:t>
      </w:r>
    </w:p>
    <w:p>
      <w:pPr>
        <w:spacing w:after="80"/>
      </w:pPr>
      <w:r>
        <w:rPr>
          <w:b w:val="0"/>
          <w:i w:val="0"/>
        </w:rPr>
        <w:t>Cổ đông được quyền tin tưởng vào tính xác thực của mọi thông tin được phát tán cho họ bởi các giám đốc mà họ bầu ra để điều hành doanh nghiệp. Các giám đốc Delaware phát tán thông tin trong ít nhất ba bối cảnh: các tuyên bố công khai đưa ra với thị trường, bao gồm cả cổ đông; các tuyên bố thông báo cho cổ đông về các vấn đề của công ty mà không có yêu cầu cổ đông hành động; và các tuyên bố gửi đến cổ đông kèm theo một yêu cầu cổ đông hành động.</w:t>
      </w:r>
    </w:p>
    <w:p>
      <w:pPr>
        <w:spacing w:after="80"/>
      </w:pPr>
      <w:r>
        <w:rPr>
          <w:b w:val="0"/>
          <w:i w:val="0"/>
        </w:rPr>
        <w:t>Nghĩa vụ công bố thông tin tín thác của bang</w:t>
      </w:r>
      <w:r>
        <w:br/>
      </w:r>
      <w:r>
        <w:rPr>
          <w:b w:val="0"/>
          <w:i w:val="0"/>
        </w:rPr>
        <w:t xml:space="preserve"> Biện pháp khắc phục cho cổ đông Trong bối cảnh có yêu cầu hành động</w:t>
      </w:r>
    </w:p>
    <w:p>
      <w:pPr>
        <w:spacing w:after="80"/>
      </w:pPr>
      <w:r>
        <w:rPr>
          <w:b w:val="0"/>
          <w:i w:val="0"/>
        </w:rPr>
        <w:t>Khi không có yêu cầu cổ đông hành động, Luật Công ty Đại chúng Delaware (Delaware General Corporation Law) không buộc các giám đốc phải cung cấp cho cổ đông thông tin liên quan đến tài chính hoặc các vấn đề của công ty.</w:t>
      </w:r>
    </w:p>
    <w:p>
      <w:pPr>
        <w:spacing w:after="80"/>
      </w:pPr>
      <w:r>
        <w:rPr>
          <w:b w:val="0"/>
          <w:i w:val="0"/>
        </w:rPr>
        <w:t>Nghĩa vụ của giám đốc trong việc tuân thủ các yêu cầu công bố thông tin thích đáng bắt nguồn từ sự kết hợp của các nghĩa vụ tín thác về sự cẩn trọng, lòng trung thành và thiện chí. Các nguyên đơn lập luận rằng, vì trách nhiệm tín thác của giám đốc không phải là những "nghĩa vụ ngắt quãng", nên không có lý do gì để nghĩa vụ công bố thông tin lại không được áp dụng trong mọi giao tiếp công khai của hội đồng quản trị công ty. Các giám đốc của một công ty Delaware được yêu cầu phải công bố đầy đủ và công bằng mọi thông tin trọng yếu nằm trong tầm kiểm soát của hội đồng quản trị khi hội đồng tìm kiếm hành động của cổ đông. Khi các giám đốc phát tán thông tin cho cổ đông mà không nhằm tìm kiếm hành động của cổ đông, thì các nghĩa vụ tín thác về sự cẩn trọng, lòng trung thành và thiện chí vẫn được áp dụng. Việc phát tán thông tin sai lệch có thể vi phạm một hoặc nhiều nghĩa vụ đó.</w:t>
      </w:r>
    </w:p>
    <w:p>
      <w:pPr>
        <w:spacing w:after="80"/>
      </w:pPr>
      <w:r>
        <w:rPr>
          <w:b w:val="0"/>
          <w:i w:val="0"/>
        </w:rPr>
        <w:t>Gian lận trên thị trường được điều chỉnh bởi luật liên bang</w:t>
      </w:r>
    </w:p>
    <w:p>
      <w:pPr>
        <w:spacing w:after="80"/>
      </w:pPr>
      <w:r>
        <w:rPr>
          <w:b w:val="0"/>
          <w:i w:val="0"/>
        </w:rPr>
        <w:t>Khi các giám đốc công ty truyền đạt thông tin, họ phải tuân thủ các nghĩa vụ được áp đặt bởi cả luật Delaware lẫn các đạo luật và quy định liên bang của Ủy ban Chứng khoán và Giao dịch Hoa Kỳ (United States Securities and Exchange Commission). . . . Để tôn trọng toàn bộ các biện pháp bảo vệ liên bang dành cho nhà đầu tư liên quan đến việc mua hoặc bán chứng khoán của các công ty Delaware, tòa án này đã quyết định không công nhận một nguyên nhân khởi kiện theo thông luật bang (state common law cause of action) chống lại các giám đốc của các công ty Delaware. Ở đây, cần lưu ý rằng, khiếu nại dường như được đưa ra bởi những người không bán chứng khoán và do đó, sẽ không liên quan đến các luật chứng khoán liên bang vốn điều chỉnh việc mua hoặc bán chứng khoán.</w:t>
      </w:r>
    </w:p>
    <w:p>
      <w:pPr>
        <w:spacing w:after="80"/>
      </w:pPr>
      <w:r>
        <w:rPr>
          <w:b w:val="0"/>
          <w:i w:val="0"/>
        </w:rPr>
        <w:t>Biện pháp khắc phục cho cổ đông theo thông luật bang trong bối cảnh không có yêu cầu hành động</w:t>
      </w:r>
    </w:p>
    <w:p>
      <w:pPr>
        <w:spacing w:after="80"/>
      </w:pPr>
      <w:r>
        <w:rPr>
          <w:b w:val="0"/>
          <w:i w:val="0"/>
        </w:rPr>
        <w:t>Luật Delaware cũng bảo vệ các cổ đông nhận được thông tin sai lệch từ giám đốc ngay cả khi không có yêu cầu cổ đông hành động. Khi các giám đốc không tìm kiếm hành động của cổ đông, mà lại cố ý cung cấp thông tin sai lệch cho cổ đông về hoạt động kinh doanh của công ty, dù trực tiếp hay qua một tuyên bố công khai, thì đó là hành vi vi phạm nghĩa vụ tín thác. Sự vi phạm đó có thể dẫn đến một khiếu nại phái sinh (derivative claim) thay mặt cho công ty hoặc một nguyên nhân khởi kiện đòi bồi thường thiệt hại.</w:t>
      </w:r>
    </w:p>
    <w:p>
      <w:pPr>
        <w:spacing w:after="80"/>
      </w:pPr>
      <w:r>
        <w:rPr>
          <w:b w:val="0"/>
          <w:i w:val="0"/>
        </w:rPr>
        <w:t>Đơn khiếu nại được bác bỏ một cách thích đáng vì không có yêu cầu cổ đông hành động</w:t>
      </w:r>
    </w:p>
    <w:p>
      <w:pPr>
        <w:spacing w:after="80"/>
      </w:pPr>
      <w:r>
        <w:rPr>
          <w:b w:val="0"/>
          <w:i w:val="0"/>
        </w:rPr>
        <w:t>Ở đây, đơn khiếu nại cáo buộc (nếu đúng) một sự vi phạm nghiêm trọng nghĩa vụ tín thác của các giám đốc khi cố ý phát tán thông tin sai lệch về mặt trọng yếu.</w:t>
      </w:r>
    </w:p>
    <w:p>
      <w:pPr>
        <w:spacing w:after="80"/>
      </w:pPr>
      <w:r>
        <w:rPr>
          <w:b w:val="0"/>
          <w:i w:val="0"/>
        </w:rPr>
        <w:t>Tuy nhiên, các nguyên đơn chưa bao giờ đưa ra một khiếu nại phái sinh rõ ràng thay mặt cho công ty hoặc cáo buộc việc tuân thủ Quy tắc 23.1 của Tòa án Chancery (Court of Chancery Rule 23.1), quy tắc yêu cầu phải có yêu cầu trước khi khởi kiện (pre-suit demand) hoặc những cáo buộc cụ thể và có thể nhận diện được rằng yêu cầu đó được miễn trừ. Nếu các nguyên đơn có ý định đưa ra một khiếu nại phái sinh, họ nên được phép sửa đổi đơn để đưa ra khiếu nại như vậy và bất kỳ biện pháp khắc phục thiệt hại hoặc công bằng nào được yêu cầu thay mặt cho công ty.</w:t>
      </w:r>
    </w:p>
    <w:p>
      <w:pPr>
        <w:pStyle w:val="Heading5"/>
      </w:pPr>
      <w:r>
        <w:rPr>
          <w:rFonts w:ascii="Calibri" w:hAnsi="Calibri"/>
          <w:b/>
          <w:i/>
          <w:sz w:val="22"/>
        </w:rPr>
        <w:t>Bình luận và Câu hỏi</w:t>
      </w:r>
    </w:p>
    <w:p>
      <w:pPr>
        <w:spacing w:after="80"/>
      </w:pPr>
      <w:r>
        <w:rPr>
          <w:b w:val="0"/>
          <w:i w:val="0"/>
        </w:rPr>
        <w:t>1. Tòa án Tối cao Delaware đã công nhận khiếu nại của các nguyên đơn về việc vi phạm nghĩa vụ công bố thông tin ngay cả khi các bị đơn không yêu cầu cổ đông hành động. Từ góc độ của các cổ đông công ty đại chúng, nguyên nhân khởi kiện này có quan trọng không? Tại sao có hoặc tại sao không?</w:t>
      </w:r>
    </w:p>
    <w:p>
      <w:pPr>
        <w:spacing w:after="80"/>
      </w:pPr>
      <w:r>
        <w:rPr>
          <w:b w:val="0"/>
          <w:i w:val="0"/>
        </w:rPr>
        <w:t xml:space="preserve">2. Sau </w:t>
      </w:r>
      <w:r>
        <w:rPr>
          <w:b w:val="0"/>
          <w:i/>
        </w:rPr>
        <w:t>Malone</w:t>
      </w:r>
      <w:r>
        <w:rPr>
          <w:b w:val="0"/>
          <w:i w:val="0"/>
        </w:rPr>
        <w:t xml:space="preserve"> , thì các giám đốc và cán bộ điều hành có thể phải chịu trách nhiệm pháp lý vì vi phạm nghĩa vụ ủy thác (fiduciary duties) của họ nếu họ "cố ý cung cấp thông tin sai lệch cho cổ đông về hoạt động kinh doanh của công ty, dù trực tiếp hay thông qua một tuyên bố công khai." Liệu cổ đông có phải chứng minh rằng họ đã tin vào thông tin sai lệch đó và bị thiệt hại vì điều đó không? Liệu cổ đông có phải chứng minh rằng thông tin sai lệch đó đã gây ra tổn thất cho họ không?</w:t>
      </w:r>
    </w:p>
    <w:p>
      <w:pPr>
        <w:spacing w:after="80"/>
      </w:pPr>
      <w:r>
        <w:rPr>
          <w:b w:val="0"/>
          <w:i w:val="0"/>
        </w:rPr>
        <w:t xml:space="preserve">3. Tòa án trong vụ </w:t>
      </w:r>
      <w:r>
        <w:rPr>
          <w:b w:val="0"/>
          <w:i/>
        </w:rPr>
        <w:t>Malone</w:t>
      </w:r>
      <w:r>
        <w:rPr>
          <w:b w:val="0"/>
          <w:i w:val="0"/>
        </w:rPr>
        <w:t xml:space="preserve"> đã tuyên bố rằng khi các giám đốc phát tán thông tin sai lệch mà không có yêu cầu từ cổ đông, họ có thể vi phạm một hoặc nhiều nghĩa vụ: nghĩa vụ cẩn trọng (duty of care), nghĩa vụ trung thành (duty of loyalty), và nghĩa vụ thiện chí (duty of good faith). Cổ đông nhiều khả năng sẽ đưa ra khiếu nại nào nhất? Vì sao?</w:t>
      </w:r>
    </w:p>
    <w:p>
      <w:pPr>
        <w:spacing w:after="80"/>
      </w:pPr>
      <w:r>
        <w:rPr>
          <w:b w:val="0"/>
          <w:i w:val="0"/>
        </w:rPr>
        <w:t xml:space="preserve">4. Cổ đông có thể nộp đơn kiện phái sinh (derivative action) để buộc các giám đốc thực thi nghĩa vụ công bố thông tin của họ. </w:t>
      </w:r>
      <w:r>
        <w:rPr>
          <w:b w:val="0"/>
          <w:i/>
        </w:rPr>
        <w:t>In re infoUSA, Inc. Sh'lders Litig.</w:t>
      </w:r>
      <w:r>
        <w:rPr>
          <w:b w:val="0"/>
          <w:i w:val="0"/>
        </w:rPr>
        <w:t xml:space="preserve"> , 953 A.2d 963, 990 (Del. Ch. 2007).</w:t>
      </w:r>
    </w:p>
    <w:p>
      <w:pPr>
        <w:spacing w:after="80"/>
      </w:pPr>
      <w:r>
        <w:rPr>
          <w:b w:val="0"/>
          <w:i w:val="0"/>
        </w:rPr>
        <w:t xml:space="preserve">1 . </w:t>
      </w:r>
      <w:r>
        <w:rPr>
          <w:b w:val="0"/>
          <w:i/>
        </w:rPr>
        <w:t>Guth v. Loft, Inc.</w:t>
      </w:r>
      <w:r>
        <w:rPr>
          <w:b w:val="0"/>
          <w:i w:val="0"/>
        </w:rPr>
        <w:t xml:space="preserve"> , 5 A.2d 503, 510 (Del. 1939) (được trích dẫn trong </w:t>
      </w:r>
      <w:r>
        <w:rPr>
          <w:b w:val="0"/>
          <w:i/>
        </w:rPr>
        <w:t>Schoon v. Smith</w:t>
      </w:r>
      <w:r>
        <w:rPr>
          <w:b w:val="0"/>
          <w:i w:val="0"/>
        </w:rPr>
        <w:t xml:space="preserve"> , 953 A.2d 196, 206 (Del. 2008)).</w:t>
      </w:r>
    </w:p>
    <w:p>
      <w:pPr>
        <w:spacing w:after="80"/>
      </w:pPr>
      <w:r>
        <w:rPr>
          <w:b w:val="0"/>
          <w:i w:val="0"/>
        </w:rPr>
        <w:t xml:space="preserve">2 . </w:t>
      </w:r>
      <w:r>
        <w:rPr>
          <w:b w:val="0"/>
          <w:i/>
        </w:rPr>
        <w:t>Xem Gantler v. Stephens</w:t>
      </w:r>
      <w:r>
        <w:rPr>
          <w:b w:val="0"/>
          <w:i w:val="0"/>
        </w:rPr>
        <w:t xml:space="preserve"> , 965 A.2d 695, 708–09 (Del. 2009).</w:t>
      </w:r>
    </w:p>
    <w:p>
      <w:pPr>
        <w:spacing w:after="80"/>
      </w:pPr>
      <w:r>
        <w:rPr>
          <w:b w:val="0"/>
          <w:i w:val="0"/>
        </w:rPr>
        <w:t>* Hãy xem xét sự lựa chọn giữa hai khoản đầu tư trong một ví dụ được phỏng theo Klein, Business Organization and Finance 147–49 (1980):</w:t>
      </w:r>
    </w:p>
    <w:p>
      <w:pPr>
        <w:jc w:val="center"/>
      </w:pPr>
      <w:r>
        <w:drawing>
          <wp:inline xmlns:a="http://schemas.openxmlformats.org/drawingml/2006/main" xmlns:pic="http://schemas.openxmlformats.org/drawingml/2006/picture">
            <wp:extent cx="3886200" cy="2371725"/>
            <wp:docPr id="3" name="Picture 3"/>
            <wp:cNvGraphicFramePr>
              <a:graphicFrameLocks noChangeAspect="1"/>
            </wp:cNvGraphicFramePr>
            <a:graphic>
              <a:graphicData uri="http://schemas.openxmlformats.org/drawingml/2006/picture">
                <pic:pic>
                  <pic:nvPicPr>
                    <pic:cNvPr id="0" name="Image00001.jpg"/>
                    <pic:cNvPicPr/>
                  </pic:nvPicPr>
                  <pic:blipFill>
                    <a:blip r:embed="rId11"/>
                    <a:stretch>
                      <a:fillRect/>
                    </a:stretch>
                  </pic:blipFill>
                  <pic:spPr>
                    <a:xfrm>
                      <a:off x="0" y="0"/>
                      <a:ext cx="3886200" cy="2371725"/>
                    </a:xfrm>
                    <a:prstGeom prst="rect"/>
                  </pic:spPr>
                </pic:pic>
              </a:graphicData>
            </a:graphic>
          </wp:inline>
        </w:drawing>
      </w:r>
    </w:p>
    <w:p>
      <w:pPr>
        <w:spacing w:after="80"/>
      </w:pPr>
      <w:r>
        <w:rPr>
          <w:b w:val="0"/>
          <w:i w:val="0"/>
        </w:rPr>
        <w:t xml:space="preserve">Mặc dù </w:t>
      </w:r>
      <w:r>
        <w:rPr>
          <w:b w:val="0"/>
          <w:i/>
        </w:rPr>
        <w:t>A</w:t>
      </w:r>
      <w:r>
        <w:rPr>
          <w:b w:val="0"/>
          <w:i w:val="0"/>
        </w:rPr>
        <w:t xml:space="preserve"> rõ ràng "đáng giá" hơn </w:t>
      </w:r>
      <w:r>
        <w:rPr>
          <w:b w:val="0"/>
          <w:i/>
        </w:rPr>
        <w:t>B</w:t>
      </w:r>
      <w:r>
        <w:rPr>
          <w:b w:val="0"/>
          <w:i w:val="0"/>
        </w:rPr>
        <w:t xml:space="preserve"> , nhưng nó rủi ro hơn vì biến động mạnh hơn. Đa dạng hóa làm giảm mức biến động bằng cách cho phép nhà đầu tư đầu tư vào 20 hay 200 khoản </w:t>
      </w:r>
      <w:r>
        <w:rPr>
          <w:b w:val="0"/>
          <w:i/>
        </w:rPr>
        <w:t>A</w:t>
      </w:r>
      <w:r>
        <w:rPr>
          <w:b w:val="0"/>
          <w:i w:val="0"/>
        </w:rPr>
        <w:t xml:space="preserve"> , điều này sẽ có xu hướng đảm bảo kết quả tổng thể gần với giá trị. Do đó, cổ đông sẽ có lợi hơn khi các công ty khác nhau chọn </w:t>
      </w:r>
      <w:r>
        <w:rPr>
          <w:b w:val="0"/>
          <w:i/>
        </w:rPr>
        <w:t>A</w:t>
      </w:r>
      <w:r>
        <w:rPr>
          <w:b w:val="0"/>
          <w:i w:val="0"/>
        </w:rPr>
        <w:t xml:space="preserve"> thay vì </w:t>
      </w:r>
      <w:r>
        <w:rPr>
          <w:b w:val="0"/>
          <w:i/>
        </w:rPr>
        <w:t>B</w:t>
      </w:r>
      <w:r>
        <w:rPr>
          <w:b w:val="0"/>
          <w:i w:val="0"/>
        </w:rPr>
        <w:t xml:space="preserve"> , mặc dù sau đó họ sẽ phàn nàn trong từng trường hợp về khoản lỗ 2.6. Nếu tòa án không tuân theo quy tắc phán đoán kinh doanh (business judgment rule), họ rất có thể sẽ trừng phạt việc chọn </w:t>
      </w:r>
      <w:r>
        <w:rPr>
          <w:b w:val="0"/>
          <w:i/>
        </w:rPr>
        <w:t>A</w:t>
      </w:r>
      <w:r>
        <w:rPr>
          <w:b w:val="0"/>
          <w:i w:val="0"/>
        </w:rPr>
        <w:t xml:space="preserve"> trong mỗi trường hợp như vậy và từ đó vô tình gây tổn hại cho cổ đông nói chung bằng cách tạo ra động lực để ban quản lý luôn chọn </w:t>
      </w:r>
      <w:r>
        <w:rPr>
          <w:b w:val="0"/>
          <w:i/>
        </w:rPr>
        <w:t>B</w:t>
      </w:r>
      <w:r>
        <w:rPr>
          <w:b w:val="0"/>
          <w:i w:val="0"/>
        </w:rPr>
        <w:t xml:space="preserve"> .</w:t>
      </w:r>
    </w:p>
    <w:p>
      <w:pPr>
        <w:spacing w:after="80"/>
      </w:pPr>
      <w:r>
        <w:rPr>
          <w:b w:val="0"/>
          <w:i w:val="0"/>
        </w:rPr>
        <w:t xml:space="preserve">3 . </w:t>
      </w:r>
      <w:r>
        <w:rPr>
          <w:b w:val="0"/>
          <w:i/>
        </w:rPr>
        <w:t>Graham v. Allis-Chalmers Mfg. Co.</w:t>
      </w:r>
      <w:r>
        <w:rPr>
          <w:b w:val="0"/>
          <w:i w:val="0"/>
        </w:rPr>
        <w:t xml:space="preserve"> , 188 A.2d 125, 130 (1963) (phán quyết rằng các giám đốc nên bị đánh giá theo hành động của "những người đàn ông thông thường cẩn trọng và siêng năng").</w:t>
      </w:r>
    </w:p>
    <w:p>
      <w:pPr>
        <w:spacing w:after="80"/>
      </w:pPr>
      <w:r>
        <w:rPr>
          <w:b w:val="0"/>
          <w:i w:val="0"/>
        </w:rPr>
        <w:t xml:space="preserve">4 . Melvin Aron Eisenberg, </w:t>
      </w:r>
      <w:r>
        <w:rPr>
          <w:b w:val="0"/>
          <w:i/>
        </w:rPr>
        <w:t>The Divergence of Standards of Conduct and Standards of Review in Corporate Law</w:t>
      </w:r>
      <w:r>
        <w:rPr>
          <w:b w:val="0"/>
          <w:i w:val="0"/>
        </w:rPr>
        <w:t xml:space="preserve"> , 62 Fordham L. Rev. 437 (1994).</w:t>
      </w:r>
    </w:p>
    <w:p>
      <w:pPr>
        <w:spacing w:after="80"/>
      </w:pPr>
      <w:r>
        <w:rPr>
          <w:b w:val="0"/>
          <w:i w:val="0"/>
        </w:rPr>
        <w:t xml:space="preserve">5 . Rutheford B. Campbell, Jr., </w:t>
      </w:r>
      <w:r>
        <w:rPr>
          <w:b w:val="0"/>
          <w:i/>
        </w:rPr>
        <w:t>Normative Justifications for Lax (or No) Corporate Fiduciary Duties: A Tale of Problematic Principles, Imagined Facts and Inefficient Outcomes</w:t>
      </w:r>
      <w:r>
        <w:rPr>
          <w:b w:val="0"/>
          <w:i w:val="0"/>
        </w:rPr>
        <w:t xml:space="preserve"> , 99 Ky. L. Rev. 231, 248 (2010–2011).</w:t>
      </w:r>
    </w:p>
    <w:p>
      <w:pPr>
        <w:spacing w:after="80"/>
      </w:pPr>
      <w:r>
        <w:rPr>
          <w:b w:val="0"/>
          <w:i w:val="0"/>
        </w:rPr>
        <w:t xml:space="preserve">6 . </w:t>
      </w:r>
      <w:r>
        <w:rPr>
          <w:b w:val="0"/>
          <w:i/>
        </w:rPr>
        <w:t>Xem</w:t>
      </w:r>
      <w:r>
        <w:rPr>
          <w:b w:val="0"/>
          <w:i w:val="0"/>
        </w:rPr>
        <w:t xml:space="preserve"> Edward B. Rock &amp; Michael L. Wachter, </w:t>
      </w:r>
      <w:r>
        <w:rPr>
          <w:b w:val="0"/>
          <w:i/>
        </w:rPr>
        <w:t>Saints &amp; Sinners: How Does Delaware Corporate Law Work?</w:t>
      </w:r>
      <w:r>
        <w:rPr>
          <w:b w:val="0"/>
          <w:i w:val="0"/>
        </w:rPr>
        <w:t xml:space="preserve"> , 44 U.C.L.A. L. Rev. 1009 (1997) (dù không áp đặt trách nhiệm pháp lý, các ý kiến của thẩm phán Delaware vẫn thúc đẩy sự phát triển của các thông lệ ủy thác tốt nhất).</w:t>
      </w:r>
    </w:p>
    <w:p>
      <w:pPr>
        <w:spacing w:after="80"/>
      </w:pPr>
      <w:r>
        <w:rPr>
          <w:b w:val="0"/>
          <w:i w:val="0"/>
        </w:rPr>
        <w:t xml:space="preserve">7 . Lyman Johnson, </w:t>
      </w:r>
      <w:r>
        <w:rPr>
          <w:b w:val="0"/>
          <w:i/>
        </w:rPr>
        <w:t>Unsettledness in Delaware Corporate Law: Business Judgment Rule, Corporate Purpose</w:t>
      </w:r>
      <w:r>
        <w:rPr>
          <w:b w:val="0"/>
          <w:i w:val="0"/>
        </w:rPr>
        <w:t xml:space="preserve"> , 38 Del. J. Corp. L. 405, 412 (2013).</w:t>
      </w:r>
    </w:p>
    <w:p>
      <w:pPr>
        <w:spacing w:after="80"/>
      </w:pPr>
      <w:r>
        <w:rPr>
          <w:b w:val="0"/>
          <w:i w:val="0"/>
        </w:rPr>
        <w:t>8 . 683 A.2d 1049 (Del. Ch. 1996) (nhấn mạnh trong nguyên bản).</w:t>
      </w:r>
    </w:p>
    <w:p>
      <w:pPr>
        <w:spacing w:after="80"/>
      </w:pPr>
      <w:r>
        <w:rPr>
          <w:b w:val="0"/>
          <w:i w:val="0"/>
        </w:rPr>
        <w:t xml:space="preserve">9 . Xem Jonathan R. Macey, Smith v. Van Gorkom: </w:t>
      </w:r>
      <w:r>
        <w:rPr>
          <w:b w:val="0"/>
          <w:i/>
        </w:rPr>
        <w:t>Insights About C.E.O.s, Corporate Law Rules, and the Jurisdictional Competition for Corporate Charters</w:t>
      </w:r>
      <w:r>
        <w:rPr>
          <w:b w:val="0"/>
          <w:i w:val="0"/>
        </w:rPr>
        <w:t xml:space="preserve"> , 96 NW. U. L. Rev. 607 (2002).</w:t>
      </w:r>
    </w:p>
    <w:p>
      <w:pPr>
        <w:spacing w:after="80"/>
      </w:pPr>
      <w:r>
        <w:rPr>
          <w:b w:val="0"/>
          <w:i w:val="0"/>
        </w:rPr>
        <w:t xml:space="preserve">10 . </w:t>
      </w:r>
      <w:r>
        <w:rPr>
          <w:b w:val="0"/>
          <w:i/>
        </w:rPr>
        <w:t>In re Atheros Communications, Inc. S'holder Litig.,</w:t>
      </w:r>
      <w:r>
        <w:rPr>
          <w:b w:val="0"/>
          <w:i w:val="0"/>
        </w:rPr>
        <w:t xml:space="preserve"> 2011 WL 864928 at *10 (Del. Ch. Mar. 4, 2011).</w:t>
      </w:r>
    </w:p>
    <w:p>
      <w:pPr>
        <w:spacing w:after="80"/>
      </w:pPr>
      <w:r>
        <w:rPr>
          <w:b w:val="0"/>
          <w:i w:val="0"/>
        </w:rPr>
        <w:t xml:space="preserve">11 . </w:t>
      </w:r>
      <w:r>
        <w:rPr>
          <w:b w:val="0"/>
          <w:i/>
        </w:rPr>
        <w:t>In re Del Monte Foods Co. S'holders Litig.,</w:t>
      </w:r>
      <w:r>
        <w:rPr>
          <w:b w:val="0"/>
          <w:i w:val="0"/>
        </w:rPr>
        <w:t xml:space="preserve"> 25 A.3d 813, 831 (Del. Ch. 2011).</w:t>
      </w:r>
    </w:p>
    <w:p>
      <w:pPr>
        <w:spacing w:after="80"/>
      </w:pPr>
      <w:r>
        <w:rPr>
          <w:b w:val="0"/>
          <w:i w:val="0"/>
        </w:rPr>
        <w:t xml:space="preserve">12 . </w:t>
      </w:r>
      <w:r>
        <w:rPr>
          <w:b w:val="0"/>
          <w:i/>
        </w:rPr>
        <w:t>Thảo luận bàn tròn: Quản trị công ty</w:t>
      </w:r>
      <w:r>
        <w:rPr>
          <w:b w:val="0"/>
          <w:i w:val="0"/>
        </w:rPr>
        <w:t xml:space="preserve"> , 77 Chi.-Kent L. Rev. 235 (2001). </w:t>
      </w:r>
      <w:r>
        <w:rPr>
          <w:b w:val="0"/>
          <w:i/>
        </w:rPr>
        <w:t>Xem thêm</w:t>
      </w:r>
      <w:r>
        <w:rPr>
          <w:b w:val="0"/>
          <w:i w:val="0"/>
        </w:rPr>
        <w:t xml:space="preserve"> Daniel R. Fischel, </w:t>
      </w:r>
      <w:r>
        <w:rPr>
          <w:b w:val="0"/>
          <w:i/>
        </w:rPr>
        <w:t>Quy tắc phán đoán kinh doanh và vụ án</w:t>
      </w:r>
      <w:r>
        <w:rPr>
          <w:b w:val="0"/>
          <w:i w:val="0"/>
        </w:rPr>
        <w:t xml:space="preserve"> Trans Union </w:t>
      </w:r>
      <w:r>
        <w:rPr>
          <w:b w:val="0"/>
          <w:i w:val="0"/>
        </w:rPr>
        <w:t xml:space="preserve"> , 40 Bus. Law 1437 (1985).</w:t>
      </w:r>
    </w:p>
    <w:p>
      <w:pPr>
        <w:spacing w:after="80"/>
      </w:pPr>
      <w:r>
        <w:rPr>
          <w:b w:val="0"/>
          <w:i w:val="0"/>
        </w:rPr>
        <w:t xml:space="preserve">13 . Roberta Romano, </w:t>
      </w:r>
      <w:r>
        <w:rPr>
          <w:b w:val="0"/>
          <w:i/>
        </w:rPr>
        <w:t>Quản trị công ty sau hậu quả của cuộc khủng hoảng bảo hiểm</w:t>
      </w:r>
      <w:r>
        <w:rPr>
          <w:b w:val="0"/>
          <w:i w:val="0"/>
        </w:rPr>
        <w:t xml:space="preserve"> , 39 Emory L.J. 1155 (1990).</w:t>
      </w:r>
    </w:p>
    <w:p>
      <w:pPr>
        <w:spacing w:after="80"/>
      </w:pPr>
      <w:r>
        <w:rPr>
          <w:b w:val="0"/>
          <w:i w:val="0"/>
        </w:rPr>
        <w:t xml:space="preserve">14 . </w:t>
      </w:r>
      <w:r>
        <w:rPr>
          <w:b w:val="0"/>
          <w:i/>
        </w:rPr>
        <w:t>Xem</w:t>
      </w:r>
      <w:r>
        <w:rPr>
          <w:b w:val="0"/>
          <w:i w:val="0"/>
        </w:rPr>
        <w:t xml:space="preserve"> Lawrence A. Hamermesh, </w:t>
      </w:r>
      <w:r>
        <w:rPr>
          <w:b w:val="0"/>
          <w:i/>
        </w:rPr>
        <w:t>Tại sao tôi không dạy</w:t>
      </w:r>
      <w:r>
        <w:rPr>
          <w:b w:val="0"/>
          <w:i w:val="0"/>
        </w:rPr>
        <w:t xml:space="preserve"> Van Gorkom, 34 Ga. L. Rev. 477, 490 (2000).</w:t>
      </w:r>
    </w:p>
    <w:p>
      <w:pPr>
        <w:spacing w:after="80"/>
      </w:pPr>
      <w:r>
        <w:rPr>
          <w:b w:val="0"/>
          <w:i w:val="0"/>
        </w:rPr>
        <w:t xml:space="preserve">15 . J. Robert Brown, Jr. &amp; Sandeep Gopalan, </w:t>
      </w:r>
      <w:r>
        <w:rPr>
          <w:b w:val="0"/>
          <w:i/>
        </w:rPr>
        <w:t>Chỉ chọn tham gia: Những người theo thuyết hợp đồng, các điều khoản miễn trừ trách nhiệm và cuộc đua xuống đáy</w:t>
      </w:r>
      <w:r>
        <w:rPr>
          <w:b w:val="0"/>
          <w:i w:val="0"/>
        </w:rPr>
        <w:t xml:space="preserve"> , 42 Ind. L. Rev. 285 (2009).</w:t>
      </w:r>
    </w:p>
    <w:p>
      <w:pPr>
        <w:spacing w:after="80"/>
      </w:pPr>
      <w:r>
        <w:rPr>
          <w:b w:val="0"/>
          <w:i w:val="0"/>
        </w:rPr>
        <w:t xml:space="preserve">16 . </w:t>
      </w:r>
      <w:r>
        <w:rPr>
          <w:b w:val="0"/>
          <w:i/>
        </w:rPr>
        <w:t>Trong vụ Rural Metro Corp. S'holders Litig.</w:t>
      </w:r>
      <w:r>
        <w:rPr>
          <w:b w:val="0"/>
          <w:i w:val="0"/>
        </w:rPr>
        <w:t xml:space="preserve"> , 88 A.3d 54 (Del. Ch. 2014), </w:t>
      </w:r>
      <w:r>
        <w:rPr>
          <w:b w:val="0"/>
          <w:i/>
        </w:rPr>
        <w:t>được giữ nguyên</w:t>
      </w:r>
      <w:r>
        <w:rPr>
          <w:b w:val="0"/>
          <w:i w:val="0"/>
        </w:rPr>
        <w:t xml:space="preserve"> (Del. Nov. 30, 2015).</w:t>
      </w:r>
    </w:p>
    <w:p>
      <w:pPr>
        <w:spacing w:after="80"/>
      </w:pPr>
      <w:r>
        <w:rPr>
          <w:b w:val="0"/>
          <w:i w:val="0"/>
        </w:rPr>
        <w:t>17 . 787 A.2d 85 (Del. 2001).</w:t>
      </w:r>
    </w:p>
    <w:p>
      <w:pPr>
        <w:spacing w:after="80"/>
      </w:pPr>
      <w:r>
        <w:rPr>
          <w:b w:val="0"/>
          <w:i w:val="0"/>
        </w:rPr>
        <w:t xml:space="preserve">18 . </w:t>
      </w:r>
      <w:r>
        <w:rPr>
          <w:b w:val="0"/>
          <w:i/>
        </w:rPr>
        <w:t>Trong vụ Cornerstone Therapeutics Inc., S' holder Litig.</w:t>
      </w:r>
      <w:r>
        <w:rPr>
          <w:b w:val="0"/>
          <w:i w:val="0"/>
        </w:rPr>
        <w:t xml:space="preserve"> , 115 A.3d 1173 (Del. 2015).</w:t>
      </w:r>
    </w:p>
    <w:p>
      <w:pPr>
        <w:spacing w:after="80"/>
      </w:pPr>
      <w:r>
        <w:rPr>
          <w:b w:val="0"/>
          <w:i w:val="0"/>
        </w:rPr>
        <w:t>19 . Bản quyền © 2009 Indiana Law Review. Được tái bản với sự cho phép.</w:t>
      </w:r>
    </w:p>
    <w:p>
      <w:pPr>
        <w:spacing w:after="80"/>
      </w:pPr>
      <w:r>
        <w:rPr>
          <w:b w:val="0"/>
          <w:i w:val="0"/>
        </w:rPr>
        <w:t xml:space="preserve">20 . </w:t>
      </w:r>
      <w:r>
        <w:rPr>
          <w:b w:val="0"/>
          <w:i/>
        </w:rPr>
        <w:t>Xem</w:t>
      </w:r>
      <w:r>
        <w:rPr>
          <w:b w:val="0"/>
          <w:i w:val="0"/>
        </w:rPr>
        <w:t xml:space="preserve"> Michael Bradley &amp; Cindy A. Schipani, </w:t>
      </w:r>
      <w:r>
        <w:rPr>
          <w:b w:val="0"/>
          <w:i/>
        </w:rPr>
        <w:t>Sự liên quan của tiêu chuẩn nghĩa vụ cẩn trọng trong quản trị công ty</w:t>
      </w:r>
      <w:r>
        <w:rPr>
          <w:b w:val="0"/>
          <w:i w:val="0"/>
        </w:rPr>
        <w:t xml:space="preserve"> , 75 Iowa L. Rev. 1, 65 (1989) (“Cho đến nay chúng tôi đã xác định được khoảng 100 công ty đã tái đăng ký thành lập tại Delaware từ ngày 1 tháng 7 năm 1986 đến tháng 5 năm 1988.”).</w:t>
      </w:r>
    </w:p>
    <w:p>
      <w:pPr>
        <w:spacing w:after="80"/>
      </w:pPr>
      <w:r>
        <w:rPr>
          <w:b w:val="0"/>
          <w:i w:val="0"/>
        </w:rPr>
        <w:t xml:space="preserve">21 . </w:t>
      </w:r>
      <w:r>
        <w:rPr>
          <w:b w:val="0"/>
          <w:i/>
        </w:rPr>
        <w:t>Xem</w:t>
      </w:r>
      <w:r>
        <w:rPr>
          <w:b w:val="0"/>
          <w:i w:val="0"/>
        </w:rPr>
        <w:t xml:space="preserve"> United States Sentencing Guidelines Manual §§ 8B2.1(b)(2)(A), 8B2.1(b)(4) và Bình luận, Ghi chú áp dụng 2.</w:t>
      </w:r>
    </w:p>
    <w:p>
      <w:pPr>
        <w:spacing w:after="80"/>
      </w:pPr>
      <w:r>
        <w:rPr>
          <w:b w:val="0"/>
          <w:i w:val="0"/>
        </w:rPr>
        <w:t xml:space="preserve">22 . </w:t>
      </w:r>
      <w:r>
        <w:rPr>
          <w:b w:val="0"/>
          <w:i/>
        </w:rPr>
        <w:t>Id.</w:t>
      </w:r>
      <w:r>
        <w:rPr>
          <w:b w:val="0"/>
          <w:i w:val="0"/>
        </w:rPr>
        <w:t xml:space="preserve"> tại § 8C2.5(f)(3)(C).</w:t>
      </w:r>
    </w:p>
    <w:p>
      <w:pPr>
        <w:spacing w:after="80"/>
      </w:pPr>
      <w:r>
        <w:rPr>
          <w:b w:val="0"/>
          <w:i w:val="0"/>
        </w:rPr>
        <w:t xml:space="preserve">23 . </w:t>
      </w:r>
      <w:r>
        <w:rPr>
          <w:b w:val="0"/>
          <w:i/>
        </w:rPr>
        <w:t>Xem, ví dụ, In re Massey Energy Co. Deriv. &amp; Class Action Litig.</w:t>
      </w:r>
      <w:r>
        <w:rPr>
          <w:b w:val="0"/>
          <w:i w:val="0"/>
        </w:rPr>
        <w:t xml:space="preserve"> , 2011 Del. Ch. LEXIS 83 n.139 (Del. Ch. May 31, 2011).</w:t>
      </w:r>
    </w:p>
    <w:p>
      <w:pPr>
        <w:spacing w:after="80"/>
      </w:pPr>
      <w:r>
        <w:rPr>
          <w:b w:val="0"/>
          <w:i w:val="0"/>
        </w:rPr>
        <w:t>24 . 906 A.2d 27, 65 (Del. 2005).</w:t>
      </w:r>
    </w:p>
    <w:p>
      <w:pPr>
        <w:spacing w:after="80"/>
      </w:pPr>
      <w:r>
        <w:rPr>
          <w:b w:val="0"/>
          <w:i w:val="0"/>
        </w:rPr>
        <w:t>25 . 35 Del. J. Corp. L. 199, 204 (2010).</w:t>
      </w:r>
    </w:p>
    <w:p>
      <w:pPr>
        <w:spacing w:after="80"/>
      </w:pPr>
      <w:r>
        <w:rPr>
          <w:b w:val="0"/>
          <w:i w:val="0"/>
        </w:rPr>
        <w:t xml:space="preserve">26 . </w:t>
      </w:r>
      <w:r>
        <w:rPr>
          <w:b w:val="0"/>
          <w:i/>
        </w:rPr>
        <w:t>Desimone v. Barrows</w:t>
      </w:r>
      <w:r>
        <w:rPr>
          <w:b w:val="0"/>
          <w:i w:val="0"/>
        </w:rPr>
        <w:t xml:space="preserve"> , 924 A.2d 908, 940 (Del. Ch. 2007) (viện dẫn </w:t>
      </w:r>
      <w:r>
        <w:rPr>
          <w:b w:val="0"/>
          <w:i/>
        </w:rPr>
        <w:t>Stone v. Ritter</w:t>
      </w:r>
      <w:r>
        <w:rPr>
          <w:b w:val="0"/>
          <w:i w:val="0"/>
        </w:rPr>
        <w:t xml:space="preserve"> ) (phán quyết rằng nguyên đơn phải trình bày sự tồn tại của các sự kiện cho thấy hội đồng quản trị thực sự biết rằng các kiểm soát nội bộ của công ty là không đầy đủ trong việc phát hiện việc lùi ngày cấp quyền chọn cổ phiếu và rằng hội đồng quản trị đã chọn bỏ qua những thiếu sót đó).</w:t>
      </w:r>
    </w:p>
    <w:p>
      <w:pPr>
        <w:spacing w:after="80"/>
      </w:pPr>
      <w:r>
        <w:rPr>
          <w:b w:val="0"/>
          <w:i w:val="0"/>
        </w:rPr>
        <w:t xml:space="preserve">27 . </w:t>
      </w:r>
      <w:r>
        <w:rPr>
          <w:b w:val="0"/>
          <w:i/>
        </w:rPr>
        <w:t>Trong vụ Massey Energy Co. Deriv. &amp; Class Action Litig.</w:t>
      </w:r>
      <w:r>
        <w:rPr>
          <w:b w:val="0"/>
          <w:i w:val="0"/>
        </w:rPr>
        <w:t xml:space="preserve"> , 2011 Del. Ch. LEXIS 83, tại *73–74 (Del. Ch. May 31, 2011).</w:t>
      </w:r>
    </w:p>
    <w:p>
      <w:pPr>
        <w:spacing w:after="80"/>
      </w:pPr>
      <w:r>
        <w:rPr>
          <w:b w:val="0"/>
          <w:i w:val="0"/>
        </w:rPr>
        <w:t xml:space="preserve">28 . </w:t>
      </w:r>
      <w:r>
        <w:rPr>
          <w:b w:val="0"/>
          <w:i/>
        </w:rPr>
        <w:t>Xem, ví dụ:</w:t>
      </w:r>
      <w:r>
        <w:rPr>
          <w:b w:val="0"/>
          <w:i w:val="0"/>
        </w:rPr>
        <w:t xml:space="preserve"> , Richard A. Posner, A Failure of Capitalism: The Crisis of '08 and the Descent Into Depression (2009).</w:t>
      </w:r>
    </w:p>
    <w:p>
      <w:pPr>
        <w:spacing w:after="80"/>
      </w:pPr>
      <w:r>
        <w:rPr>
          <w:b w:val="0"/>
          <w:i w:val="0"/>
        </w:rPr>
        <w:t xml:space="preserve">29 . </w:t>
      </w:r>
      <w:r>
        <w:rPr>
          <w:b w:val="0"/>
          <w:i/>
        </w:rPr>
        <w:t>Xem, ví dụ:</w:t>
      </w:r>
      <w:r>
        <w:rPr>
          <w:b w:val="0"/>
          <w:i w:val="0"/>
        </w:rPr>
        <w:t xml:space="preserve"> , John Schnatter, </w:t>
      </w:r>
      <w:r>
        <w:rPr>
          <w:b w:val="0"/>
          <w:i/>
        </w:rPr>
        <w:t>Where Were the Boards?</w:t>
      </w:r>
      <w:r>
        <w:rPr>
          <w:b w:val="0"/>
          <w:i w:val="0"/>
        </w:rPr>
        <w:t xml:space="preserve"> , Wall St. J., Oct. 25, 2008; Paul Myners, </w:t>
      </w:r>
      <w:r>
        <w:rPr>
          <w:b w:val="0"/>
          <w:i/>
        </w:rPr>
        <w:t>Banking Reform Must Begin in Boardroom</w:t>
      </w:r>
      <w:r>
        <w:rPr>
          <w:b w:val="0"/>
          <w:i w:val="0"/>
        </w:rPr>
        <w:t xml:space="preserve"> , Fin. Times, Apr. 24, 2008.</w:t>
      </w:r>
    </w:p>
    <w:p>
      <w:pPr>
        <w:spacing w:after="80"/>
      </w:pPr>
      <w:r>
        <w:rPr>
          <w:b w:val="0"/>
          <w:i w:val="0"/>
        </w:rPr>
        <w:t>30 . 2011 WL 4826104 (Del. Ch. Oct. 12, 2011).</w:t>
      </w:r>
    </w:p>
    <w:p>
      <w:pPr>
        <w:spacing w:after="80"/>
      </w:pPr>
      <w:r>
        <w:rPr>
          <w:b w:val="0"/>
          <w:i w:val="0"/>
        </w:rPr>
        <w:t>31 . NAT 'L COMM 'N ON THE CAUSES OF THE FINANCIAL AND ECONOMIC CRISIS IN THE UNITED STATES , THE FINANCIAL CRISIS INQUIRY REPORT 343 (2011).</w:t>
      </w:r>
    </w:p>
    <w:p>
      <w:pPr>
        <w:spacing w:after="80"/>
      </w:pPr>
      <w:r>
        <w:rPr>
          <w:b w:val="0"/>
          <w:i w:val="0"/>
        </w:rPr>
        <w:t>32 . 2009 WL 366613 (De. Ch. Feb. 10, 2009).</w:t>
      </w:r>
    </w:p>
    <w:p>
      <w:pPr>
        <w:spacing w:after="80"/>
      </w:pPr>
      <w:r>
        <w:rPr>
          <w:b w:val="0"/>
          <w:i w:val="0"/>
        </w:rPr>
        <w:t xml:space="preserve">33 . Steven L. Schwarcz, </w:t>
      </w:r>
      <w:r>
        <w:rPr>
          <w:b w:val="0"/>
          <w:i/>
        </w:rPr>
        <w:t>Misalignment: Corporate Risk-Taking and Public Duty,</w:t>
      </w:r>
      <w:r>
        <w:rPr>
          <w:b w:val="0"/>
          <w:i w:val="0"/>
        </w:rPr>
        <w:t xml:space="preserve"> 92 Notre Dame L. Rev. (2016) (sắp xuất bản).</w:t>
      </w:r>
    </w:p>
    <w:p>
      <w:pPr>
        <w:spacing w:after="80"/>
      </w:pPr>
      <w:r>
        <w:rPr>
          <w:b w:val="0"/>
          <w:i w:val="0"/>
        </w:rPr>
        <w:t xml:space="preserve">34 . Bài phát biểu, Ủy viên Luis A. Aguilar, “Boards of Directors, Corporate Governance and Cyber-Risks: Sharpening the Focus,” </w:t>
      </w:r>
      <w:r>
        <w:rPr>
          <w:b w:val="0"/>
          <w:i/>
        </w:rPr>
        <w:t>có tại</w:t>
      </w:r>
      <w:r>
        <w:rPr>
          <w:b w:val="0"/>
          <w:i w:val="0"/>
        </w:rPr>
        <w:t xml:space="preserve"> http://www.sec.gov/News/Speech/Detail/Speech/1370542057946 .</w:t>
      </w:r>
    </w:p>
    <w:p>
      <w:pPr>
        <w:spacing w:after="80"/>
      </w:pPr>
      <w:r>
        <w:rPr>
          <w:b w:val="0"/>
          <w:i w:val="0"/>
        </w:rPr>
        <w:t xml:space="preserve">35 . </w:t>
      </w:r>
      <w:r>
        <w:rPr>
          <w:b w:val="0"/>
          <w:i/>
        </w:rPr>
        <w:t>Xem Lynch v. Vickers Energy Corp.</w:t>
      </w:r>
      <w:r>
        <w:rPr>
          <w:b w:val="0"/>
          <w:i w:val="0"/>
        </w:rPr>
        <w:t xml:space="preserve"> , 383 A.2d 278 (Del. 1977).</w:t>
      </w:r>
    </w:p>
    <w:p>
      <w:pPr>
        <w:pStyle w:val="Heading1"/>
      </w:pPr>
      <w:r>
        <w:rPr>
          <w:rFonts w:ascii="Calibri" w:hAnsi="Calibri"/>
          <w:b/>
          <w:i w:val="0"/>
          <w:sz w:val="40"/>
        </w:rPr>
        <w:t>Chương 5</w:t>
      </w:r>
    </w:p>
    <w:p>
      <w:pPr>
        <w:pStyle w:val="Heading1"/>
      </w:pPr>
      <w:r>
        <w:rPr>
          <w:rFonts w:ascii="Calibri" w:hAnsi="Calibri"/>
          <w:b/>
          <w:i w:val="0"/>
          <w:sz w:val="40"/>
        </w:rPr>
        <w:t>Nghĩa vụ trung thành</w:t>
      </w:r>
    </w:p>
    <w:p>
      <w:pPr>
        <w:spacing w:after="80"/>
      </w:pPr>
      <w:r>
        <w:rPr>
          <w:b w:val="0"/>
          <w:i w:val="0"/>
        </w:rPr>
        <w:t>Ngoài việc thực hiện sự cẩn trọng thích đáng, các giám đốc và người quản lý còn phải trung thành với công ty mà họ đang quản trị. Thật vậy, lòng trung thành là bản chất của mọi quan hệ tín thác (fiduciary). Do mối nguy hiểm cố hữu rằng các nhà quản lý công ty sẽ ưu ái bản thân mình gây thiệt hại cho công ty và các cổ đông, nghĩa vụ trung thành đòi hỏi những người được tín thác trong công ty phải quản lý hoạt động kinh doanh và các vấn đề của công ty vì lợi ích tốt nhất của công ty, đặt lợi ích của công ty lên trên lợi ích cá nhân của chính họ hoặc lợi ích của bất kỳ bên thứ ba nào.</w:t>
      </w:r>
    </w:p>
    <w:p>
      <w:pPr>
        <w:spacing w:after="80"/>
      </w:pPr>
      <w:r>
        <w:rPr>
          <w:b w:val="0"/>
          <w:i w:val="0"/>
        </w:rPr>
        <w:t>Vậy nên, để thỏa mãn nghĩa vụ trung thành, các giám đốc và người quản lý không chỉ phải hành động thiện chí và với mục đích hợp pháp, chính đáng vì công ty, mà còn không được tham gia vào các hành vi tự giao dịch (self-dealing) bất công. Hơn nữa, luật công ty cấm những người được tín thác chiếm đoạt sai trái các cơ hội kinh doanh của công ty, cạnh tranh bất công với công ty, hoặc lấy tài sản của công ty hay thông tin mật của công ty để trục lợi cá nhân hoặc mang lại lợi ích cho người khác. Nói đơn giản hơn, những người được tín thác trong công ty vi phạm nghĩa vụ trung thành nếu họ sử dụng quyền lực và thẩm quyền của mình một cách thiếu thiện chí hoặc vì những mục đích không chính đáng, không vì công ty.</w:t>
      </w:r>
    </w:p>
    <w:p>
      <w:pPr>
        <w:spacing w:after="80"/>
      </w:pPr>
      <w:r>
        <w:rPr>
          <w:b w:val="0"/>
          <w:i w:val="0"/>
        </w:rPr>
        <w:t xml:space="preserve">Mặc dù thừa nhận rằng con người vốn dĩ có xu hướng ưu ái bản thân, các tòa án vẫn lên án những hành vi bất trung của giám đốc và người quản lý bằng ngôn từ mang tính đạo đức, không khoan nhượng. Như Thẩm phán Cardozo đã mô tả nổi tiếng, “quy tắc trung thành không chia rẽ” (rule of undivided loyalty) áp đặt lên những người được tín thác là “không khoan nhượng và tối thượng,” và đòi hỏi “[k]hông chỉ sự trung thực đơn thuần, mà là sự tinh tế của một danh dự nhạy cảm nhất.” </w:t>
      </w:r>
      <w:r>
        <w:rPr>
          <w:b w:val="0"/>
          <w:i/>
        </w:rPr>
        <w:t>Meinhard v. Salmon</w:t>
      </w:r>
      <w:r>
        <w:rPr>
          <w:b w:val="0"/>
          <w:i w:val="0"/>
        </w:rPr>
        <w:t xml:space="preserve"> , 164 N.E. 545 (1928). Do đó, các nhà quản lý không được theo đuổi lợi ích riêng của mình mà không có sự đồng ý của công ty sau khi đã công bố đầy đủ thông tin. Như Phó Chánh án Leo Strine và các chuyên gia luật công ty khác của Delaware đã giải thích:</w:t>
      </w:r>
    </w:p>
    <w:p>
      <w:pPr>
        <w:spacing w:after="80"/>
      </w:pPr>
      <w:r>
        <w:rPr>
          <w:b w:val="0"/>
          <w:i w:val="0"/>
        </w:rPr>
        <w:t>Vì quyền tự quyết mà DGCL dành cho các giám đốc rộng lớn đến vậy, điều cực kỳ quan trọng là các giám đốc phải thực thi quyền tự quyết này để thúc đẩy lợi ích tốt nhất của công ty, chứ không phải vì những mục đích không chính đáng. Tương tự, vì DGCL theo đuổi một mô hình đại diện mang tính cộng hòa mạnh mẽ, trao cho các giám đốc công ty quyền hạn và nghĩa vụ quản lý rộng lớn trong nhiệm kỳ của họ, điều thiết yếu là các giám đốc phải thực sự nghiêm túc với trách nhiệm của mình bằng cách thực sự cố gắng quản lý công ty theo cách có lợi cho các cổ đông. Vì những lý do này, từ trước đến nay nghĩa vụ trung thành thường được diễn đạt một cách bao quát, theo cách nhấn mạnh không chỉ nghĩa vụ của một người được tín thác trung thành là phải kiềm chế không trục lợi bản thân gây thiệt hại cho công ty, mà quan trọng không kém, còn phải hành động một cách chủ động để thúc đẩy lợi ích tốt nhất của công ty. Ở khía cạnh này, luật của chúng ta đã rõ ràng rằng nghĩa vụ trung thành liên quan đến mọi hành động của giám đốc, bởi vì mọi hành động như vậy đều phải được thực hiện một cách thiện chí để thúc đẩy lợi ích tốt nhất của công ty và bởi vì các giám đốc có nghĩa vụ chủ động nỗ lực thiện chí để thực hiện trách nhiệm của mình một cách có trách nhiệm.</w:t>
      </w:r>
    </w:p>
    <w:p>
      <w:pPr>
        <w:spacing w:after="80"/>
      </w:pPr>
      <w:r>
        <w:rPr>
          <w:b w:val="0"/>
          <w:i w:val="0"/>
        </w:rPr>
        <w:t xml:space="preserve">Leo E. Strine, Jr., và cộng sự, </w:t>
      </w:r>
      <w:r>
        <w:rPr>
          <w:b w:val="0"/>
          <w:i/>
        </w:rPr>
        <w:t>Loyalty's Core Demand: The Defining Role of Good Faith in Corporate Law,</w:t>
      </w:r>
      <w:r>
        <w:rPr>
          <w:b w:val="0"/>
          <w:i w:val="0"/>
        </w:rPr>
        <w:t xml:space="preserve"> 98 Geo. L. Rev 629, 633–34 (2010).</w:t>
      </w:r>
    </w:p>
    <w:p>
      <w:pPr>
        <w:spacing w:after="80"/>
      </w:pPr>
      <w:r>
        <w:rPr>
          <w:b w:val="0"/>
          <w:i w:val="0"/>
        </w:rPr>
        <w:t>Học thuyết chính thống (black-letter doctrine) tuyên bố sẽ đối xử khắt khe hơn với nhà quản lý bất trung so với nhà quản lý bất cẩn. Ví dụ, không giống như các cáo buộc rằng những người được tín thác trong công ty vi phạm nghĩa vụ cẩn trọng, các khiếu nại về nghĩa vụ trung thành được cho là không được bảo vệ khỏi sự xem xét của tòa án bởi quy tắc phán đoán kinh doanh (business judgment rule). Ngoài ra, các khiếu nại về nghĩa vụ trung thành cũng được loại trừ cụ thể khỏi các đạo luật miễn trừ trách nhiệm cho giám đốc, chẳng hạn như Mục 102(b)(7) của Luật Công ty Tổng hợp Delaware (Delaware General Corporation Law).</w:t>
      </w:r>
    </w:p>
    <w:p>
      <w:pPr>
        <w:spacing w:after="80"/>
      </w:pPr>
      <w:r>
        <w:rPr>
          <w:b w:val="0"/>
          <w:i w:val="0"/>
        </w:rPr>
        <w:t>Tuy nhiên, bất chấp sự lên án mạnh mẽ liên tục đối với những người được ủy thác doanh nghiệp bất trung, theo thời gian, luật pháp đã trở nên khoan dung hơn trong cách xử lý hành vi bất trung. Như chúng ta sẽ thấy, không chỉ các tiêu chuẩn về hành vi trung thành trở nên ít khắt khe hơn, mà nghĩa vụ trung thành của ban quản lý cũng được cho là đã thu hẹp về phạm vi. Hơn nữa, luật doanh nghiệp đã trở nên dễ dãi hơn với các giao dịch giữa người được ủy thác và công ty, cho phép hội đồng quản trị phê duyệt việc tự giao dịch của đồng nghiệp mình và che chắn những thỏa thuận như vậy khỏi sự xem xét nghiêm ngặt của tòa án.</w:t>
      </w:r>
    </w:p>
    <w:p>
      <w:pPr>
        <w:spacing w:after="80"/>
      </w:pPr>
      <w:r>
        <w:rPr>
          <w:b w:val="0"/>
          <w:i w:val="0"/>
        </w:rPr>
        <w:t>Các cáo buộc rằng người được ủy thác đã vi phạm nghĩa vụ trung thành thường liên quan đến các giao dịch do giám đốc có xung đột lợi ích quyết định, cái gọi là các vụ án "tự giao dịch" (self-dealing), hoặc các cáo buộc rằng người được ủy thác doanh nghiệp đã chiếm đoạt cho mình những cơ hội mà họ không trình bày cho công ty, tức các vụ án buộc tội giám đốc hoặc nhân viên điều hành "chiếm đoạt cơ hội của công ty" (usurping corporate opportunities). Chương này xem xét nghĩa vụ trung thành của ban quản lý trong cả hai bối cảnh. Liên quan đến đó, chúng ta cũng xem xét ở đây liệu và bằng cách nào nghĩa vụ trung thành hạn chế giám đốc và nhân viên điều hành cạnh tranh với công ty. Chắc chắn rằng, các quyết định về thù lao điều hành cũng liên quan đến nghĩa vụ trung thành của ban quản lý, cũng như các hành động của hội đồng quản trị doanh nghiệp khi cân nhắc khả năng thay đổi quyền kiểm soát công ty. Tuy nhiên, chúng ta xử lý những chủ đề đó riêng biệt lần lượt trong Chương 6 và Chương 8.</w:t>
      </w:r>
    </w:p>
    <w:p>
      <w:pPr>
        <w:pStyle w:val="Heading2"/>
      </w:pPr>
      <w:r>
        <w:rPr>
          <w:rFonts w:ascii="Calibri" w:hAnsi="Calibri"/>
          <w:b/>
          <w:i w:val="0"/>
          <w:sz w:val="32"/>
        </w:rPr>
        <w:t>I. Các giao dịch tự giao dịch</w:t>
      </w:r>
    </w:p>
    <w:p>
      <w:pPr>
        <w:spacing w:after="80"/>
      </w:pPr>
      <w:r>
        <w:rPr>
          <w:b w:val="0"/>
          <w:i w:val="0"/>
        </w:rPr>
        <w:t>Các giao dịch tự giao dịch kinh điển không chỉ bao gồm các giao dịch trực tiếp giữa công ty và một giám đốc hoặc nhân viên điều hành của công ty, mà còn bao gồm các giao dịch giữa công ty và một người hoặc thực thể mà giám đốc hoặc nhân viên điều hành đó có lợi ích gián tiếp, chẳng hạn như một mối quan hệ cá nhân bền chặt hoặc một phần vốn góp tài chính. Nhận thức được nguy cơ cơ hội chủ nghĩa gia tăng khi một người được ủy thác đứng trực tiếp hoặc gián tiếp ở cả hai phía của thỏa thuận, luật pháp đã mặc định rằng các công ty nằm ở phía thua thiệt trong những hợp đồng như vậy. Do đó, các tòa án thông luật thường tuyên bố vô hiệu các giao dịch tự giao dịch khi có phản đối từ cổ đông. Tuy nhiên, vào cuối thế kỷ 20, các thách thức của cổ đông đối với giao dịch tự giao dịch thường thất bại. Để hiểu tại sao, việc xem xét các giao dịch tự giao dịch của chúng ta bắt đầu với bài viết được trích dẫn nhiều sau đây, theo dõi sự tiến hóa của luật pháp.</w:t>
      </w:r>
    </w:p>
    <w:p>
      <w:pPr>
        <w:pStyle w:val="Heading4"/>
      </w:pPr>
      <w:r>
        <w:rPr>
          <w:rFonts w:ascii="Calibri" w:hAnsi="Calibri"/>
          <w:b/>
          <w:i w:val="0"/>
          <w:sz w:val="23"/>
        </w:rPr>
        <w:t xml:space="preserve">Harold Marsh, Jr., </w:t>
      </w:r>
      <w:r>
        <w:rPr>
          <w:rFonts w:ascii="Calibri" w:hAnsi="Calibri"/>
          <w:b/>
          <w:i/>
          <w:sz w:val="23"/>
        </w:rPr>
        <w:t>Are Directors Trustees?</w:t>
      </w:r>
      <w:r>
        <w:br/>
      </w:r>
      <w:r>
        <w:rPr>
          <w:rFonts w:ascii="Calibri" w:hAnsi="Calibri"/>
          <w:b/>
          <w:i/>
          <w:sz w:val="23"/>
        </w:rPr>
        <w:t xml:space="preserve"> Conflict of Interest and Corporate Morality</w:t>
      </w:r>
    </w:p>
    <w:p>
      <w:pPr>
        <w:spacing w:after="80"/>
      </w:pPr>
      <w:r>
        <w:rPr>
          <w:b w:val="0"/>
          <w:i w:val="0"/>
        </w:rPr>
        <w:t>22 Bus. Law. 35 (1966–67)</w:t>
      </w:r>
    </w:p>
    <w:p>
      <w:pPr>
        <w:spacing w:after="80"/>
      </w:pPr>
      <w:r>
        <w:rPr>
          <w:b w:val="0"/>
          <w:i w:val="0"/>
        </w:rPr>
        <w:t>Năm 1880, có thể khẳng định một cách chắc chắn rằng ở Hoa Kỳ, nguyên tắc chung là bất kỳ hợp đồng nào giữa một giám đốc và công ty của ông ta đều có thể bị hủy bỏ theo yêu cầu của công ty hoặc các cổ đông, bất kể giao dịch đó công bằng hay không công bằng. Nguyên tắc này đã được tuyên bố bằng những lời lẽ mạnh mẽ bởi một số tòa án và thẩm phán được đánh giá cao trong các vụ án thường phát sinh từ những vụ gian lận đường sắt vào thập niên 1860 và 1870.</w:t>
      </w:r>
    </w:p>
    <w:p>
      <w:pPr>
        <w:spacing w:after="80"/>
      </w:pPr>
      <w:r>
        <w:rPr>
          <w:b w:val="0"/>
          <w:i w:val="0"/>
        </w:rPr>
        <w:t>Theo nguyên tắc này, việc có đa số cái gọi là giám đốc không có lợi ích liên quan phê duyệt hợp đồng không quan trọng chút nào. Các tòa án tuyên bố rằng công ty có quyền được hưởng sự phán đoán và lời khuyên không thiên vị từ tất cả các giám đốc của mình, và do đó, việc nói rằng giám đốc có lợi ích liên quan không tham gia vào việc lập hợp đồng thay mặt công ty cũng chẳng ích gì. ". . . chính những lời mà ông ta khẳng định quyền của mình lại tuyên bố sai lầm của ông ta; lẽ ra ông ta phải tham gia. . . ." Hơn nữa, các tòa án nói rằng không thể đo lường được ảnh hưởng mà một giám đốc có thể gây ra đối với các đồng nghiệp của mình, ngay cả khi bề ngoài ông ta kiềm chế không tham gia vào cuộc thảo luận hoặc biểu quyết. ". . . một công ty, để đánh bại một hợp đồng được các giám đốc giao kết, trong đó một hoặc nhiều người trong số họ có lợi ích riêng, không buộc phải chứng minh rằng ảnh hưởng của giám đốc hoặc các giám đốc có lợi ích riêng đã quyết định hành động của hội đồng quản trị. Luật pháp không thể đo lường chính xác ảnh hưởng của một người được ủy thác đối với các đồng nghiệp của mình, cũng sẽ không đi sâu vào cuộc điều tra đó. . . ."</w:t>
      </w:r>
    </w:p>
    <w:p>
      <w:pPr>
        <w:spacing w:after="80"/>
      </w:pPr>
      <w:r>
        <w:rPr>
          <w:b w:val="0"/>
          <w:i w:val="0"/>
        </w:rPr>
        <w:t>Có lẽ lý do mạnh mẽ nhất cho sự cứng nhắc này của luật pháp đã được Tòa án Tối cao Maryland đưa ra, khi tuyên bố rằng, khi một hợp đồng được lập với thậm chí chỉ một trong các giám đốc, "các giám đốc còn lại bị đặt vào vị trí khó xử và đáng ghét là phải phán xét, xem xét kỹ lưỡng và kiểm tra các giao dịch và tài khoản của một người trong chính hàng ngũ của họ, người mà họ liên kết trên cơ sở bình đẳng trong việc quản lý chung mọi công việc của công ty." Hoặc, như Thẩm phán Davies của Tòa án Tối cao New York đã diễn đạt cùng một ý tưởng: "Ngay khi các giám đốc cho phép một hoặc nhiều người trong số họ giao dịch với tài sản của các cổ đông, họ đã từ bỏ chính sự độc lập và khả năng tự chủ của mình." Nguyên tắc này không chỉ áp dụng cho các hợp đồng cá nhân với giám đốc, mà còn áp dụng cho tình huống các ban giám đốc đan chéo nhau, nơi thậm chí một thiểu số trong các hội đồng quản trị là chung cho cả hai công ty giao kết. Không chỉ vậy, nó còn được áp dụng cho tình huống một công ty sở hữu phần lớn cổ phần của một công ty khác và bổ nhiệm các giám đốc của công ty đó, ngay cả khi họ có thể không phải là những người ngồi trong hội đồng quản trị của công ty mẹ. Thật thú vị khi lưu ý rằng các tòa án trong thời kỳ này không gặp khó khăn gì trong việc nhận diện cái gọi là giám đốc bù nhìn, mặc dù sau này việc họ không thể làm được điều đó lại được đưa ra như một trong những lý do khiến nguyên tắc luật pháp này phải bị từ bỏ.</w:t>
      </w:r>
    </w:p>
    <w:p>
      <w:pPr>
        <w:spacing w:after="80"/>
      </w:pPr>
      <w:r>
        <w:rPr>
          <w:b w:val="0"/>
          <w:i w:val="0"/>
        </w:rPr>
        <w:t>Nguyên tắc này, tuyệt đối ngăn cấm các hợp đồng giữa một công ty và các giám đốc của nó hoặc bất kỳ ai trong số họ, dường như bất khả xâm phạm vào năm 1880. Nó đã được tuyên bố bằng những lời lẽ hùng hồn bởi hầu như mọi vụ án đã được phán quyết, với những lập luận dường như không thể bác bỏ, và nó đã được thừa nhận qua thời gian. . . . Ba mươi năm sau, nguyên tắc này đã chết.</w:t>
      </w:r>
    </w:p>
    <w:p>
      <w:pPr>
        <w:spacing w:after="80"/>
      </w:pPr>
      <w:r>
        <w:rPr>
          <w:b w:val="0"/>
          <w:i w:val="0"/>
        </w:rPr>
        <w:t>Phê duyệt bởi đa số giám đốc không có lợi ích liên quan</w:t>
      </w:r>
    </w:p>
    <w:p>
      <w:pPr>
        <w:spacing w:after="80"/>
      </w:pPr>
      <w:r>
        <w:rPr>
          <w:b w:val="0"/>
          <w:i w:val="0"/>
        </w:rPr>
        <w:t>Năm 1910, có thể khẳng định với sự chắc chắn hợp lý rằng nguyên tắc chung là một hợp đồng giữa một giám đốc và công ty của ông ta là hợp lệ nếu nó được đa số các giám đốc đồng nghiệp không có lợi ích liên quan phê duyệt và không bị tòa án phát hiện là không công bằng hoặc gian lận nếu bị thách thức; nhưng một hợp đồng mà đa số hội đồng quản trị có lợi ích liên quan thì có thể bị hủy bỏ theo yêu cầu của công ty hoặc các cổ đông mà không cần xét đến bất kỳ vấn đề công bằng nào.</w:t>
      </w:r>
    </w:p>
    <w:p>
      <w:pPr>
        <w:spacing w:after="80"/>
      </w:pPr>
      <w:r>
        <w:rPr>
          <w:b w:val="0"/>
          <w:i w:val="0"/>
        </w:rPr>
        <w:t>Người ta tìm kiếm vô ích trong các vụ án đã được phán quyết để tìm một sự biện hộ có lý lẽ cho sự thay đổi này trong triết lý pháp lý, hoặc cho bất kỳ nỗ lực nhỏ nhất nào nhằm bác bỏ những lập luận mạnh mẽ đã được đưa ra để ủng hộ nguyên tắc trước đó. Phải chăng các tòa án đã phát hiện ra trong phần tư cuối của thế kỷ 19 rằng lòng tham không còn là một yếu tố trong hành vi con người nữa? Nếu vậy, họ đã không chia sẻ cơ sở của phát hiện này với công chúng; cũng không khiêm tốn thừa nhận sai lầm của mình khi đối mặt với làn sóng gian lận doanh nghiệp tiếp theo phát sinh từ thời kỳ hình thành các "tín thác" (trusts) trong thập niên 1890 và đầu thập niên 1900. Lời giải thích duy nhất dường như đã được đưa ra cho sự thay đổi lập trường này là lời giải thích mang tính kỹ thuật rằng một người được ủy thác, tuy bị cấm giao dịch với chính mình liên quan đến tài sản tín thác, có thể giao dịch trực tiếp với người thụ hưởng tín thác (cestui que trust) nếu ông ta công bố đầy đủ và không lợi dụng bất công; và rằng trường hợp một giám đốc kiềm chế không đại diện cho công ty mà giao dịch với tư cách cá nhân với đa số giám đốc không có lợi ích liên quan được ví đúng đắn với một người được ủy thác giao dịch với người thụ hưởng tín thác. . . .</w:t>
      </w:r>
    </w:p>
    <w:p>
      <w:pPr>
        <w:spacing w:after="80"/>
      </w:pPr>
      <w:r>
        <w:rPr>
          <w:b w:val="0"/>
          <w:i w:val="0"/>
        </w:rPr>
        <w:t xml:space="preserve">Nhưng không có vụ án nào có bất kỳ cuộc thảo luận hoặc nỗ lực bác bỏ nào đối với những lý do mà các tòa án trước đây đã đưa ra về việc 'tại sao trong tình huống như vậy, không thể có bất kỳ giám đốc nào là không có lợi ích liên quan.' Một số tòa án dường như chỉ đơn giản thừa nhận rằng thực tiễn này đã trở nên quá phổ biến để họ có thể đối phó. Trong vụ </w:t>
      </w:r>
      <w:r>
        <w:rPr>
          <w:b w:val="0"/>
          <w:i/>
        </w:rPr>
        <w:t>South Side Trust Co. v. Washington Tin Plate Co.</w:t>
      </w:r>
      <w:r>
        <w:rPr>
          <w:b w:val="0"/>
          <w:i w:val="0"/>
        </w:rPr>
        <w:t>, Tòa án Tối cao Pennsylvania nói: "Lợi ích của các công ty đôi khi đan xen đến mức mong muốn có những người đại diện chung trong ban quản lý tương ứng của họ, và dù sao đi nữa đó là một thực tiễn không hiếm gặp và [do đó?] không bất hợp pháp."</w:t>
      </w:r>
    </w:p>
    <w:p>
      <w:pPr>
        <w:spacing w:after="80"/>
      </w:pPr>
      <w:r>
        <w:rPr>
          <w:b w:val="0"/>
          <w:i w:val="0"/>
        </w:rPr>
        <w:t>Xem xét tư pháp về tính công bằng của giao dịch</w:t>
      </w:r>
    </w:p>
    <w:p>
      <w:pPr>
        <w:spacing w:after="80"/>
      </w:pPr>
      <w:r>
        <w:rPr>
          <w:b w:val="0"/>
          <w:i w:val="0"/>
        </w:rPr>
        <w:t>Đến năm 1960, có thể nói với một chút chắc chắn rằng nguyên tắc chung là không có giao dịch nào của một công ty với bất kỳ hoặc tất cả các giám đốc của nó tự động bị hủy bỏ theo đơn kiện của một cổ đông, bất kể có đa số hội đồng quản trị không có lợi ích liên quan hay không; nhưng các tòa án sẽ xem xét một hợp đồng như vậy và đưa nó vào sự kiểm tra nghiêm ngặt và kỹ lưỡng, và sẽ vô hiệu hóa hợp đồng nếu phát hiện nó không công bằng với công ty.</w:t>
      </w:r>
    </w:p>
    <w:p>
      <w:pPr>
        <w:spacing w:after="80"/>
      </w:pPr>
      <w:r>
        <w:rPr>
          <w:b w:val="0"/>
          <w:i w:val="0"/>
        </w:rPr>
        <w:t>Hiệu lực của việc cổ đông phê chuẩn</w:t>
      </w:r>
    </w:p>
    <w:p>
      <w:pPr>
        <w:spacing w:after="80"/>
      </w:pPr>
      <w:r>
        <w:rPr>
          <w:b w:val="0"/>
          <w:i w:val="0"/>
        </w:rPr>
        <w:t xml:space="preserve">Một yếu tố mà chúng ta chưa đề cập đến là hiệu lực, theo bất kỳ quy tắc nào đã thảo luận ở trên, của việc cổ đông phê chuẩn giao dịch sau khi đã công bố đầy đủ thông tin, ngay cả khi giao dịch đó lẽ ra có thể bị vô hiệu một cách tự động vì không đáp ứng các tiêu chuẩn cần thiết cho hành động của ban giám đốc. Tất cả các án lệ dường như đều cho rằng việc phê chuẩn như vậy đủ để xác nhận tính hợp lệ của giao dịch với một giám đốc có quyền lợi liên quan, ít nhất là khi không có gian lận hoặc sự bất công. Hơn nữa, cổ phần của giám đốc hoặc các giám đốc có quyền lợi liên quan có thể được biểu quyết về vấn đề phê chuẩn, và </w:t>
      </w:r>
      <w:r>
        <w:rPr>
          <w:b w:val="0"/>
          <w:i/>
        </w:rPr>
        <w:t>với tư cách cổ đông</w:t>
      </w:r>
      <w:r>
        <w:rPr>
          <w:b w:val="0"/>
          <w:i w:val="0"/>
        </w:rPr>
        <w:t xml:space="preserve"> họ có thể bỏ lá phiếu quyết định. Tất nhiên, theo hầu hết các án lệ, ngay cả cổ đông cũng không thể phê chuẩn một cách hiệu quả một giao dịch gian lận, mặc dù theo một số tòa án, họ có thể quyết định rằng việc kiện tụng là không nên và qua đó chặn đứng mọi nỗ lực của một cổ đông thiểu số nhằm thách thức một giao dịch bị cáo buộc là gian lận.</w:t>
      </w:r>
    </w:p>
    <w:p>
      <w:pPr>
        <w:pStyle w:val="Heading5"/>
      </w:pPr>
      <w:r>
        <w:rPr>
          <w:rFonts w:ascii="Calibri" w:hAnsi="Calibri"/>
          <w:b/>
          <w:i/>
          <w:sz w:val="22"/>
        </w:rPr>
        <w:t>Bình luận và Câu hỏi</w:t>
      </w:r>
    </w:p>
    <w:p>
      <w:pPr>
        <w:spacing w:after="80"/>
      </w:pPr>
      <w:r>
        <w:rPr>
          <w:b w:val="0"/>
          <w:i w:val="0"/>
        </w:rPr>
        <w:t>1. Một số vấn đề với quy tắc ban đầu cho rằng mọi hợp đồng tự giao dịch (self-dealing) đều mặc nhiên có thể bị vô hiệu là gì? Những sự kiện nào có thể khiến một tòa án thông luật (common law) đi chệch khỏi quy tắc đó? Tại sao không giả định rằng các giám đốc và cán bộ điều hành có xung đột lợi ích sẽ đặt lợi ích của công ty trong giao dịch lên trên lợi ích riêng của họ?</w:t>
      </w:r>
    </w:p>
    <w:p>
      <w:pPr>
        <w:spacing w:after="80"/>
      </w:pPr>
      <w:r>
        <w:rPr>
          <w:b w:val="0"/>
          <w:i w:val="0"/>
        </w:rPr>
        <w:t>2. Liệu những nhà quản lý lão luyện có thể cấu trúc các giao dịch để che giấu lợi ích riêng của họ không? Bằng cách nào? Khi một giám đốc hoặc cán bộ điều hành công bố đầy đủ về xung đột lợi ích của mình, liệu pháp luật có nên giả định rằng người đó đã hành động vì lợi ích tốt nhất của công ty không? Tại sao có hoặc tại sao không?</w:t>
      </w:r>
    </w:p>
    <w:p>
      <w:pPr>
        <w:spacing w:after="80"/>
      </w:pPr>
      <w:r>
        <w:rPr>
          <w:b w:val="0"/>
          <w:i w:val="0"/>
        </w:rPr>
        <w:t>3. Trong khi thông luật không cấm thẳng thừng các giao dịch giữa công ty và những người có nghĩa vụ ủy thác (fiduciary) của nó, các tòa án đã điều chỉnh những hợp đồng như vậy chặt chẽ hơn vào đầu thế kỷ 20 so với ngày nay. Theo Giáo sư Marsh, các tòa án dần chuyển việc xem xét các giao dịch tự giao dịch sang một phân tích bao gồm cả nội dung (tính công bằng của giao dịch) lẫn quy trình (việc phê duyệt giao dịch bởi các giám đốc không có quyền lợi liên quan và/hoặc cổ đông). Liệu sự phê duyệt có đầy đủ thông tin của đa số các giám đốc không có quyền lợi liên quan có nên ngăn cản việc tòa án xem xét tính công bằng của giao dịch không? Những sự kiện nào sẽ cho bạn đủ tự tin vào quy trình đến mức bạn cảm thấy thoải mái dựa vào sự phê duyệt của ban giám đốc? Liệu công ty có được bảo vệ đầy đủ khỏi những giao dịch bất công thông qua một quy trình tốt không? Tại sao có hoặc tại sao không?</w:t>
      </w:r>
    </w:p>
    <w:p>
      <w:pPr>
        <w:spacing w:after="80"/>
      </w:pPr>
      <w:r>
        <w:rPr>
          <w:b w:val="0"/>
          <w:i w:val="0"/>
        </w:rPr>
        <w:t xml:space="preserve">4. Liệu các giám đốc có bao giờ thực sự trung lập khi phê duyệt một giao dịch giữa công ty và một CEO đồng thời là chủ tịch hội đồng quản trị không? Điều gì sẽ xảy ra nếu CEO/chủ tịch vắng mặt trong phiên thảo luận? Thẩm phán Cardozo đã viết trong một ý kiến nổi tiếng khác: “Các thành viên của ủy ban [hội đồng quản trị], khi lần đầu nghe về hợp đồng, biết rằng nó đã được soạn thảo bởi chủ tọa cuộc họp. Họ được ông trấn an ngay trước mặt rằng nó là công bằng và hợp lý. Niềm tin vào lòng trung thành của ông đã gỡ bỏ mọi nghi ngờ.” </w:t>
      </w:r>
      <w:r>
        <w:rPr>
          <w:b w:val="0"/>
          <w:i/>
        </w:rPr>
        <w:t>Globe Woolen Co. v. Utica Gas and Electric Co.</w:t>
      </w:r>
      <w:r>
        <w:rPr>
          <w:b w:val="0"/>
          <w:i w:val="0"/>
        </w:rPr>
        <w:t xml:space="preserve"> , 224 N.Y. 483 (1918). Liệu ảnh hưởng này có bao giờ có thể bị loại bỏ hoàn toàn không?</w:t>
      </w:r>
    </w:p>
    <w:p>
      <w:pPr>
        <w:spacing w:after="80"/>
      </w:pPr>
      <w:r>
        <w:rPr>
          <w:b w:val="0"/>
          <w:i w:val="0"/>
        </w:rPr>
        <w:t>5. Giáo sư Marsh lưu ý rằng các tòa án yêu cầu việc phê duyệt các giao dịch tự giao dịch phải do tất cả cổ đông, bao gồm cả những cổ phần do giám đốc có xung đột lợi ích sở hữu. Liệu cơ chế này có mang lại sự bảo vệ tốt hơn cho công ty so với việc ban giám đốc phê duyệt không? Tại sao có hoặc tại sao không? Việc cổ đông phê duyệt giao dịch tự giao dịch mang lại sự an tâm nhiều hơn hay ít hơn cho các tòa án khi xem xét các hợp đồng giữa các công ty đại chúng và những người có nghĩa vụ ủy thác của công ty?</w:t>
      </w:r>
    </w:p>
    <w:p>
      <w:pPr>
        <w:spacing w:after="80"/>
      </w:pPr>
      <w:r>
        <w:rPr>
          <w:b w:val="0"/>
          <w:i w:val="0"/>
        </w:rPr>
        <w:t>6. Đến những năm 1960, theo Giáo sư Marsh, các giao dịch tự giao dịch không bị vô hiệu, bất kể phương thức phê duyệt nào, trừ khi chúng bất công. Đó có phải là kết quả đúng đắn không? Nếu vấn đề xoay quanh tính công bằng, thì đâu là sự liên quan, nếu có, của bằng chứng rằng giao dịch đã được phê duyệt bởi các giám đốc không có quyền lợi liên quan hoặc bởi cổ đông?</w:t>
      </w:r>
    </w:p>
    <w:p>
      <w:pPr>
        <w:spacing w:after="80"/>
      </w:pPr>
      <w:r>
        <w:rPr>
          <w:b w:val="0"/>
          <w:i w:val="0"/>
        </w:rPr>
        <w:t>—————</w:t>
      </w:r>
    </w:p>
    <w:p>
      <w:pPr>
        <w:spacing w:after="80"/>
      </w:pPr>
      <w:r>
        <w:rPr>
          <w:b w:val="0"/>
          <w:i w:val="0"/>
        </w:rPr>
        <w:t>Khi việc điều chỉnh tư pháp đối với hành vi tự giao dịch của ban quản lý phát triển trong thế kỷ trước, học thuyết về công ty trở nên ngày càng bất định và thiếu thống nhất. Trước những lo ngại như vậy, các nhà lập pháp tiểu bang đã chọn cách can thiệp bằng việc thông qua các quy định luật thành văn đặc biệt nhằm mang lại chút chắc chắn cho lĩnh vực này. Theo bước California và các tiểu bang khác, cơ quan lập pháp của Delaware đã ban hành Mục 144 của Luật Công ty Đại chúng Delaware (Delaware General Corporation Law). Quy chế này xác lập rằng một giao dịch thuộc phạm vi điều chỉnh sẽ không bị vô hiệu chỉ dựa trên xung đột lợi ích của người có nghĩa vụ ủy thác trong những trường hợp nhất định.</w:t>
      </w:r>
    </w:p>
    <w:p>
      <w:pPr>
        <w:spacing w:after="80"/>
      </w:pPr>
      <w:r>
        <w:rPr>
          <w:b/>
          <w:i w:val="0"/>
        </w:rPr>
        <w:t>DGCL § 144. Giám đốc có quyền lợi liên quan; số đại biểu hợp lệ.</w:t>
      </w:r>
    </w:p>
    <w:p>
      <w:pPr>
        <w:spacing w:after="80"/>
      </w:pPr>
      <w:r>
        <w:rPr>
          <w:b w:val="0"/>
          <w:i w:val="0"/>
        </w:rPr>
        <w:t>(a) Không hợp đồng hay giao dịch nào giữa một công ty và 1 hoặc nhiều giám đốc hoặc cán bộ điều hành của nó, hoặc giữa một công ty và bất kỳ công ty, hợp danh, hiệp hội hay tổ chức nào khác mà trong đó 1 hoặc nhiều giám đốc hoặc cán bộ điều hành của nó là giám đốc hoặc cán bộ điều hành, hoặc có lợi ích tài chính, sẽ bị vô hiệu hoặc có thể bị vô hiệu chỉ vì lý do này, hoặc chỉ vì giám đốc hoặc cán bộ điều hành đó có mặt tại hoặc tham gia vào cuộc họp của ban giám đốc hoặc ủy ban vốn cho phép hợp đồng hay giao dịch đó, hoặc chỉ vì phiếu của bất kỳ giám đốc hoặc cán bộ điều hành nào như vậy được tính cho mục đích đó, nếu:</w:t>
      </w:r>
    </w:p>
    <w:p>
      <w:pPr>
        <w:spacing w:after="80"/>
      </w:pPr>
      <w:r>
        <w:rPr>
          <w:b w:val="0"/>
          <w:i w:val="0"/>
        </w:rPr>
        <w:t>(1) Những sự kiện trọng yếu về mối quan hệ hoặc lợi ích của giám đốc hoặc cán bộ điều hành và về hợp đồng hay giao dịch đó được công bố hoặc được ban giám đốc hoặc ủy ban biết đến, và ban giám đốc hoặc ủy ban thiện chí cho phép hợp đồng hay giao dịch đó bằng phiếu thuận của đa số các giám đốc không có quyền lợi liên quan, ngay cả khi các giám đốc không có quyền lợi liên quan ít hơn số đại biểu hợp lệ; hoặc</w:t>
      </w:r>
    </w:p>
    <w:p>
      <w:pPr>
        <w:spacing w:after="80"/>
      </w:pPr>
      <w:r>
        <w:rPr>
          <w:b w:val="0"/>
          <w:i w:val="0"/>
        </w:rPr>
        <w:t>(2) Những sự kiện trọng yếu về mối quan hệ hoặc lợi ích của giám đốc hoặc cán bộ điều hành và về hợp đồng hay giao dịch đó được công bố hoặc được các cổ đông có quyền biểu quyết về vấn đề đó biết đến, và hợp đồng hay giao dịch đó được phê duyệt cụ thể một cách thiện chí bằng phiếu của cổ đông; hoặc</w:t>
      </w:r>
    </w:p>
    <w:p>
      <w:pPr>
        <w:spacing w:after="80"/>
      </w:pPr>
      <w:r>
        <w:rPr>
          <w:b w:val="0"/>
          <w:i w:val="0"/>
        </w:rPr>
        <w:t>(3) Hợp đồng hay giao dịch đó là công bằng đối với công ty tại thời điểm nó được cho phép, phê duyệt hoặc phê chuẩn, bởi ban giám đốc, một ủy ban hoặc các cổ đông.</w:t>
      </w:r>
    </w:p>
    <w:p>
      <w:pPr>
        <w:spacing w:after="80"/>
      </w:pPr>
      <w:r>
        <w:rPr>
          <w:b w:val="0"/>
          <w:i w:val="0"/>
        </w:rPr>
        <w:t>(b) Các giám đốc thông thường hoặc có quyền lợi có thể được tính vào việc xác định sự hiện diện của một túc số tại cuộc họp của hội đồng quản trị hoặc của một ủy ban mà ủy ban đó cho phép hợp đồng hoặc giao dịch.</w:t>
      </w:r>
    </w:p>
    <w:p>
      <w:pPr>
        <w:pStyle w:val="Heading5"/>
      </w:pPr>
      <w:r>
        <w:rPr>
          <w:rFonts w:ascii="Calibri" w:hAnsi="Calibri"/>
          <w:b/>
          <w:i/>
          <w:sz w:val="22"/>
        </w:rPr>
        <w:t>Bình luận và Câu hỏi</w:t>
      </w:r>
    </w:p>
    <w:p>
      <w:pPr>
        <w:spacing w:after="80"/>
      </w:pPr>
      <w:r>
        <w:rPr>
          <w:b w:val="0"/>
          <w:i w:val="0"/>
        </w:rPr>
        <w:t>1. Những giao dịch nào được điều chỉnh bởi Mục 144? Những giao dịch nào nằm ngoài phạm vi của đạo luật?</w:t>
      </w:r>
    </w:p>
    <w:p>
      <w:pPr>
        <w:spacing w:after="80"/>
      </w:pPr>
      <w:r>
        <w:rPr>
          <w:b w:val="0"/>
          <w:i w:val="0"/>
        </w:rPr>
        <w:t>2. Tiểu mục (a)(1) áp dụng cho việc phê duyệt thiện chí bằng số phiếu thuận của đa số các “giám đốc không có quyền lợi”. Tiểu mục (a)(2) áp dụng cho việc phê duyệt thiện chí bằng một “phiếu bầu của các cổ đông”. Sự khác biệt giữa hai tiêu chuẩn này là gì? Sự so sánh này cho chúng ta biết điều gì, nếu có, về mục đích của Mục 144?</w:t>
      </w:r>
    </w:p>
    <w:p>
      <w:pPr>
        <w:spacing w:after="80"/>
      </w:pPr>
      <w:r>
        <w:rPr>
          <w:b w:val="0"/>
          <w:i w:val="0"/>
        </w:rPr>
        <w:t>3. Đạo luật được viết theo lối tuyển chọn (disjunctive). Hệ quả của cách tiếp cận này là gì? Theo ngôn ngữ của đạo luật, liệu hội đồng quản trị có thể hợp pháp tham gia vào một giao dịch không công bằng không?</w:t>
      </w:r>
    </w:p>
    <w:p>
      <w:pPr>
        <w:spacing w:after="80"/>
      </w:pPr>
      <w:r>
        <w:rPr>
          <w:b w:val="0"/>
          <w:i w:val="0"/>
        </w:rPr>
        <w:t>—————</w:t>
      </w:r>
    </w:p>
    <w:p>
      <w:pPr>
        <w:spacing w:after="80"/>
      </w:pPr>
      <w:r>
        <w:rPr>
          <w:b w:val="0"/>
          <w:i w:val="0"/>
        </w:rPr>
        <w:t>Hiệu lực của việc tuân thủ đạo luật về vùng an toàn (safe harbor) là gì? Giả sử một giao dịch không thể bị vô hiệu theo Mục 144, liệu nó vẫn có thể bị thách thức không? Trên những căn cứ nào? Đạo luật có đề cập đến câu hỏi này không? Các án lệ ở Delaware ban đầu cho rằng nó không đề cập.</w:t>
      </w:r>
    </w:p>
    <w:p>
      <w:pPr>
        <w:pStyle w:val="Heading4"/>
      </w:pPr>
      <w:r>
        <w:rPr>
          <w:rFonts w:ascii="Calibri" w:hAnsi="Calibri"/>
          <w:b/>
          <w:i w:val="0"/>
          <w:sz w:val="23"/>
        </w:rPr>
        <w:t>Fliegler v. Lawrence</w:t>
      </w:r>
    </w:p>
    <w:p>
      <w:pPr>
        <w:spacing w:after="80"/>
      </w:pPr>
      <w:r>
        <w:rPr>
          <w:b w:val="0"/>
          <w:i w:val="0"/>
        </w:rPr>
        <w:t>Tòa án Tối cao Delaware</w:t>
      </w:r>
      <w:r>
        <w:br/>
      </w:r>
      <w:r>
        <w:rPr>
          <w:b w:val="0"/>
          <w:i w:val="0"/>
        </w:rPr>
        <w:t xml:space="preserve"> 361 A.2d 218 (1976)</w:t>
      </w:r>
    </w:p>
    <w:p>
      <w:pPr>
        <w:spacing w:after="80"/>
      </w:pPr>
      <w:r>
        <w:rPr>
          <w:b w:val="0"/>
          <w:i w:val="0"/>
        </w:rPr>
        <w:t>THẨM PHÁN MC NEILLY :</w:t>
      </w:r>
    </w:p>
    <w:p>
      <w:pPr>
        <w:spacing w:after="80"/>
      </w:pPr>
      <w:r>
        <w:rPr>
          <w:b w:val="0"/>
          <w:i w:val="0"/>
        </w:rPr>
        <w:t>Vào tháng 11 năm 1969, bị đơn, John C. Lawrence (khi đó là chủ tịch của Agau, một công ty đại chúng hoạt động trong liên doanh thăm dò vàng và bạc hai giai đoạn) với tư cách cá nhân, đã mua một số bất động sản antimony theo một quyền chọn thuê với giá $60,000. Lawrence đề nghị chuyển nhượng các bất động sản, khi đó là “một triển vọng thô”, cho Agau, nhưng sau khi tham khảo ý kiến các thành viên khác trong hội đồng quản trị của Agau, ông và họ đồng ý rằng tình hình pháp lý và tài chính của công ty sẽ không cho phép mua lại và phát triển các bất động sản vào thời điểm đó. Do đó, người ta quyết định chuyển nhượng các bất động sản cho USAC, (một công ty sở hữu hẹp được thành lập chỉ cho mục đích này và phần lớn cổ phần của nó thuộc sở hữu của các bị đơn cá nhân) nơi có thể huy động vốn cần thiết để phát triển các bất động sản mà không gây rủi ro cho Agau thông qua việc bán cổ phiếu USAC; người ta cũng quyết định trao cho Agau một quyền chọn dài hạn để mua lại USAC nếu các bất động sản tỏ ra có giá trị thương mại.</w:t>
      </w:r>
    </w:p>
    <w:p>
      <w:pPr>
        <w:spacing w:after="80"/>
      </w:pPr>
      <w:r>
        <w:rPr>
          <w:b w:val="0"/>
          <w:i w:val="0"/>
        </w:rPr>
        <w:t>Vào tháng 1 năm 1970, thỏa thuận quyền chọn được Agau và USAC ký kết. Khi được thực hiện và phê duyệt bởi các cổ đông của Agau, Agau sẽ giao 800,000 cổ phiếu đầu tư hạn chế của mình để đổi lấy toàn bộ cổ phiếu được ủy quyền và đã phát hành của USAC. Việc trao đổi được tính toán trên cơ sở hoàn trả cho USAC và các cổ đông của nó các chi phí phát triển các bất động sản đến mức có thể xác định được liệu chúng có giá trị thương mại hay không. Những chi phí như vậy được dự kiến dao động từ $250,000 đến $500,000. Vào thời điểm kế hoạch được hình thành, cổ phiếu Agau được giao dịch phi tập trung (over-the-counter), giá chào mua ở mức $5/8 đến $3/4 và giá chào bán ở mức $1 đến $1 1/4. Áp dụng cho các báo giá này mức chiết khấu 50% cho các hạn chế đầu tư, các bên đồng ý rằng 800,000 cổ phiếu Agau sẽ phản ánh phạm vi chi phí dự kiến trong việc phát triển USAC và do đó, con số đó đã được thông qua.</w:t>
      </w:r>
    </w:p>
    <w:p>
      <w:pPr>
        <w:spacing w:after="80"/>
      </w:pPr>
      <w:r>
        <w:rPr>
          <w:b w:val="0"/>
          <w:i w:val="0"/>
        </w:rPr>
        <w:t>Vào tháng 7 năm 1970, hội đồng quản trị Agau đã nghị quyết thực hiện quyền chọn, một hành động đã được phê duyệt bằng đa số phiếu của các cổ đông vào tháng 10 năm 1970. Sau đó, nguyên đơn đã khởi kiện vụ án này thay mặt cho Agau để đòi lại 800,000 cổ phiếu và yêu cầu quyết toán.</w:t>
      </w:r>
    </w:p>
    <w:p>
      <w:pPr>
        <w:spacing w:after="80"/>
      </w:pPr>
      <w:r>
        <w:rPr>
          <w:b w:val="0"/>
          <w:i w:val="0"/>
        </w:rPr>
        <w:t xml:space="preserve">Nguyên đơn lập luận rằng vì các bị đơn cá nhân đã thu lợi cá nhân thông qua việc sử dụng các nguồn lực của Agau, </w:t>
      </w:r>
      <w:r>
        <w:rPr>
          <w:b w:val="0"/>
          <w:i/>
        </w:rPr>
        <w:t>cụ thể là</w:t>
      </w:r>
      <w:r>
        <w:rPr>
          <w:b w:val="0"/>
          <w:i w:val="0"/>
        </w:rPr>
        <w:t xml:space="preserve"> , nhân sự (chủ yếu là Lawrence) để phát triển các bất động sản USAC và các chứng quyền mua cổ phiếu để bảo đảm một khoản nợ $300,000 (do USAC phát sinh vì nó không thể huy động đủ vốn thông qua việc bán cổ phiếu), họ phải bị buộc phải quyết toán cho Agau về khoản lợi nhuận đó. Lập luận này giả định trước rằng các bị đơn thực sự đã lạm dụng tài sản của công ty như vậy; tuy nhiên, hồ sơ cho thấy có bằng chứng đáng kể để hỗ trợ kết luận của Phó Thẩm phán rằng không có sự lạm dụng nào đối với nhân sự hoặc chứng quyền của Agau. Việc phát hành các chứng quyền trên thực tế đã làm tăng giá trị quyền chọn của Agau vào thời điểm có lý do để tin rằng các bất động sản antimony của USAC có “tiềm năng đáng kể”, và nguyên đơn đã không chứng minh được rằng việc sử dụng nhân sự và thiết bị của Agau bị cáo buộc là gây bất lợi cho công ty.</w:t>
      </w:r>
    </w:p>
    <w:p>
      <w:pPr>
        <w:spacing w:after="80"/>
      </w:pPr>
      <w:r>
        <w:rPr>
          <w:b w:val="0"/>
          <w:i w:val="0"/>
        </w:rPr>
        <w:t>Tuy nhiên, cuộc điều tra của chúng tôi không thể dừng lại ở đây, vì rõ ràng rằng các bị đơn cá nhân đã đứng ở cả hai phía của giao dịch trong việc thực hiện và ấn định các điều khoản của thỏa thuận quyền chọn. Theo đó, nghĩa vụ chứng minh thuộc về họ để chứng minh tính công bằng nội tại. . . . Chúng tôi đồng ý với Phó Thẩm phán rằng hồ sơ không cho thấy sự bất thiện chí nào từ phía các bị đơn cá nhân. Nhưng điều đó không mang tính quyết định. Vấn đề là liệu 800,000 cổ phiếu đầu tư hạn chế của Agau, một cách khách quan, có phải là một mức giá công bằng để Agau trả cho USAC với tư cách là một công ty con sở hữu toàn phần hay không.</w:t>
      </w:r>
    </w:p>
    <w:p>
      <w:pPr>
        <w:spacing w:after="80"/>
      </w:pPr>
      <w:r>
        <w:rPr>
          <w:b w:val="0"/>
          <w:i w:val="0"/>
        </w:rPr>
        <w:t>Trước tiên, các bị đơn lập luận rằng họ đã được giải phóng khỏi nghĩa vụ chứng minh tính công bằng nhờ việc các cổ đông phê chuẩn quyết định của Hội đồng quản trị về việc thực hiện quyền chọn. . . .</w:t>
      </w:r>
    </w:p>
    <w:p>
      <w:pPr>
        <w:spacing w:after="80"/>
      </w:pPr>
      <w:r>
        <w:rPr>
          <w:b w:val="0"/>
          <w:i w:val="0"/>
        </w:rPr>
        <w:t>Việc phê chuẩn được cho là của các cổ đông Agau sẽ không ảnh hưởng đến nghĩa vụ chứng minh trong vụ án này, bởi vì phần lớn số cổ phần được bỏ phiếu tán thành việc thực hiện quyền chọn đều do các bị đơn bỏ phiếu với tư cách là cổ đông Agau. Chỉ khoảng một phần ba số cổ đông "không có quyền lợi liên quan" (disinterested) đã bỏ phiếu, và chúng ta không thể mặc nhiên cho rằng những cổ đông không bỏ phiếu đó hoặc là đã tán thành hoặc là đã không tán thành. Trong hoàn cảnh như vậy, chúng ta không thể nói rằng "toàn bộ bầu không khí đã được làm mới" và rằng việc rời bỏ phép thử công bằng khách quan là được phép. . . . Tóm lại, các bị đơn đã không chứng minh được trên thực tế một cơ sở để áp dụng Gottlieb.</w:t>
      </w:r>
    </w:p>
    <w:p>
      <w:pPr>
        <w:spacing w:after="80"/>
      </w:pPr>
      <w:r>
        <w:rPr>
          <w:b w:val="0"/>
          <w:i w:val="0"/>
        </w:rPr>
        <w:t>Chúng tôi cũng không cho rằng Cơ quan Lập pháp có ý định một chính sách và quy tắc trái ngược lại sẽ chiếm ưu thế khi ban hành 8 Del.C. § 144, trong đó quy định một phần như sau:</w:t>
      </w:r>
    </w:p>
    <w:p>
      <w:pPr>
        <w:spacing w:after="80"/>
      </w:pPr>
      <w:r>
        <w:rPr>
          <w:b w:val="0"/>
          <w:i w:val="0"/>
        </w:rPr>
        <w:t>(a) Không một hợp đồng hay giao dịch nào giữa một công ty và 1 hoặc nhiều giám đốc hay viên chức của công ty đó, hoặc giữa một công ty và bất kỳ công ty, công ty hợp danh, hiệp hội hay tổ chức nào khác mà trong đó 1 hoặc nhiều giám đốc hay viên chức của công ty đó là giám đốc hoặc viên chức, hoặc có lợi ích tài chính, sẽ bị vô hiệu hay có thể bị vô hiệu chỉ vì lý do này, hoặc chỉ vì giám đốc hay viên chức đó có mặt tại hoặc tham gia vào cuộc họp của hội đồng quản trị hay ủy ban có thẩm quyền phê chuẩn hợp đồng hay giao dịch đó, hoặc chỉ vì phiếu của người đó hay của họ được tính cho mục đích đó, nếu:</w:t>
      </w:r>
    </w:p>
    <w:p>
      <w:pPr>
        <w:spacing w:after="80"/>
      </w:pPr>
      <w:r>
        <w:rPr>
          <w:b w:val="0"/>
          <w:i w:val="0"/>
        </w:rPr>
        <w:t>(1) Những sự kiện quan trọng về mối quan hệ hay lợi ích của người đó và về hợp đồng hay giao dịch đó được tiết lộ hoặc được hội đồng quản trị hay ủy ban biết rõ, và hội đồng quản trị hay ủy ban thiện chí phê chuẩn hợp đồng hay giao dịch đó bằng phiếu tán thành của đa số các giám đốc không có quyền lợi liên quan, cho dù các giám đốc không có quyền lợi liên quan đó ít hơn số đủ túc số; hoặc</w:t>
      </w:r>
    </w:p>
    <w:p>
      <w:pPr>
        <w:spacing w:after="80"/>
      </w:pPr>
      <w:r>
        <w:rPr>
          <w:b w:val="0"/>
          <w:i w:val="0"/>
        </w:rPr>
        <w:t>(2) Những sự kiện quan trọng về mối quan hệ hay lợi ích của người đó và về hợp đồng hay giao dịch đó được tiết lộ hoặc được các cổ đông có quyền biểu quyết về vấn đề đó biết rõ, và hợp đồng hay giao dịch đó được cụ thể phê chuẩn một cách thiện chí bằng phiếu của các cổ đông; hoặc</w:t>
      </w:r>
    </w:p>
    <w:p>
      <w:pPr>
        <w:spacing w:after="80"/>
      </w:pPr>
      <w:r>
        <w:rPr>
          <w:b w:val="0"/>
          <w:i w:val="0"/>
        </w:rPr>
        <w:t>(3) Hợp đồng hay giao dịch đó là công bằng đối với công ty tính đến thời điểm nó được hội đồng quản trị, một ủy ban, hoặc các cổ đông cho phép, phê chuẩn hoặc phê chuẩn lại.</w:t>
      </w:r>
    </w:p>
    <w:p>
      <w:pPr>
        <w:spacing w:after="80"/>
      </w:pPr>
      <w:r>
        <w:rPr>
          <w:b w:val="0"/>
          <w:i w:val="0"/>
        </w:rPr>
        <w:t xml:space="preserve">Các bị đơn lập luận rằng giao dịch đang được bàn đến ở đây được bảo vệ bởi § 144(a)(2), mà theo họ, điều khoản này không đòi hỏi các cổ đông phê chuẩn phải là "không có quyền lợi liên quan" hay "độc lập"; và họ cũng lập luận rằng không có căn cứ để đọc thêm một yêu cầu như vậy vào đạo luật. Xem Folk, </w:t>
      </w:r>
      <w:r>
        <w:rPr>
          <w:b w:val="0"/>
          <w:i/>
        </w:rPr>
        <w:t>The Delaware General Corporation Law—A Commentary and Analysis</w:t>
      </w:r>
      <w:r>
        <w:rPr>
          <w:b w:val="0"/>
          <w:i w:val="0"/>
        </w:rPr>
        <w:t xml:space="preserve"> 85–86 (1972). Chúng tôi không đọc đạo luật theo cách nó mang lại sự miễn trừ rộng rãi mà các bị đơn chủ trương. Nó chỉ xóa đi đám mây "giám đốc có quyền lợi liên quan" khi các điều kiện của nó được đáp ứng và quy định chống lại việc vô hiệu hóa một thỏa thuận "chỉ vì" có sự tham gia của giám đốc hay viên chức như vậy. Không có gì trong đạo luật cho phép sự bất công đối với Agau hay loại bỏ giao dịch khỏi sự xem xét của tòa án.</w:t>
      </w:r>
    </w:p>
    <w:p>
      <w:pPr>
        <w:spacing w:after="80"/>
      </w:pPr>
      <w:r>
        <w:rPr>
          <w:b w:val="0"/>
          <w:i w:val="0"/>
        </w:rPr>
        <w:t>Agau được thành lập chỉ nhằm mục đích phát triển và thăm dò một số khu đất để tìm quặng vàng và bạc có tiềm năng khai thác. Phần lớn tiền mặt của công ty, huy động được qua một đợt chào bán công khai, đã được chi cho việc thăm dò "Giai đoạn I" các khu đất này nhưng không thiết lập được một thân quặng thương mại, mặc dù nó có phát hiện những đới khoáng hóa "thú vị" mà theo Lawrence cho thấy việc phát triển và thăm dò "Giai đoạn II" có thể sẽ là điều đáng mong muốn sau này. Tuy nhiên, các kế hoạch phát triển tiếp theo đã tạm thời bị gác lại vì không khả thi về mặt kinh tế do Agau thiếu đủ tiền để thăm dò thỏa đáng các khu đất, cũng như do giá bạc trên thị trường đang giảm. Cũng có vẻ rằng ngoài một vài chứng quyền mua cổ phiếu chưa được thực hiện còn tồn đọng, Agau không có bất kỳ nguồn vốn sẵn có nào. Do đó, như Phó Chánh án đã nhận định, nếu quyền chọn không được thực hiện, Agau rất có thể đã phải ngừng hoạt động.</w:t>
      </w:r>
    </w:p>
    <w:p>
      <w:pPr>
        <w:spacing w:after="80"/>
      </w:pPr>
      <w:r>
        <w:rPr>
          <w:b w:val="0"/>
          <w:i w:val="0"/>
        </w:rPr>
        <w:t>So sánh thì hồ sơ cho thấy USAC, tuy vẫn được coi là đang ở giai đoạn thăm dò và phát triển, có thể được kỳ vọng một cách hợp lý sẽ tạo ra lợi nhuận đáng kể. Vào thời điểm đang bàn đến, công ty này đã thiết lập được một thân quặng thương mại có quy mô, đã có thị trường được chứng minh cho sản phẩm của mình, và đang trong quá trình xây dựng một cơ sở tách quặng lớn, dự kiến sẽ sản xuất ra tinh quặng chất lượng cao để bán ra thị trường.</w:t>
      </w:r>
    </w:p>
    <w:p>
      <w:pPr>
        <w:spacing w:after="80"/>
      </w:pPr>
      <w:r>
        <w:rPr>
          <w:b w:val="0"/>
          <w:i w:val="0"/>
        </w:rPr>
        <w:t>Xét tất cả các yếu tố nêu trên, chúng tôi kết luận rằng các bị đơn đã chứng minh được tính công bằng nội tại của giao dịch. Agau đã nhận được những khu đất mà tự thân chúng rõ ràng có giá trị đáng kể. Nhưng quan trọng hơn, nó đã nhận được một doanh nghiệp đầy hứa hẹn, có tiềm năng tự tài trợ và tạo ra lợi nhuận, với thị trường và năng lực thương mại đã được chứng minh, mà có thể được kỳ vọng một cách hợp lý sẽ ít nhất mang lại cho Agau số tiền mặt mà nó hết sức cần để tiến hành thăm dò và phát triển thêm các khu đất của chính mình, nếu không muốn nói là để tiếp tục tồn tại. Vì những lý do đó, chúng tôi cho rằng lợi ích được trao cho các cổ đông USAC là một cái giá công bằng để phải trả. Theo đó, chúng tôi không nghi ngờ gì rằng giao dịch này là một giao dịch mà vào thời điểm đó sẽ được một công ty độc lập ở vị thế của Agau tán thành.</w:t>
      </w:r>
    </w:p>
    <w:p>
      <w:pPr>
        <w:pStyle w:val="Heading5"/>
      </w:pPr>
      <w:r>
        <w:rPr>
          <w:rFonts w:ascii="Calibri" w:hAnsi="Calibri"/>
          <w:b/>
          <w:i/>
          <w:sz w:val="22"/>
        </w:rPr>
        <w:t>Bình luận và Câu hỏi</w:t>
      </w:r>
    </w:p>
    <w:p>
      <w:pPr>
        <w:spacing w:after="80"/>
      </w:pPr>
      <w:r>
        <w:rPr>
          <w:b w:val="0"/>
          <w:i w:val="0"/>
        </w:rPr>
        <w:t>1. Theo các bị đơn, giao dịch đang được bàn đến đã được phê chuẩn như thế nào? Quá trình đó có tuân thủ các yêu cầu của Mục 144 không?</w:t>
      </w:r>
    </w:p>
    <w:p>
      <w:pPr>
        <w:spacing w:after="80"/>
      </w:pPr>
      <w:r>
        <w:rPr>
          <w:b w:val="0"/>
          <w:i w:val="0"/>
        </w:rPr>
        <w:t>2. Các bị đơn khẳng định rằng trong hoàn cảnh đó, tòa án nên mặc nhiên coi giao dịch là công bằng. Bạn có đồng ý không? Đây có phải là một cách đọc hợp lý Mục 144 không?</w:t>
      </w:r>
    </w:p>
    <w:p>
      <w:pPr>
        <w:spacing w:after="80"/>
      </w:pPr>
      <w:r>
        <w:rPr>
          <w:b w:val="0"/>
          <w:i w:val="0"/>
        </w:rPr>
        <w:t xml:space="preserve">3. Trong khi Mục 144(a)(1) đòi hỏi sự phê chuẩn của "các giám đốc không có quyền lợi liên quan", thì Mục 144(a)(2) lại nói đến "phiếu của các cổ đông" chứ không phải phiếu của các cổ đông </w:t>
      </w:r>
      <w:r>
        <w:rPr>
          <w:b w:val="0"/>
          <w:i/>
        </w:rPr>
        <w:t>không có quyền lợi liên quan</w:t>
      </w:r>
      <w:r>
        <w:rPr>
          <w:b w:val="0"/>
          <w:i w:val="0"/>
        </w:rPr>
        <w:t>. Việc hai điều khoản dùng ngôn ngữ khác nhau như vậy có hợp lý không? Tại sao Cơ quan Lập pháp Delaware lại không yêu cầu sự phê chuẩn của các cổ đông không có quyền lợi liên quan? Sẽ thế nào nếu người có nghĩa vụ ủy thác với xung đột lợi ích sở hữu phần lớn cổ phiếu biểu quyết của công ty?</w:t>
      </w:r>
    </w:p>
    <w:p>
      <w:pPr>
        <w:spacing w:after="80"/>
      </w:pPr>
      <w:r>
        <w:rPr>
          <w:b w:val="0"/>
          <w:i w:val="0"/>
        </w:rPr>
        <w:t>4. Phán quyết này cho chúng ta biết điều gì về tác động của việc bỏ phiếu của các giám đốc không có quyền lợi liên quan? Nếu các giám đốc không có quyền lợi liên quan phê chuẩn giao dịch, liệu tòa án đang xem xét vẫn có thể quyết định xem hợp đồng có công bằng với công ty hay không? Mục 144 cho chúng ta biết điều gì? Liệu tòa án đang xem xét có nên tuân theo quyết định của các giám đốc theo quy tắc phán đoán kinh doanh (business judgment rule) không? Mặt khác, sẽ thế nào nếu hội đồng quản trị đã không phê chuẩn giao dịch? Có thể là hội đồng chưa bao giờ xem xét thương vụ đó, hoặc có thể không đủ số giám đốc bỏ phiếu để phê chuẩn giao dịch. Liệu tòa án đang xem xét có thể thực thi hợp đồng ngay cả khi đa số các giám đốc không có quyền lợi liên quan đã bỏ phiếu chống lại nó không?</w:t>
      </w:r>
    </w:p>
    <w:p>
      <w:pPr>
        <w:spacing w:after="80"/>
      </w:pPr>
      <w:r>
        <w:rPr>
          <w:b w:val="0"/>
          <w:i w:val="0"/>
        </w:rPr>
        <w:t>—————</w:t>
      </w:r>
    </w:p>
    <w:p>
      <w:pPr>
        <w:spacing w:after="80"/>
      </w:pPr>
      <w:r>
        <w:rPr>
          <w:b w:val="0"/>
          <w:i w:val="0"/>
        </w:rPr>
        <w:t>Tòa án Tối cao Delaware đã xem xét Mục 144 và hiệu lực của việc tuân thủ trong phán quyết năm 2006 sau đây.</w:t>
      </w:r>
    </w:p>
    <w:p>
      <w:pPr>
        <w:pStyle w:val="Heading4"/>
      </w:pPr>
      <w:r>
        <w:rPr>
          <w:rFonts w:ascii="Calibri" w:hAnsi="Calibri"/>
          <w:b/>
          <w:i w:val="0"/>
          <w:sz w:val="23"/>
        </w:rPr>
        <w:t>Benihana of Tokyo, Inc. v. Benihana, Inc.</w:t>
      </w:r>
    </w:p>
    <w:p>
      <w:pPr>
        <w:spacing w:after="80"/>
      </w:pPr>
      <w:r>
        <w:rPr>
          <w:b w:val="0"/>
          <w:i w:val="0"/>
        </w:rPr>
        <w:t>Tòa án Tối cao Delaware</w:t>
      </w:r>
      <w:r>
        <w:br/>
      </w:r>
      <w:r>
        <w:rPr>
          <w:b w:val="0"/>
          <w:i w:val="0"/>
        </w:rPr>
        <w:t xml:space="preserve"> 906 A.2d 114 (2006)</w:t>
      </w:r>
    </w:p>
    <w:p>
      <w:pPr>
        <w:spacing w:after="80"/>
      </w:pPr>
      <w:r>
        <w:rPr>
          <w:b w:val="0"/>
          <w:i w:val="0"/>
        </w:rPr>
        <w:t>BERGER, THẨM PHÁN:</w:t>
      </w:r>
    </w:p>
    <w:p>
      <w:pPr>
        <w:spacing w:after="80"/>
      </w:pPr>
      <w:r>
        <w:rPr>
          <w:b w:val="0"/>
          <w:i w:val="0"/>
        </w:rPr>
        <w:t>Rocky Aoki thành lập Benihana of Tokyo, Inc. (BOT), và công ty con của nó, Benihana, đơn vị sở hữu và vận hành các nhà hàng Benihana tại Hoa Kỳ và các quốc gia khác. Aoki sở hữu 100% BOT cho đến năm 1998, khi ông nhận tội với các cáo buộc giao dịch nội gián. Để tránh các vấn đề về cấp phép phát sinh từ tình trạng là người bị kết án trọng tội, Aoki chuyển cổ phần của mình cho Benihana Protective Trust. Các người được ủy thác của Trust là ba người con của Aoki (Kana Aoki Nootenboom, Kyle Aoki và Kevin Aoki) và Darwin Dornbush (lúc đó là luật sư của gia đình, một giám đốc của Benihana, và trên thực tế, là tổng cố vấn pháp lý của công ty).</w:t>
      </w:r>
    </w:p>
    <w:p>
      <w:pPr>
        <w:spacing w:after="80"/>
      </w:pPr>
      <w:r>
        <w:rPr>
          <w:b w:val="0"/>
          <w:i w:val="0"/>
        </w:rPr>
        <w:t>Benihana, một công ty Delaware, có hai loại cổ phiếu phổ thông. Có khoảng 6 triệu cổ phiếu phổ thông loại A đang lưu hành. Mỗi cổ phiếu có 1/10 phiếu biểu quyết và người nắm giữ cổ phiếu phổ thông loại A được quyền bầu 25% số giám đốc. Có khoảng 3 triệu cổ phiếu phổ thông đang lưu hành. Mỗi cổ phiếu phổ thông có một phiếu biểu quyết và người nắm giữ cổ phiếu phổ thông được quyền bầu 75% số giám đốc còn lại của Benihana. Trước giao dịch đang được xem xét, BOT sở hữu 50,9% cổ phiếu phổ thông và 2% cổ phiếu loại A. Hội đồng quản trị gồm chín thành viên được phân nhóm và các giám đốc phục vụ nhiệm kỳ ba năm.</w:t>
      </w:r>
    </w:p>
    <w:p>
      <w:pPr>
        <w:spacing w:after="80"/>
      </w:pPr>
      <w:r>
        <w:rPr>
          <w:b w:val="0"/>
          <w:i w:val="0"/>
        </w:rPr>
        <w:t>Năm 2003, ngay sau khi Aoki kết hôn với Keiko Aoki, xung đột nảy sinh giữa Aoki và các con của ông. Vào tháng 8, các con rất bất bình khi biết rằng Aoki đã thay đổi di chúc để trao quyền kiểm soát BOT cho Keiko. Joel Schwartz, chủ tịch kiêm tổng giám đốc điều hành của Benihana, cũng lo ngại về sự thay đổi quyền kiểm soát này. Ông đã thảo luận tình hình với Dornbush, và họ thoáng cân nhắc nhiều phương án khác nhau, bao gồm việc phát hành đủ cổ phiếu loại A để kích hoạt một điều khoản trong giấy chứng nhận thành lập cho phép cổ phiếu phổ thông và loại A cùng bỏ phiếu để bầu 75% số giám đốc.</w:t>
      </w:r>
    </w:p>
    <w:p>
      <w:pPr>
        <w:spacing w:after="80"/>
      </w:pPr>
      <w:r>
        <w:rPr>
          <w:b w:val="0"/>
          <w:i w:val="0"/>
        </w:rPr>
        <w:t>Sự hỗn loạn trong gia đình Aoki đến vào thời điểm Benihana cũng đang đối mặt với nhiều thách thức. Nhiều nhà hàng của công ty đã cũ và lỗi thời. Benihana thuê WD Partners để đánh giá các cơ sở vật chất và lập kế hoạch, thiết kế việc cải tạo phù hợp. Kế hoạch Xây dựng và Cải tạo thu được dự kiến dự án sẽ mất ít nhất năm năm và tốn 56 triệu đô la hoặc hơn. Wachovia đề nghị cung cấp cho Benihana một hạn mức tín dụng 60 triệu đô la cho Kế hoạch Xây dựng và Cải tạo, nhưng những hạn chế mà Wachovia áp đặt khiến Benihana khó có thể vay được toàn bộ số tiền. Vì hạn mức tín dụng của Wachovia không đảm bảo rằng Benihana sẽ có đủ vốn cần thiết, công ty đã thuê Morgan Joseph &amp; Co. để phát triển các phương án tài chính khác.</w:t>
      </w:r>
    </w:p>
    <w:p>
      <w:pPr>
        <w:spacing w:after="80"/>
      </w:pPr>
      <w:r>
        <w:rPr>
          <w:b w:val="0"/>
          <w:i w:val="0"/>
        </w:rPr>
        <w:t>Abdo [John E. Abdo, một thành viên của hội đồng quản trị] đã liên hệ với Joseph và nói với ông rằng BFC Financial Corporation quan tâm đến việc mua cổ phiếu chuyển đổi mới. Vào tháng 4 năm 2005, Joseph gửi cho BFC một bản ghi nhớ chào bán riêng lẻ. Abdo đàm phán với Joseph trong vài tuần. Họ đồng ý với Giao dịch theo các điều khoản cơ bản sau: (i) phát hành 20 triệu đô la thành hai đợt, mỗi đợt 10 triệu đô la, với đợt thứ hai được phát hành từ một đến ba năm sau đợt đầu; (ii) BFC có được một ghế trong hội đồng quản trị, và thêm một ghế nữa nếu Benihana không trả cổ tức trong hai quý liên tiếp; (iii) BFC có quyền ưu tiên mua trước đối với bất kỳ chứng khoán có quyền biểu quyết mới nào; (iv) cổ tức 5%; (v) phụ trội chuyển đổi 15%; (vi) BFC có quyền buộc Benihana mua lại toàn bộ cổ phiếu ưu đãi sau mười năm; và (vii) cổ phiếu sẽ có quyền biểu quyết ngay lập tức “như thể đã được chuyển đổi”. Joseph làm chứng rằng ông hài lòng với các cuộc đàm phán, vì ông đã đạt được những gì mình muốn đối với những điểm quan trọng nhất.</w:t>
      </w:r>
    </w:p>
    <w:p>
      <w:pPr>
        <w:spacing w:after="80"/>
      </w:pPr>
      <w:r>
        <w:rPr>
          <w:b w:val="0"/>
          <w:i w:val="0"/>
        </w:rPr>
        <w:t>Vào ngày 22 tháng 4 năm 2004, Abdo gửi một bản ghi nhớ cho Dornbush, Schwartz và Joseph, liệt kê các điều khoản đã thỏa thuận của Giao dịch. Ông không gửi bản ghi nhớ cho bất kỳ thành viên nào khác của hội đồng quản trị Benihana. Schwartz có nói với Becker, Sturges, Sano, và có thể cả Pine rằng BFC là người mua tiềm năng. Tại cuộc họp tiếp theo, được tổ chức vào ngày 6 tháng 5 năm 2004, toàn bộ hội đồng quản trị đã chính thức được thông báo về sự tham gia của BFC trong Giao dịch. Abdo trình bày thay mặt cho BFC và sau đó rời cuộc họp. Joseph phân phát một cuốn hồ sơ hội đồng quản trị cập nhật, trong đó giải thích rằng Abdo đã liên hệ với Morgan Joseph thay mặt cho BFC, và bao gồm các điều khoản đã đàm phán. Tòa án sơ thẩm phát hiện rằng hội đồng quản trị không được thông báo rằng Abdo đã đàm phán thỏa thuận thay mặt cho BFC. Nhưng hội đồng quản trị có biết rằng Abdo là một thành viên chủ chốt của BFC. Sau khi thảo luận, hội đồng quản trị đã xem xét và phê duyệt Giao dịch, với điều kiện phải nhận được ý kiến đánh giá về tính công bằng.</w:t>
      </w:r>
    </w:p>
    <w:p>
      <w:pPr>
        <w:spacing w:after="80"/>
      </w:pPr>
      <w:r>
        <w:rPr>
          <w:b w:val="0"/>
          <w:i w:val="0"/>
        </w:rPr>
        <w:t>Vào ngày 18 tháng 5 năm 2004, sau khi biết rằng Morgan Joseph đang cung cấp ý kiến đánh giá về tính công bằng, Schwartz công bố việc phát hành cổ phiếu ra công chúng. Hai ngày sau, luật sư của Aoki gửi một lá thư yêu cầu hội đồng quản trị từ bỏ Giao dịch và theo đuổi các phương án tài chính khác, có lợi hơn. Lá thư bày tỏ lo ngại về các xung đột lợi ích của các giám đốc, tác động pha loãng của việc phát hành cổ phiếu, và tính “hợp pháp đáng ngờ” của nó. Schwartz đưa các bản sao của lá thư cho các giám đốc tại cuộc họp hội đồng quản trị ngày 20 tháng 5, và Dornbush cho rằng ông không tin những lo ngại của Aoki có cơ sở. Joseph và một đại diện khác của Morgan Joseph sau đó tham gia cuộc họp qua điện thoại và nhận định rằng Giao dịch là công bằng xét từ góc độ tài chính. Hội đồng quản trị sau đó đã phê duyệt Giao dịch.</w:t>
      </w:r>
    </w:p>
    <w:p>
      <w:pPr>
        <w:spacing w:after="80"/>
      </w:pPr>
      <w:r>
        <w:rPr>
          <w:b w:val="0"/>
          <w:i w:val="0"/>
        </w:rPr>
        <w:t>Ngay cả khi hội đồng quản trị Benihana có quyền phát hành số cổ phiếu đang tranh chấp, BOT vẫn cho rằng tòa án sơ thẩm đã sai lầm khi phát hiện rằng hội đồng quản trị đã hành động đúng đắn trong việc phê duyệt Giao dịch. Cụ thể, BOT lập luận rằng Tòa án Chancery đã sai lầm: (1) khi áp dụng 8 Del. C. § 144(a)(1), vì hội đồng quản trị không biết tất cả các sự kiện trọng yếu trước khi phê duyệt Giao dịch; (2) khi áp dụng quy tắc phán đoán kinh doanh, vì Abdo đã vi phạm nghĩa vụ tín thác của mình; và (3) khi phát hiện rằng mục đích chính của hội đồng quản trị trong việc phê duyệt Giao dịch không phải là để pha loãng quyền biểu quyết của BOT.</w:t>
      </w:r>
    </w:p>
    <w:p>
      <w:pPr>
        <w:spacing w:after="80"/>
      </w:pPr>
      <w:r>
        <w:rPr>
          <w:b w:val="0"/>
          <w:i w:val="0"/>
        </w:rPr>
        <w:t>Mục 144 của Luật Công ty Tổng hợp Delaware cung cấp một vùng an toàn cho các giao dịch có xung đột lợi ích, như giao dịch này, nếu “[c]ác sự kiện trọng yếu về mối quan hệ hoặc lợi ích của giám đốc . . . và về hợp đồng hoặc giao dịch được tiết lộ hoặc được hội đồng quản trị biết đến . . . và hội đồng quản trị . . . với thiện chí cho phép hợp đồng hoặc giao dịch bằng số phiếu thuận của đa số các giám đốc không có xung đột lợi ích. . . .” Sau khi được các giám đốc không có xung đột lợi ích phê duyệt, tòa án xem xét giao dịch có xung đột lợi ích theo quy tắc phán đoán kinh doanh, vốn “là một giả định rằng khi đưa ra quyết định kinh doanh, các giám đốc của một công ty đã hành động trên cơ sở được thông tin đầy đủ, với thiện chí và với niềm tin chân thành rằng hành động được thực hiện là vì lợi ích tốt nhất của công ty.”</w:t>
      </w:r>
    </w:p>
    <w:p>
      <w:pPr>
        <w:spacing w:after="80"/>
      </w:pPr>
      <w:r>
        <w:rPr>
          <w:b w:val="0"/>
          <w:i w:val="0"/>
        </w:rPr>
        <w:t>BOT lập luận rằng § 144(a)(1) không thể áp dụng vì khi họ phê duyệt Giao dịch, các giám đốc không có xung đột lợi ích không biết rằng Abdo đã đàm phán các điều khoản thay mặt cho BFC. Theo BOT, vai trò người đàm phán của Abdo là trọng yếu, vì Abdo đã được trao bản tóm tắt điều khoản bảo mật do Joseph soạn thảo và biết những điều khoản nào trong số đó mà Benihana sẵn sàng nhượng bộ trong quá trình đàm phán. Chúng tôi đồng ý rằng hội đồng quản trị cần biết về sự tham gia của Abdo để đưa ra quyết định được thông tin đầy đủ. Tuy nhiên, hồ sơ chứng minh rõ ràng rằng hội đồng quản trị đã có thông tin trọng yếu đó khi phê duyệt Giao dịch vào ngày 6 tháng 5 năm 2004 và ngày 20 tháng 5 năm 2004.</w:t>
      </w:r>
    </w:p>
    <w:p>
      <w:pPr>
        <w:spacing w:after="80"/>
      </w:pPr>
      <w:r>
        <w:rPr>
          <w:b w:val="0"/>
          <w:i w:val="0"/>
        </w:rPr>
        <w:t>Không lâu trước cuộc họp ngày 6 tháng 5, Schwartz nói với Becker, Sturges và Sano rằng BFC là người mua được đề xuất. Sau đó, tại cuộc họp, Abdo đã trình bày thay mặt cho BFC. Cuốn hồ sơ hội đồng quản trị của Joseph cũng giải thích rằng Abdo đã thực hiện liên hệ ban đầu dẫn đến các cuộc đàm phán. Các thành viên hội đồng quản trị biết rằng Abdo là giám đốc, phó chủ tịch, và là một trong hai người kiểm soát BFC. Do đó, mặc dù không ai từng nói, “Abdo đã đàm phán thỏa thuận này cho BFC,” các giám đốc hiểu rằng ông là đại diện của BFC trong Giao dịch. Như Pine đã làm chứng, “dù ai thực sự đàm phán, [Abdo] với tư cách là một thành viên chủ chốt sẽ phải đồng ý với nó. Vậy nên dù ông ấy ngồi trong phòng và đàm phán hay ngồi ở đâu đó và được mang đến kết quả đàm phán của người khác, ông ấy vẫn là người ra quyết định cuối cùng.” Theo đó, chúng tôi kết luận rằng các giám đốc không có xung đột lợi ích đã có đầy đủ thông tin trọng yếu về lợi ích của Abdo trong Giao dịch, và việc họ phê duyệt tại các cuộc họp hội đồng quản trị ngày 6 tháng 5 và ngày 20 tháng 5 thỏa mãn § 144(a)(1).</w:t>
      </w:r>
    </w:p>
    <w:p>
      <w:pPr>
        <w:spacing w:after="80"/>
      </w:pPr>
      <w:r>
        <w:rPr>
          <w:b w:val="0"/>
          <w:i w:val="0"/>
        </w:rPr>
        <w:t>Tiếp theo, BOT lập luận rằng Tòa án Chancery lẽ ra phải xem xét Giao dịch theo tiêu chuẩn công bằng toàn diện vì Abdo đã vi phạm nghĩa vụ trung thành khi sử dụng thông tin bảo mật của Benihana để đàm phán thay mặt cho BFC. Lập luận này bắt đầu từ một tiền đề sai lầm. Hồ sơ không ủng hộ khẳng định của BOT rằng Abdo đã sử dụng bất kỳ thông tin bảo mật nào chống lại Benihana. Ngay cả khi không có các bình luận của Joseph tại cuộc họp hội đồng quản trị ngày 17 tháng 2, Abdo vẫn biết những điều khoản mà một người mua có thể mong đợi đạt được trong một thỏa thuận như thế này. Hơn nữa, như tòa án sơ thẩm đã phát hiện, “các cuộc đàm phán bao gồm nhượng bộ qua lại ở một số điểm” và Benihana “đã đạt được vị trí mà [họ] mong muốn” đối với những điều khoản quan trọng nhất. Abdo không đặt ra các điều khoản của thỏa thuận; ông không lừa dối hội đồng quản trị; và ông không chi phối hay kiểm soát việc phê duyệt Giao dịch của các giám đốc khác. Tóm lại, hồ sơ không ủng hộ tuyên bố rằng Abdo đã vi phạm nghĩa vụ trung thành của mình.</w:t>
      </w:r>
    </w:p>
    <w:p>
      <w:pPr>
        <w:spacing w:after="80"/>
      </w:pPr>
      <w:r>
        <w:rPr>
          <w:b w:val="0"/>
          <w:i w:val="0"/>
        </w:rPr>
        <w:t>Based on the foregoing, the judgment of the Court of Chancery is affirmed.</w:t>
      </w:r>
    </w:p>
    <w:p>
      <w:pPr>
        <w:pStyle w:val="Heading5"/>
      </w:pPr>
      <w:r>
        <w:rPr>
          <w:rFonts w:ascii="Calibri" w:hAnsi="Calibri"/>
          <w:b/>
          <w:i/>
          <w:sz w:val="22"/>
        </w:rPr>
        <w:t>Bình luận và Câu hỏi</w:t>
      </w:r>
    </w:p>
    <w:p>
      <w:pPr>
        <w:spacing w:after="80"/>
      </w:pPr>
      <w:r>
        <w:rPr>
          <w:b w:val="0"/>
          <w:i w:val="0"/>
        </w:rPr>
        <w:t xml:space="preserve">1. Như Tòa án Tối cao Delaware đã lưu ý, vụ án này phát sinh từ tranh chấp giữa người sáng lập Benihana là Rocky Aoki và bốn trong số bảy người con của ông, khi vị trưởng tộc này đấu tranh giành quyền kiểm soát đế chế nhà hàng của mình sau cuộc hôn nhân năm 2002 với người vợ thứ ba Keiko Ono. Vẫn còn vướng vào các vụ kiện và phản kiện với con cái, Rocky Aoki qua đời hai năm sau khi phán quyết trên được ban hành, và các vụ kiện tụng tốn kém vẫn tiếp diễn giữa các con của Aoki, người vợ góa Ono, và các thực thể khác nhau do Aoki thành lập. </w:t>
      </w:r>
      <w:r>
        <w:rPr>
          <w:b w:val="0"/>
          <w:i/>
        </w:rPr>
        <w:t>Xem</w:t>
      </w:r>
      <w:r>
        <w:rPr>
          <w:b w:val="0"/>
          <w:i w:val="0"/>
        </w:rPr>
        <w:t xml:space="preserve"> Erika Fry, “The Crazy, Bitter Battle Over Benihana,” </w:t>
      </w:r>
      <w:r>
        <w:rPr>
          <w:b w:val="0"/>
          <w:i/>
        </w:rPr>
        <w:t>Fortune</w:t>
      </w:r>
      <w:r>
        <w:rPr>
          <w:b w:val="0"/>
          <w:i w:val="0"/>
        </w:rPr>
        <w:t xml:space="preserve"> , Mar. 4, 2015.</w:t>
      </w:r>
    </w:p>
    <w:p>
      <w:pPr>
        <w:spacing w:after="80"/>
      </w:pPr>
      <w:r>
        <w:rPr>
          <w:b w:val="0"/>
          <w:i w:val="0"/>
        </w:rPr>
        <w:t>2. Khi mà, như trong các giao dịch đang được xem xét, các giám đốc có nghĩa vụ trung thành với nhiều người thụ hưởng, thì xung đột lợi ích nên được giải quyết như thế nào? Lẽ ra Benihana có nên được yêu cầu tham vấn và hợp tác với một người nào đó khác ngoài Abdo không?</w:t>
      </w:r>
    </w:p>
    <w:p>
      <w:pPr>
        <w:spacing w:after="80"/>
      </w:pPr>
      <w:r>
        <w:rPr>
          <w:b w:val="0"/>
          <w:i w:val="0"/>
        </w:rPr>
        <w:t xml:space="preserve">3. Vụ án này nói lên điều gì về mục đích và ý nghĩa của Mục 144? Tác động của việc phê duyệt bởi các giám đốc không có quyền lợi liên quan là gì? Liệu phân tích của tòa án có nhất quán với phân tích trong </w:t>
      </w:r>
      <w:r>
        <w:rPr>
          <w:b w:val="0"/>
          <w:i/>
        </w:rPr>
        <w:t>Fliegler</w:t>
      </w:r>
      <w:r>
        <w:rPr>
          <w:b w:val="0"/>
          <w:i w:val="0"/>
        </w:rPr>
        <w:t xml:space="preserve"> không?</w:t>
      </w:r>
    </w:p>
    <w:p>
      <w:pPr>
        <w:spacing w:after="80"/>
      </w:pPr>
      <w:r>
        <w:rPr>
          <w:b w:val="0"/>
          <w:i w:val="0"/>
        </w:rPr>
        <w:t>4. Tập trung vào ngôn ngữ của Mục 144, bạn có thể đưa ra lập luận rằng việc tuân thủ Mục 144(a)(1) không miễn trừ các giao dịch tự giao dịch (self-dealing) khỏi mọi sự tấn công không?</w:t>
      </w:r>
    </w:p>
    <w:p>
      <w:pPr>
        <w:spacing w:after="80"/>
      </w:pPr>
      <w:r>
        <w:rPr>
          <w:b w:val="0"/>
          <w:i w:val="0"/>
        </w:rPr>
        <w:t xml:space="preserve">5. Liệu quy tắc phán đoán kinh doanh (business judgment rule) có nên được áp dụng trong những hoàn cảnh này không? Tại sao có hoặc tại sao không? Các thẩm phán Delaware đã phán quyết rằng việc tuân thủ Mục 144(a)(1) một cách không có quyền lợi liên quan sẽ “xóa bỏ” vết nhơ về việc giám đốc có quyền lợi cá nhân. </w:t>
      </w:r>
      <w:r>
        <w:rPr>
          <w:b w:val="0"/>
          <w:i/>
        </w:rPr>
        <w:t>Xem Nebenzahl v. Miller</w:t>
      </w:r>
      <w:r>
        <w:rPr>
          <w:b w:val="0"/>
          <w:i w:val="0"/>
        </w:rPr>
        <w:t xml:space="preserve"> , 1996 Del. Ch. LEXIS 113, at 10–11 (Del. Ch., Aug. 26, 1996). Bạn có đồng ý không?</w:t>
      </w:r>
    </w:p>
    <w:p>
      <w:pPr>
        <w:spacing w:after="80"/>
      </w:pPr>
      <w:r>
        <w:rPr>
          <w:b w:val="0"/>
          <w:i w:val="0"/>
        </w:rPr>
        <w:t xml:space="preserve">6. Lẽ ra Tòa án Tối cao Delaware có nên xem xét mục đích của Mục 144 không? Có thể giả định rằng tòa án đưa ra phán quyết trong </w:t>
      </w:r>
      <w:r>
        <w:rPr>
          <w:b w:val="0"/>
          <w:i/>
        </w:rPr>
        <w:t>Benihana</w:t>
      </w:r>
      <w:r>
        <w:rPr>
          <w:b w:val="0"/>
          <w:i w:val="0"/>
        </w:rPr>
        <w:t xml:space="preserve"> đã xem cách giải thích luật thành văn của mình là nhất quán với ý định của các nhà lập pháp bang khi ban hành Mục 144. Tuy nhiên, bản án không hề đề cập đến lịch sử lập pháp của điều khoản này. Bạn có thể nghĩ ra lý do nào cho khoảng trống này trong phân tích không? Điều thú vị là, </w:t>
      </w:r>
      <w:r>
        <w:rPr>
          <w:b w:val="0"/>
          <w:i/>
        </w:rPr>
        <w:t>Marciano v. Nakash</w:t>
      </w:r>
      <w:r>
        <w:rPr>
          <w:b w:val="0"/>
          <w:i w:val="0"/>
        </w:rPr>
        <w:t xml:space="preserve"> , phán quyết đầu tiên của Tòa án Tối cao Delaware cho thấy rằng việc phê duyệt của các giám đốc không có quyền lợi liên quan được hưởng sự tôn trọng theo quy tắc phán đoán kinh doanh, cũng không đề cập đến ý định lập pháp. 535 A.2d 400, 405 n.3 (Del. 1987). Một số nhà bình luận đã lập luận:</w:t>
      </w:r>
    </w:p>
    <w:p>
      <w:pPr>
        <w:spacing w:after="80"/>
      </w:pPr>
      <w:r>
        <w:rPr>
          <w:b w:val="0"/>
          <w:i w:val="0"/>
        </w:rPr>
        <w:t>Mặc dù mục 144 được thiết kế để cung cấp một vùng an toàn (safe harbor) chống lại nguy cơ bị tuyên vô hiệu đối với một nhóm giao dịch hạn chế mà trong đó các giám đốc của công ty có quyền lợi liên quan và lẽ ra sẽ bị coi là có thể bị vô hiệu theo thông luật trước năm 1967, nhưng trong những năm sau khi được thông qua, nó đã bị hiểu sai để cung cấp sự bảo vệ theo phán đoán kinh doanh cho các giao dịch tuân thủ các điều khoản của nó. Kết quả này không có cơ sở trong chính đạo luật; lịch sử lập pháp xung quanh việc thông qua nó, và một số án lệ giải thích đạo luật, đã bác bỏ quan điểm như vậy. Mục 144 cực kỳ hạn chế về phạm vi: nó chỉ quy định rằng một giao dịch được điều chỉnh sẽ không bị vô hiệu chỉ vì lý do quyền lợi vi phạm. Nghĩa là, mục 144 xác định liệu một giao dịch được điều chỉnh sẽ bị xem xét chỉ theo thông luật về vi phạm nghĩa vụ tín thác hay theo cả thông luật về vi phạm nghĩa vụ tín thác lẫn thông luật về tính có thể bị vô hiệu.</w:t>
      </w:r>
    </w:p>
    <w:p>
      <w:pPr>
        <w:spacing w:after="80"/>
      </w:pPr>
      <w:r>
        <w:rPr>
          <w:b w:val="0"/>
          <w:i w:val="0"/>
        </w:rPr>
        <w:t>Tại sao các tòa án nên xem xét lý do mà cơ quan lập pháp Delaware ban hành Mục 144?</w:t>
      </w:r>
    </w:p>
    <w:p>
      <w:pPr>
        <w:spacing w:after="80"/>
      </w:pPr>
      <w:r>
        <w:rPr>
          <w:b w:val="0"/>
          <w:i w:val="0"/>
        </w:rPr>
        <w:t>7. Hai loại giám đốc bị nghi ngờ khi phê duyệt các giao dịch với bên có quyền lợi liên quan: các giám đốc có quyền lợi liên quan (những giám đốc có lợi ích trọng yếu trong giao dịch) và các giám đốc không độc lập (những giám đốc chịu ơn hoặc bị kiểm soát bởi giám đốc có quyền lợi liên quan). Mục 144 chỉ đề cập đến loại thứ nhất mà không đề cập đến loại thứ hai. Tuy nhiên, các tòa án Delaware đã đọc thêm vào Mục 144 yêu cầu rằng hội đồng quản trị phải có đa số giám đốc không có quyền lợi liên quan và độc lập. Liệu việc phê duyệt bởi đa số giám đốc không có quyền lợi liên quan và độc lập trong hội đồng quản trị có đảm bảo rằng giao dịch là công bằng với công ty không? Có nên đáp ứng các yêu cầu thủ tục khác trước khi áp dụng quy tắc phán đoán kinh doanh không? Ví dụ, có nên loại trừ giám đốc có quyền lợi liên quan và bất kỳ giám đốc không độc lập nào khỏi quy trình không?</w:t>
      </w:r>
    </w:p>
    <w:p>
      <w:pPr>
        <w:spacing w:after="80"/>
      </w:pPr>
      <w:r>
        <w:rPr>
          <w:b w:val="0"/>
          <w:i w:val="0"/>
        </w:rPr>
        <w:t>—————</w:t>
      </w:r>
    </w:p>
    <w:p>
      <w:pPr>
        <w:spacing w:after="80"/>
      </w:pPr>
      <w:r>
        <w:rPr>
          <w:b w:val="0"/>
          <w:i w:val="0"/>
        </w:rPr>
        <w:t>Trong một vụ án gần đây hơn, Tòa án Tối cao Delaware đã xem xét các nghĩa vụ riêng biệt của giám đốc và cổ đông khi họ phê duyệt các giao dịch tự giao dịch tiềm tàng.</w:t>
      </w:r>
    </w:p>
    <w:p>
      <w:pPr>
        <w:pStyle w:val="Heading4"/>
      </w:pPr>
      <w:r>
        <w:rPr>
          <w:rFonts w:ascii="Calibri" w:hAnsi="Calibri"/>
          <w:b/>
          <w:i w:val="0"/>
          <w:sz w:val="23"/>
        </w:rPr>
        <w:t>Pfeffer v. Redstone</w:t>
      </w:r>
    </w:p>
    <w:p>
      <w:pPr>
        <w:spacing w:after="80"/>
      </w:pPr>
      <w:r>
        <w:rPr>
          <w:b w:val="0"/>
          <w:i w:val="0"/>
        </w:rPr>
        <w:t>Tòa án Tối cao Delaware</w:t>
      </w:r>
      <w:r>
        <w:br/>
      </w:r>
      <w:r>
        <w:rPr>
          <w:b w:val="0"/>
          <w:i w:val="0"/>
        </w:rPr>
        <w:t xml:space="preserve"> 965 A.2d 676 (2009)</w:t>
      </w:r>
    </w:p>
    <w:p>
      <w:pPr>
        <w:spacing w:after="80"/>
      </w:pPr>
      <w:r>
        <w:rPr>
          <w:b w:val="0"/>
          <w:i w:val="0"/>
        </w:rPr>
        <w:t>STEELE , CHÁNH ÁN :</w:t>
      </w:r>
    </w:p>
    <w:p>
      <w:pPr>
        <w:spacing w:after="80"/>
      </w:pPr>
      <w:r>
        <w:rPr>
          <w:b w:val="0"/>
          <w:i w:val="0"/>
        </w:rPr>
        <w:t>Bị đơn kháng cáo, Beverly Pfeffer, kháng cáo phán quyết của Tòa án Chancery về việc bác bỏ các khiếu nại của bà với prejudice theo Quy tắc 12(b)(6) vì không nêu được khiếu nại. Pfeffer đã khởi kiện tập thể chống lại các giám đốc của Viacom và Blockbuster và chống lại hai tập đoàn, National Amusements, Inc. (NAI) và CBS Corporation. Pfeffer khẳng định rằng Phó Chánh án đã sai lầm vì bà đã lập luận đầy đủ, liên quan đến hai giao dịch, rằng hội đồng quản trị Viacom đã vi phạm nghĩa vụ tín thác về công bố thông tin, trung thành và cẩn trọng và rằng NAI đã vi phạm nghĩa vụ trung thành của mình. Vì chúng tôi kết luận rằng Pfeffer đã không lập luận được rằng các vi phạm công bố thông tin bị cáo buộc là trọng yếu, nên phán quyết bác bỏ của Tòa án Chancery được GIỮ NGUYÊN.</w:t>
      </w:r>
    </w:p>
    <w:p>
      <w:pPr>
        <w:spacing w:after="80"/>
      </w:pPr>
      <w:r>
        <w:rPr>
          <w:b w:val="0"/>
          <w:i w:val="0"/>
        </w:rPr>
        <w:t>Sự kiện và Lịch sử Tố tụng</w:t>
      </w:r>
    </w:p>
    <w:p>
      <w:pPr>
        <w:spacing w:after="80"/>
      </w:pPr>
      <w:r>
        <w:rPr>
          <w:b w:val="0"/>
          <w:i w:val="0"/>
        </w:rPr>
        <w:t>Tranh chấp này phát sinh từ hai giao dịch dẫn đến việc Viacom thoái vốn khỏi cổ phần kiểm soát của mình tại Blockbuster. Tính đến tháng 9 năm 2004, Sumner Redstone sở hữu cổ phần kiểm soát tại NAI, và NAI lại sở hữu 71% quyền biểu quyết tại Viacom. Viacom sở hữu khoảng 82,3% giá trị vốn chủ sở hữu và 95,9% quyền biểu quyết tại Blockbuster, một tập đoàn Delaware. Hai giao dịch bị thách thức là: (1) cổ tức đặc biệt 5 đô la trả cho cổ đông Blockbuster (Cổ tức Đặc biệt); và (2) đề nghị sau đó gửi đến cổ đông Viacom để đổi cổ phiếu Viacom của họ lấy cổ phiếu Blockbuster (Đề nghị Trao đổi).</w:t>
      </w:r>
    </w:p>
    <w:p>
      <w:pPr>
        <w:spacing w:after="80"/>
      </w:pPr>
      <w:r>
        <w:rPr>
          <w:b w:val="0"/>
          <w:i w:val="0"/>
        </w:rPr>
        <w:t>Tin rằng Blockbuster sẽ hoạt động tốt hơn với tư cách là một thực thể độc lập, Viacom đã công bố, vào ngày 10 tháng 2 năm 2004, ý định tách ra 81,5% cổ phần của mình tại Blockbuster. Trong một thông cáo báo chí ngày 18 tháng 6 năm 2004, Viacom và Blockbuster đã công bố kế hoạch thoái vốn sơ bộ của họ. Trước Đề nghị Trao đổi, Blockbuster sẽ phát hành Cổ tức Đặc biệt. Sau đó, trong một đề nghị trao đổi tự nguyện, cổ đông Viacom sẽ đổi cổ phiếu Viacom của họ lấy cổ phiếu Blockbuster. Trong thông cáo báo chí, CEO Viacom Redstone và CEO Blockbuster John Antioco đã ủng hộ việc tách ra được đề xuất. Redstone tuyên bố rằng, sau giao dịch, "Viacom sẽ dồn toàn bộ năng lượng và nguồn lực vào việc mở rộng các lĩnh vực cốt lõi, đặc biệt là cỗ máy sáng tạo nội dung mà chúng tôi tin sẽ thúc đẩy tăng trưởng tương lai của chúng tôi." Antioco công bố: "chúng tôi tin rằng bằng cách trở thành một công ty riêng biệt, chúng tôi sẽ có thể theo đuổi chiến lược bán lẻ của mình tốt hơn."</w:t>
      </w:r>
    </w:p>
    <w:p>
      <w:pPr>
        <w:spacing w:after="80"/>
      </w:pPr>
      <w:r>
        <w:rPr>
          <w:b w:val="0"/>
          <w:i w:val="0"/>
        </w:rPr>
        <w:t>Một ủy ban đặc biệt độc lập của hội đồng quản trị Blockbuster đã phê duyệt Cổ tức Đặc biệt, khoản này sẽ được trả vào ngày 3 tháng 9 năm 2004 dưới dạng cổ tức tiền mặt đặc biệt theo tỷ lệ 5 đô la mỗi cổ phiếu. Trong Cổ tức Đặc biệt, Viacom đã nhận được hơn 738 triệu đô la trong tổng số 905 triệu đô la được phân phối cho cổ đông Blockbuster.</w:t>
      </w:r>
    </w:p>
    <w:p>
      <w:pPr>
        <w:spacing w:after="80"/>
      </w:pPr>
      <w:r>
        <w:rPr>
          <w:b w:val="0"/>
          <w:i w:val="0"/>
        </w:rPr>
        <w:t>Vào ngày 8 tháng 9 năm 2004, Viacom đã phát hành một thông cáo báo chí công bố các điều khoản cuối cùng của Đề nghị Trao đổi tự nguyện. Một Bản cáo bạch phác thảo các điều khoản liên quan của Đề nghị Trao đổi đã sớm được ban hành sau đó. Trong Đề nghị Trao đổi, mỗi người nắm giữ cổ phiếu Viacom chào bán sẽ nhận được 5,15 cổ phiếu Blockbuster để đổi lấy mỗi cổ phiếu Viacom được chào bán. Viacom đã công bố rằng họ sẽ chấp nhận tối đa tổng cộng 27.961.165 cổ phiếu phổ thông Loại A và Loại B cho đến ngày kết thúc vào ngày 5 tháng 10 năm 2004. Bản cáo bạch đã công bố rằng (a) NAI sẽ không tham gia Đề nghị Trao đổi; (b) một số rủi ro tiềm ẩn liên quan đến việc mua cổ phiếu Blockbuster, bao gồm khả năng Blockbuster không thể hoạt động với khoản nợ gia tăng do Cổ tức Đặc biệt áp đặt; (c) một ủy ban đặc biệt của hội đồng quản trị Blockbuster, gồm ba giám đốc độc lập, đã đề nghị toàn bộ hội đồng quản trị Blockbuster phê duyệt Cổ tức Đặc biệt và Đề nghị Trao đổi; (d) ủy ban đặc biệt đã phê duyệt các điều khoản cuối cùng của việc thoái vốn; và (e) cả Viacom lẫn Blockbuster đều không đưa ra khuyến nghị nào cho cổ đông về Đề nghị Trao đổi. Bản cáo bạch cũng không công bố thành phần của ủy ban đặc biệt.</w:t>
      </w:r>
    </w:p>
    <w:p>
      <w:pPr>
        <w:spacing w:after="80"/>
      </w:pPr>
      <w:r>
        <w:rPr>
          <w:b w:val="0"/>
          <w:i w:val="0"/>
        </w:rPr>
        <w:t>Pfeffer và nhiều cổ đông Viacom khác, nhưng không bao gồm Redstone hay NAI, đã chào bán cổ phiếu của họ trong Đề nghị Trao đổi đã được đăng ký đầy đủ.</w:t>
      </w:r>
    </w:p>
    <w:p>
      <w:pPr>
        <w:spacing w:after="80"/>
      </w:pPr>
      <w:r>
        <w:rPr>
          <w:b w:val="0"/>
          <w:i w:val="0"/>
        </w:rPr>
        <w:t>Sau Đề nghị Trao đổi, Blockbuster đã vật lộn để duy trì lợi nhuận. Vào ngày 9 tháng 3 năm 2006, Blockbuster đã công bố việc điều chỉnh lại dòng tiền được báo cáo của mình cho các năm 2003 đến 2005. Sau nhiều tháng thảo luận với SEC, Blockbuster đã hạch toán các bản phát hành mới trong thư viện cho thuê của mình như tài sản ngắn hạn, thay vì phân loại trước đó là tài sản dài hạn. Do việc điều chỉnh lại này, Blockbuster đã phân loại các tài sản đó là chi phí hoạt động thay vì chi phí vốn.</w:t>
      </w:r>
    </w:p>
    <w:p>
      <w:pPr>
        <w:spacing w:after="80"/>
      </w:pPr>
      <w:r>
        <w:rPr>
          <w:b w:val="0"/>
          <w:i w:val="0"/>
        </w:rPr>
        <w:t>Pfeffer đã khởi kiện tập thể tại Tòa án Chancery thay mặt cho tất cả cổ đông Viacom trước đây đã chào bán cổ phiếu của họ trong Đề nghị Trao đổi, và thay mặt cho tất cả cổ đông Blockbuster đã nắm giữ cổ phiếu tính đến ngày ghi danh 27 tháng 8 năm 2004 cho Cổ tức Đặc biệt do Blockbuster phát hành. Pfeffer đã nêu tên 21 bị đơn trong đơn khiếu nại của mình, bao gồm hai tập đoàn, NAI và CBS, và một số giám đốc của Viacom và Blockbuster.</w:t>
      </w:r>
    </w:p>
    <w:p>
      <w:pPr>
        <w:spacing w:after="80"/>
      </w:pPr>
      <w:r>
        <w:rPr>
          <w:b w:val="0"/>
          <w:i w:val="0"/>
        </w:rPr>
        <w:t>Pfeffer tuyên bố rằng hội đồng quản trị Viacom đã vi phạm nghĩa vụ công bố thông tin của họ liên quan đến Đề nghị Trao đổi. Cụ thể, Pfeffer cáo buộc rằng các giám đốc Viacom hoặc đã không công bố, hoặc đã đưa ra những tuyên bố sai lệch trọng yếu về tình trạng thực sự của dòng tiền hoạt động của Blockbuster, phương pháp được sử dụng để xác định tỷ lệ trao đổi, và thành phần của ủy ban đặc biệt Viacom đã đề xuất giao dịch với hội đồng quản trị Viacom. Pfeffer khẳng định rằng hội đồng quản trị Viacom biết hoặc lẽ ra phải biết rằng một quản lý phòng ngân quỹ của Blockbuster đã tổng hợp một phân tích dòng tiền bảy tháng trước Đề nghị Trao đổi, và kiến thức đó chứng minh rằng dòng tiền hoạt động của Blockbuster không thể hỗ trợ Cổ tức Đặc biệt hay Đề nghị Trao đổi. Trong đơn khiếu nại của mình, Pfeffer đã chỉ ra một số thông báo của Blockbuster, bao gồm việc điều chỉnh lại dòng tiền của Blockbuster, như bằng chứng cho thấy các giám đốc Viacom và Blockbuster biết hoặc lẽ ra phải biết về những khó khăn tài chính của Blockbuster vào thời điểm họ khiến Bản cáo bạch được phổ biến. Mặc dù Pfeffer đã cố gắng chứng minh rằng các giám đốc biết hoặc lẽ ra phải biết về các vấn đề tài chính của Blockbuster, bà đã không cáo buộc rằng việc điều chỉnh lại được công bố đã gây ra sự sụt giảm giá thị trường của cổ phiếu Blockbuster. Pfeffer cũng tuyên bố rằng NAI và các giám đốc đã vi phạm nghĩa vụ trung thành của họ.</w:t>
      </w:r>
    </w:p>
    <w:p>
      <w:pPr>
        <w:spacing w:after="80"/>
      </w:pPr>
      <w:r>
        <w:rPr>
          <w:b w:val="0"/>
          <w:i w:val="0"/>
        </w:rPr>
        <w:t>Tất cả các bị đơn đã yêu cầu bác bỏ vụ kiện vì không nêu được khiếu nại. Vào ngày 1 tháng 2 năm 2008, Phó Chánh án đã bác bỏ tất cả các khiếu nại của Pfeffer với prejudice. Phó Chánh án đã phán quyết rằng các giám đốc Viacom đã không có những thiếu sót trọng yếu cũng như không có những tuyên bố gây nhầm lẫn trọng yếu trong Bản cáo bạch. Do đó, đơn khiếu nại đã không cáo buộc được một vi phạm nghĩa vụ trung thành có thể nhận thức được. Vì Phó Chánh án phán quyết rằng NAI đã không kiểm soát hành vi của các giám đốc Viacom trong các giao dịch, nên NAI cũng không vi phạm nghĩa vụ trung thành của mình.</w:t>
      </w:r>
    </w:p>
    <w:p>
      <w:pPr>
        <w:spacing w:after="80"/>
      </w:pPr>
      <w:r>
        <w:rPr>
          <w:b w:val="0"/>
          <w:i w:val="0"/>
        </w:rPr>
        <w:t>Trong kháng cáo này, Pfeffer chỉ kháng cáo việc Tòa án Chancery bác bỏ bốn cáo buộc đầu tiên trong đơn khiếu nại của bà. Bốn cáo buộc đó cáo buộc rằng các giám đốc Viacom đã vi phạm nghĩa vụ tín thác về trung thành, cẩn trọng và công bố thông tin của họ và rằng NAI đã vi phạm nghĩa vụ tín thác về trung thành của mình bằng cách đưa ra những tuyên bố sai lệch hoặc thiếu sót trọng yếu trong các tài liệu được phân phối trước Đề nghị Trao đổi. Pfeffer tuyên bố rằng vì lợi ích tài chính của Redstone và NAI trong Viacom, hành vi bị khiếu nại lẽ ra phải được xem xét theo tiêu chuẩn công bằng toàn diện, do đó loại trừ việc bác bỏ theo Quy tắc 12(b)(6).</w:t>
      </w:r>
    </w:p>
    <w:p>
      <w:pPr>
        <w:spacing w:after="80"/>
      </w:pPr>
      <w:r>
        <w:rPr>
          <w:b w:val="0"/>
          <w:i w:val="0"/>
        </w:rPr>
        <w:t>Phân tích</w:t>
      </w:r>
    </w:p>
    <w:p>
      <w:pPr>
        <w:spacing w:after="80"/>
      </w:pPr>
      <w:r>
        <w:rPr>
          <w:b w:val="0"/>
          <w:i w:val="0"/>
        </w:rPr>
        <w:t xml:space="preserve">Chúng tôi xem xét việc bác bỏ theo Quy tắc 12(b)(6) của Tòa án Chancery </w:t>
      </w:r>
      <w:r>
        <w:rPr>
          <w:b w:val="0"/>
          <w:i/>
        </w:rPr>
        <w:t>de novo.</w:t>
      </w:r>
      <w:r>
        <w:rPr>
          <w:b w:val="0"/>
          <w:i w:val="0"/>
        </w:rPr>
        <w:t xml:space="preserve"> Tòa án này, giống như Tòa án Chancery, được yêu cầu chấp nhận các cáo buộc được lập luận đầy đủ là đúng và đưa ra các suy luận hợp lý có lợi cho nguyên đơn. Tuy nhiên, chúng tôi không cần chấp nhận các cáo buộc mang tính kết luận là đúng và chỉ chấp nhận những suy luận thực sự hợp lý. Pfeffer thách thức quyết định của Phó Chánh án rằng các cáo buộc của bà là mang tính kết luận và không được lập luận đầy đủ.</w:t>
      </w:r>
    </w:p>
    <w:p>
      <w:pPr>
        <w:spacing w:after="80"/>
      </w:pPr>
      <w:r>
        <w:rPr>
          <w:b w:val="0"/>
          <w:i w:val="0"/>
        </w:rPr>
        <w:t>Pfeffer cáo buộc rằng Cổ tức Đặc biệt và Đề nghị Trao đổi nên phải chịu sự xem xét công bằng toàn diện vì NAI, với tư cách là cổ đông kiểm soát của Viacom, đã nâng cao lợi ích tài chính của mình lên trên lợi ích của các cổ đông thiểu số và đứng ở cả hai phía của các giao dịch.</w:t>
      </w:r>
    </w:p>
    <w:p>
      <w:pPr>
        <w:spacing w:after="80"/>
      </w:pPr>
      <w:r>
        <w:rPr>
          <w:b w:val="0"/>
          <w:i w:val="0"/>
        </w:rPr>
        <w:t>Phó Chánh án đã công nhận rằng "Luật Delaware không áp đặt nghĩa vụ công bằng toàn diện đối với các cổ đông kiểm soát khi thực hiện một đề nghị chào bán hoặc trao đổi không mang tính cưỡng chế để mua lại cổ phần trực tiếp từ các cổ đông thiểu số." Luật Delaware cũng không yêu cầu sự xem xét công bằng toàn diện khi một tập đoàn thực hiện một đề nghị tự nguyện, không mang tính cưỡng chế. Nhưng, các giám đốc Viacom có nghĩa vụ cấu trúc các điều khoản của Đề nghị Trao đổi theo cách không mang tính cưỡng chế và công bố tất cả các sự kiện trọng yếu liên quan đến nó.</w:t>
      </w:r>
    </w:p>
    <w:p>
      <w:pPr>
        <w:spacing w:after="80"/>
      </w:pPr>
      <w:r>
        <w:rPr>
          <w:b w:val="0"/>
          <w:i w:val="0"/>
        </w:rPr>
        <w:t>Phó Chánh án kết luận rằng các giám đốc Viacom đã cấu trúc Đề nghị Hoán đổi (Exchange Offer) một cách không mang tính ép buộc và đã công bố tất cả các sự kiện trọng yếu. Chúng tôi đồng ý. Mặc dù Viacom đã đưa ra Đề nghị Hoán đổi cho các cổ đông thiểu số của mình, nhưng hội đồng quản trị Viacom đã không khuyến nghị trong Bản cáo bạch (Prospectus) rằng các cổ đông đó nên hoán đổi cổ phần của họ. Đề nghị Hoán đổi hoàn toàn mang tính tự nguyện, và Bản cáo bạch đã công bố rõ ràng rằng NAI sẽ không tham gia vào Đề nghị Hoán đổi. Phó Chánh án đã xác định đúng đắn rằng đơn kiện không cho thấy các giám đốc Viacom, những người đã phê duyệt Đề nghị Hoán đổi, đã cấu trúc nó theo cách có lợi cho lợi ích của họ hơn là lợi ích của các cổ đông. Do đó, đơn kiện của Pfeffer chỉ có thể nêu một yêu cầu đòi bồi thường nếu cô ấy lập luận đầy đủ về các vi phạm công bố thông tin. Điều đó đưa chúng ta đến các khiếu nại về công bố thông tin.</w:t>
      </w:r>
    </w:p>
    <w:p>
      <w:pPr>
        <w:spacing w:after="80"/>
      </w:pPr>
      <w:r>
        <w:rPr>
          <w:b w:val="0"/>
          <w:i w:val="0"/>
        </w:rPr>
        <w:t>Như Phó Chánh án đã tuyên bố chính xác, rằng “[n]ghĩa vụ công bố thông tin không phải là một nghĩa vụ độc lập, mà bắt nguồn từ các nghĩa vụ cẩn trọng và trung thành.” “Các người được ủy thác của công ty có thể vi phạm nghĩa vụ công bố thông tin của họ theo luật Delaware . . . bằng cách đưa ra một tuyên bố sai lệch trọng yếu, bằng cách bỏ sót một sự kiện trọng yếu, hoặc bằng cách công bố một phần gây hiểu lầm trọng yếu.” “Các sự kiện trọng yếu là những sự kiện mà ‘có khả năng đáng kể rằng một người hợp lý sẽ coi [chúng] là quan trọng trong việc quyết định cách bỏ phiếu.’”</w:t>
      </w:r>
    </w:p>
    <w:p>
      <w:pPr>
        <w:spacing w:after="80"/>
      </w:pPr>
      <w:r>
        <w:rPr>
          <w:b w:val="0"/>
          <w:i w:val="0"/>
        </w:rPr>
        <w:t>Pfeffer phản đối việc Phó Chánh án bác bỏ đơn kiện của cô ấy, đơn kiện mà (cô ấy cho rằng) nêu rõ các vi phạm nghĩa vụ công bố thông tin ở bốn khía cạnh. Thứ nhất, Pfeffer cho rằng cô ấy đã lập luận đầy đủ rằng các công bố trong Bản cáo bạch về dòng tiền hoạt động của Blockbuster là trọng yếu. Thứ hai, Pfeffer khẳng định rằng cô ấy đã lập luận đầy đủ rằng hội đồng quản trị Viacom biết hoặc lẽ ra phải biết về những thiếu hụt dòng tiền hoạt động của Blockbuster và rằng việc thoái vốn sẽ khiến Blockbuster không thể đạt được các mục tiêu hoạt động của mình. Thứ ba, Pfeffer cho rằng Phó Chánh án đã sai khi xác định rằng phương pháp luận của hội đồng quản trị Viacom để xác định tỷ lệ hoán đổi là không trọng yếu. Thứ tư, Pfeffer lập luận rằng Phó Chánh án đã sai khi xác định thành phần của ủy ban đặc biệt Viacom, những người đã cấu trúc việc thoái vốn, là không trọng yếu.</w:t>
      </w:r>
    </w:p>
    <w:p>
      <w:pPr>
        <w:spacing w:after="80"/>
      </w:pPr>
      <w:r>
        <w:rPr>
          <w:b w:val="0"/>
          <w:i w:val="0"/>
        </w:rPr>
        <w:t>Các giám đốc Viacom phản hồi rằng, ngay cả khi có những tuyên bố sai lệch hoặc bỏ sót, chúng cũng không trọng yếu. Phó Chánh án đồng ý. Chúng tôi xem xét những phát hiện đó trong các mục tiếp theo.</w:t>
      </w:r>
    </w:p>
    <w:p>
      <w:pPr>
        <w:spacing w:after="80"/>
      </w:pPr>
      <w:r>
        <w:rPr>
          <w:b w:val="0"/>
          <w:i w:val="0"/>
        </w:rPr>
        <w:t>Pfeffer cho rằng việc phân loại lại kế toán của Blockbuster, xảy ra khoảng một năm rưỡi sau khi Bản cáo bạch được phân phối, chứng minh rằng Bản cáo bạch đã gây hiểu lầm và chứa các tuyên bố sai lệch trọng yếu. Đơn kiện cáo buộc rằng: (1) Bản cáo bạch “đã trình bày sai về dòng tiền của Blockbuster—vốn cực kỳ quan trọng đối với việc tài trợ cho các kế hoạch tăng trưởng của nó—hơn 58%;” và rằng (2) Bản cáo bạch trình bày rằng khả năng duy trì đủ dòng tiền hoạt động của Blockbuster là rất quan trọng để tài trợ cho kế hoạch mới của Blockbuster. Do đó, Pfeffer kết luận, vì không có tranh chấp rằng công bố về dòng tiền hoạt động đã tạo thành các tuyên bố sai lệch, vấn đề duy nhất là liệu những tuyên bố sai lệch đó có trọng yếu hay không.</w:t>
      </w:r>
    </w:p>
    <w:p>
      <w:pPr>
        <w:spacing w:after="80"/>
      </w:pPr>
      <w:r>
        <w:rPr>
          <w:b w:val="0"/>
          <w:i w:val="0"/>
        </w:rPr>
        <w:t>Các giám đốc Viacom phản hồi rằng: “Nguyên đơn đã thừa nhận tại phiên tranh luận miệng [tại Tòa án Chancery] rằng cô ấy không có cơ sở để cáo buộc rằng việc phân loại lại dòng tiền của Blockbuster đã ảnh hưởng đến thu nhập, tổng dòng tiền, thu nhập ròng, hay bất kỳ chỉ số kế toán nào khác của Blockbuster.” Các giám đốc Viacom còn lập luận rằng đơn kiện không cáo buộc rằng bất kỳ ai đã dựa vào phân tích dòng tiền dẫn đến việc phân loại lại.</w:t>
      </w:r>
    </w:p>
    <w:p>
      <w:pPr>
        <w:spacing w:after="80"/>
      </w:pPr>
      <w:r>
        <w:rPr>
          <w:b w:val="0"/>
          <w:i w:val="0"/>
        </w:rPr>
        <w:t>“Để nêu một yêu cầu về vi phạm nghĩa vụ công bố thông tin của người được ủy thác trên cơ sở một tuyên bố hoặc trình bày sai lệch, nguyên đơn phải xác định (1) một tuyên bố hoặc trình bày trọng yếu trong một thông tin liên lạc dự tính hành động của cổ đông (2) là sai lệch.” “Vấn đề về tính trọng yếu của một tuyên bố sai lệch hoặc bỏ sót bị cáo buộc trong một bản cáo bạch là một câu hỏi hỗn hợp giữa luật và sự kiện, nhưng chủ yếu là một câu hỏi về sự kiện.” “Tuy nhiên, các cáo buộc mang tính kết luận không cần được coi là đúng, cũng không nên đưa ra các suy luận trừ khi chúng thực sự hợp lý.”</w:t>
      </w:r>
    </w:p>
    <w:p>
      <w:pPr>
        <w:spacing w:after="80"/>
      </w:pPr>
      <w:r>
        <w:rPr>
          <w:b w:val="0"/>
          <w:i w:val="0"/>
        </w:rPr>
        <w:t>Phó Chánh án xác định rằng “nguyên đơn đã không đưa ra được các cáo buộc sự kiện được lập luận đầy đủ rằng một người hợp lý, khi quyết định cách bỏ phiếu, sẽ coi việc phân loại lại dòng tiền hoạt động và đầu tư trong trường hợp này là quan trọng.” Mặc dù Phó Chánh án nhận thấy rằng một số con số dòng tiền trong Bản cáo bạch sau đó đã được trình bày lại, Pfeffer đã không chứng minh đầy đủ lý do tại sao sự kiện đó lại trọng yếu. Phó Chánh án thừa nhận rằng việc trình bày lại dòng tiền chỉ đơn thuần phân loại lại một số dòng tiền nhất định, nhưng việc phân loại lại không ảnh hưởng đến tổng dòng tiền, thu nhập ròng, hay bất kỳ chỉ số kế toán nào khác được báo cáo. Phó Chánh án cũng lưu ý thêm rằng đơn kiện không lập luận rằng việc công bố việc trình bày lại đã ảnh hưởng đến giá cổ phiếu Blockbuster. Hơn nữa, các báo cáo tài chính đã được chứng nhận của Blockbuster đã giải thích các phương pháp kế toán của nó. Phó Chánh án kết luận rằng đơn kiện đã không cáo buộc được việc trình bày lại dòng tiền hoạt động đã lên đến mức độ của một tuyên bố sai lệch trọng yếu như thế nào để cấu thành một vi phạm công bố thông tin. Do đó, Pfeffer đã không cáo buộc bất kỳ cơ sở thực tế nào cho khiếu nại của cô ấy rằng các giám đốc Viacom biết hoặc lẽ ra phải biết rằng các báo cáo dòng tiền hoạt động của Blockbuster đã gây hiểu lầm trọng yếu. Chúng tôi kết luận rằng lập luận của Phó Chánh án là đúng.</w:t>
      </w:r>
    </w:p>
    <w:p>
      <w:pPr>
        <w:spacing w:after="80"/>
      </w:pPr>
      <w:r>
        <w:rPr>
          <w:b w:val="0"/>
          <w:i w:val="0"/>
        </w:rPr>
        <w:t>Dựa vào một phân tích dòng tiền do một nhân viên ngân quỹ của Blockbuster đề xuất bảy tháng trước khi Cổ tức Đặc biệt (Special Dividend) và Đề nghị Hoán đổi xảy ra, Pfeffer cho rằng các giám đốc Viacom biết hoặc lẽ ra phải biết rằng Blockbuster đối mặt với các vấn đề dòng tiền hoạt động trước Đề nghị Hoán đổi. Pfeffer cho rằng Redstone biết hoặc lẽ ra phải biết về phân tích dòng tiền vì John Antioco, Chủ tịch và CEO của Blockbuster, hẳn đã nói với ông ấy. Pfeffer khẳng định rằng đơn kiện của cô ấy lập luận đầy đủ rằng Viacom lẽ ra phải công bố phân tích dòng tiền. Tuy nhiên, các giám đốc Viacom khẳng định rằng họ không biết về phân tích dòng tiền và hơn nữa, Bản cáo bạch đã công bố đầy đủ về các vấn đề dòng tiền tiềm ẩn mà Blockbuster có thể gặp phải do Cổ tức Đặc biệt và Đề nghị Hoán đổi. Họ khẳng định rằng khiếu nại của Pfeffer chỉ dựa trên sự phỏng đoán và suy diễn mà thôi.</w:t>
      </w:r>
    </w:p>
    <w:p>
      <w:pPr>
        <w:spacing w:after="80"/>
      </w:pPr>
      <w:r>
        <w:rPr>
          <w:b w:val="0"/>
          <w:i w:val="0"/>
        </w:rPr>
        <w:t xml:space="preserve">Để các giám đốc Viacom có thể đã trình bày sai hoặc không công bố phân tích dòng tiền trong Bản cáo bạch, những giám đốc đó phải có quyền truy cập hợp lý vào thông tin đó của Blockbuster. “Để nêu một yêu cầu về vi phạm nghĩa vụ công bố thông tin do bỏ sót, nguyên đơn phải lập luận các sự kiện xác định (1) thông tin trọng yếu, (2) có sẵn một cách hợp lý (3) mà (4) đã bị bỏ sót khỏi các tài liệu ủy quyền.” “[T]hông tin bị bỏ sót là </w:t>
      </w:r>
      <w:r>
        <w:rPr>
          <w:b w:val="0"/>
          <w:i/>
        </w:rPr>
        <w:t>trọng yếu</w:t>
      </w:r>
      <w:r>
        <w:rPr>
          <w:b w:val="0"/>
          <w:i w:val="0"/>
        </w:rPr>
        <w:t xml:space="preserve"> nếu một cổ đông hợp lý sẽ coi nó là quan trọng khi quyết định có nên chào bán cổ phần của mình hay không hoặc sẽ thấy rằng thông tin đó đã thay đổi ‘tổng thể hỗn hợp’ thông tin có sẵn.” Các giám đốc Viacom phải công bố đầy đủ và công bằng tất cả thông tin trọng yếu trong tầm kiểm soát của họ khi tìm kiếm hành động của cổ đông. Họ không được miễn trừ khỏi việc công bố các sự kiện trọng yếu chỉ vì Bản cáo bạch đã công bố các yếu tố rủi ro liên quan đến đề nghị chào bán. Tuy nhiên, nếu các giám đốc Viacom không biết hoặc không có lý do để biết các sự kiện được cho là bị thiếu, thì về mặt logic các giám đốc không thể công bố chúng.</w:t>
      </w:r>
    </w:p>
    <w:p>
      <w:pPr>
        <w:spacing w:after="80"/>
      </w:pPr>
      <w:r>
        <w:rPr>
          <w:b w:val="0"/>
          <w:i w:val="0"/>
        </w:rPr>
        <w:t>Phó Chánh án xác định rằng lập luận của Pfeffer “hoàn toàn dựa trên một chuỗi suy diễn và phi logic.” Cáo buộc của Pfeffer rằng Redstone sẽ biết về dòng tiền của Blockbuster vì Antioco biết thông tin này và hẳn đã nói với Redstone đã không thuyết phục được ông ấy. Cáo buộc của Pfeffer rằng Redstone sau đó hẳn đã nói với các giám đốc Viacom khác cũng tương tự không gây được ấn tượng với Phó Chánh án. Điều quan trọng trong vấn đề này là Phó Chủ tịch Cấp cao về Quan hệ Nhà đầu tư và Ngân quỹ của Blockbuster đã nói với cấp dưới của bà ấy không nên tập trung vào phân tích dòng tiền. Phó Chánh án coi sự kiện đó là một cơ sở hợp lý để suy luận rằng ngay cả các Giám đốc Blockbuster cũng sẽ không biết về phân tích dòng tiền. Không có gì được cáo buộc trong đơn kiện biện minh cho bất kỳ suy luận trái ngược nào.</w:t>
      </w:r>
    </w:p>
    <w:p>
      <w:pPr>
        <w:spacing w:after="80"/>
      </w:pPr>
      <w:r>
        <w:rPr>
          <w:b w:val="0"/>
          <w:i w:val="0"/>
        </w:rPr>
        <w:t>Phó Chánh án đã xem xét các mô hình sự kiện nơi các cáo buộc đơn thuần về kiến thức có thể đủ; ví dụ, nếu một tài liệu “thuộc loại thường được công bố cho hội đồng quản trị.” Tuy nhiên, ở đây, phân tích dòng tiền không phải là loại tài liệu thường được công bố cho hội đồng quản trị của một công ty mẹ. Phó Chánh án đã kết luận như vậy. Pfeffer phàn nàn rằng các kết luận thực tế của Phó Chánh án, bao gồm cả kết luận này, là không phù hợp. Mặc dù “không có lý do để rời khỏi các quy tắc lập luận chung khi cáo buộc các vi phạm nghĩa vụ công bố thông tin,” “điều vốn có trong các vụ án công bố thông tin là các sự kiện bị trình bày sai hoặc bỏ sót phải được xác định và việc lập luận không được chỉ mang tính kết luận.” Khi lập luận về vi phạm nghĩa vụ ủy thác dựa trên kiến thức của các giám đốc Viacom, Pfeffer phải, ở mức tối thiểu, đưa ra “các sự kiện được lập luận đầy đủ mà từ đó có thể suy luận một cách hợp lý rằng ‘điều gì đó’ này là có thể biết được và rằng bị đơn ở vị trí để biết nó.”</w:t>
      </w:r>
    </w:p>
    <w:p>
      <w:pPr>
        <w:spacing w:after="80"/>
      </w:pPr>
      <w:r>
        <w:rPr>
          <w:b w:val="0"/>
          <w:i w:val="0"/>
        </w:rPr>
        <w:t>Ngoài việc khẳng định mang tính kết luận rằng các giám đốc Viacom sẽ (hoặc phải) được thông báo thông tin này, Pfeffer đã không lập luận đầy đủ bất kỳ sự kiện nào khác để hỗ trợ suy luận đó. Khẳng định rằng các giám đốc Viacom biết về phân tích dòng tiền vì Antioco hẳn đã nói với Redstone không thể mang tính kết luận hơn được nữa. Vì Pfeffer đã không cáo buộc rằng phân tích dòng tiền được thực hiện bởi một quản lý ngân quỹ cấp trung của một công ty con sẽ thường có sẵn cho các giám đốc Viacom, Phó Chánh án đã bác bỏ đúng đắn khiếu nại này.</w:t>
      </w:r>
    </w:p>
    <w:p>
      <w:pPr>
        <w:spacing w:after="80"/>
      </w:pPr>
      <w:r>
        <w:rPr>
          <w:b w:val="0"/>
          <w:i w:val="0"/>
        </w:rPr>
        <w:t>Phó Chánh án cũng xác định rằng phương pháp của Viacom để đưa ra tỷ lệ hoán đổi là không trọng yếu vì các giám đốc Viacom đã không tuyên bố cụ thể rằng mức giá được đưa ra là công bằng. Pfeffer cho rằng đó là sai lầm. Pfeffer nhấn mạnh rằng công bố tự nguyện của Viacom là một công bố một phần gây hiểu lầm, vì các cổ đông Viacom xứng đáng được biết cách các giám đốc của họ tính toán tỷ lệ hoán đổi. Các giám đốc Viacom khẳng định rằng họ không được yêu cầu công bố phương pháp luận tỷ lệ hoán đổi chính xác vì họ không tuyên bố rằng Đề nghị Hoán đổi là công bằng cũng không khuyến nghị rằng các cổ đông thiểu số của Viacom tham gia.</w:t>
      </w:r>
    </w:p>
    <w:p>
      <w:pPr>
        <w:spacing w:after="80"/>
      </w:pPr>
      <w:r>
        <w:rPr>
          <w:b w:val="0"/>
          <w:i w:val="0"/>
        </w:rPr>
        <w:t xml:space="preserve">Để nêu một yêu cầu dựa trên công bố một phần, “nguyên đơn phải lập luận các sự kiện xác định một tuyên bố (1) có lẽ là tự nguyện, nhưng (2) không đầy đủ một cách trọng yếu (3) được đưa ra (4) kết hợp với việc trưng cầu hành động của cổ đông mà (5) đòi hỏi sự bổ sung hoặc làm rõ thông qua (6) công bố sửa chữa thông tin có lẽ là trọng yếu, nhưng có sẵn một cách hợp lý.” Thông tin trọng yếu đối với quyết định của cổ đông về việc giữ hay bán cổ phần phải được công bố. Tuy nhiên, trong một đề nghị tự chào bán tự nguyện không mang tính ép buộc, các tòa án Delaware nói chung không yêu cầu công bố phương pháp luận định giá liên quan đến các đề nghị tự chào bán không mang tính ép buộc. Việc công bố như vậy sẽ là cần thiết khi hội đồng quản trị có nghĩa vụ đưa ra một mức giá </w:t>
      </w:r>
      <w:r>
        <w:rPr>
          <w:b w:val="0"/>
          <w:i/>
        </w:rPr>
        <w:t>công bằng</w:t>
      </w:r>
      <w:r>
        <w:rPr>
          <w:b w:val="0"/>
          <w:i w:val="0"/>
        </w:rPr>
        <w:t xml:space="preserve"> . . . hoặc hội đồng quản trị đã đưa ra một công bố một phần </w:t>
      </w:r>
      <w:r>
        <w:rPr>
          <w:b w:val="0"/>
          <w:i/>
        </w:rPr>
        <w:t>ngụ ý</w:t>
      </w:r>
      <w:r>
        <w:rPr>
          <w:b w:val="0"/>
          <w:i w:val="0"/>
        </w:rPr>
        <w:t xml:space="preserve"> rằng mức giá được đưa ra là công bằng, do đó đòi hỏi các công bố bổ sung để đảm bảo một trình bày cân bằng.</w:t>
      </w:r>
    </w:p>
    <w:p>
      <w:pPr>
        <w:spacing w:after="80"/>
      </w:pPr>
      <w:r>
        <w:rPr>
          <w:b w:val="0"/>
          <w:i w:val="0"/>
        </w:rPr>
        <w:t>Bản cáo bạch đã tuyên bố rõ ràng rằng hội đồng quản trị của cả Viacom và Blockbuster đều không đưa ra khuyến nghị nào về việc liệu các cổ đông Viacom có nên tham gia vào Đề nghị Hoán đổi hay không. Nó còn công bố rằng Đề nghị Hoán đổi là tự nguyện và không mang tính ép buộc. Thực vậy, Bản cáo bạch đã công bố rằng “Viacom không thể dự đoán mức giá mà cổ phiếu Viacom . . . hoặc cổ phiếu Blockbuster . . . sẽ được giao dịch vào ngày hết hạn của đề nghị hoán đổi, và do đó, không thể dự đoán liệu các cổ đông tham gia vào việc hoán đổi này có nhận được một khoản phụ trội cho cổ phần của họ hay không.” Mặc dù Bản cáo bạch tuyên bố rằng một lý do chính cho mức giá là để khuyến khích cổ đông chào bán, nó đã không ngụ ý rằng Đề nghị Hoán đổi là công bằng hoặc gợi ý rằng mức giá đại diện cho giá trị nội tại của cổ phiếu. Vì lý do đó, các cổ đông Viacom không thể dựa một cách hợp lý vào việc tỷ lệ hoán đổi hoặc mức giá là công bằng khi quyết định có nên chào bán cổ phần của họ hay không. Phó Chánh án đã xác định đúng đắn rằng phương pháp luận được sử dụng để xác định tỷ lệ hoán đổi là không trọng yếu. Do đó, chúng tôi giữ nguyên việc Phó Chánh án bác bỏ khiếu nại này.</w:t>
      </w:r>
    </w:p>
    <w:p>
      <w:pPr>
        <w:spacing w:after="80"/>
      </w:pPr>
      <w:r>
        <w:rPr>
          <w:b w:val="0"/>
          <w:i w:val="0"/>
        </w:rPr>
        <w:t>Pfeffer tiếp theo lập luận rằng việc Viacom tiết lộ trong Bản cáo bạch (Prospectus) rằng có một ủy ban đặc biệt tồn tại, mà không đồng thời tiết lộ tên các giám đốc trong ủy ban đó, đã vi phạm nghĩa vụ công bố thông tin của các giám đốc Viacom.</w:t>
      </w:r>
    </w:p>
    <w:p>
      <w:pPr>
        <w:spacing w:after="80"/>
      </w:pPr>
      <w:r>
        <w:rPr>
          <w:b w:val="0"/>
          <w:i w:val="0"/>
        </w:rPr>
        <w:t xml:space="preserve">Trong </w:t>
      </w:r>
      <w:r>
        <w:rPr>
          <w:b w:val="0"/>
          <w:i/>
        </w:rPr>
        <w:t>Frank v. Arnelle</w:t>
      </w:r>
      <w:r>
        <w:rPr>
          <w:b w:val="0"/>
          <w:i w:val="0"/>
        </w:rPr>
        <w:t xml:space="preserve"> , Tòa án Chancery đã phán quyết rằng: “việc một ủy ban đặc biệt, thay vì toàn bộ Hội đồng quản trị, ấn định khung giá và các điều khoản khác [không phải là] thông tin trọng yếu.” Đề nghị mua lại (Offer to Purchase) trong </w:t>
      </w:r>
      <w:r>
        <w:rPr>
          <w:b w:val="0"/>
          <w:i/>
        </w:rPr>
        <w:t>Frank</w:t>
      </w:r>
      <w:r>
        <w:rPr>
          <w:b w:val="0"/>
          <w:i w:val="0"/>
        </w:rPr>
        <w:t xml:space="preserve"> đã không tiết lộ sự tham gia của một ủy ban đặc biệt. Ở đây, bản cáo bạch của Viacom đã đề cập rõ ràng đến ủy ban đặc biệt. Điều đó khiến Phó Chánh án đặt vấn đề theo hướng liệu việc công bố đó có thiếu sót trọng yếu hay không.</w:t>
      </w:r>
    </w:p>
    <w:p>
      <w:pPr>
        <w:spacing w:after="80"/>
      </w:pPr>
      <w:r>
        <w:rPr>
          <w:b w:val="0"/>
          <w:i w:val="0"/>
        </w:rPr>
        <w:t>Đã được xác lập rõ ràng rằng “[K]hi những người có nghĩa vụ ủy thác (fiduciaries) tiến hành mô tả các sự kiện, họ phải làm điều đó một cách cân bằng và chính xác, không tạo ra ấn tượng gây nhầm lẫn trọng yếu.” “[V]iệc công bố ngay cả một sự kiện không trọng yếu, trong một số trường hợp, có thể làm phát sinh nghĩa vụ công bố thêm những sự kiện khác vốn không trọng yếu, nhằm ngăn chặn việc công bố ban đầu gây nhầm lẫn trọng yếu cho các cổ đông.”</w:t>
      </w:r>
    </w:p>
    <w:p>
      <w:pPr>
        <w:spacing w:after="80"/>
      </w:pPr>
      <w:r>
        <w:rPr>
          <w:b w:val="0"/>
          <w:i w:val="0"/>
        </w:rPr>
        <w:t>Ở đây, Phó Chánh án xác định rằng, một đề cập duy nhất đến ủy ban đặc biệt của Viacom không đòi hỏi phải giải thích thêm, bởi vì Bản cáo bạch không ngụ ý rằng ủy ban đã quyết định bất cứ điều gì quan trọng hơn những gì mà toàn bộ Hội đồng quản trị có thể đã quyết định. Việc thiếu sót đó không gây nhầm lẫn trọng yếu bởi vì “[k]hông có dấu hiệu nào cho thấy ủy ban độc lập với ban điều hành hoặc với NAI, cũng như ngôn từ trong Bản cáo bạch không khiến các cổ đông tin cậy vào quyết định của ủy ban đặc biệt để xác nhận tính hợp lệ của giao dịch.” Bản cáo bạch đã công bố đầy đủ rằng NAI là cổ đông kiểm soát của Viacom và Redstone là cổ đông kiểm soát của NAI, đồng thời là chủ tịch và CEO của Viacom.</w:t>
      </w:r>
    </w:p>
    <w:p>
      <w:pPr>
        <w:spacing w:after="80"/>
      </w:pPr>
      <w:r>
        <w:rPr>
          <w:b w:val="0"/>
          <w:i w:val="0"/>
        </w:rPr>
        <w:t>Chúng tôi đồng ý rằng thành phần của ủy ban đặc biệt Viacom không phải là thông tin trọng yếu và rằng Bản cáo bạch đã không bỏ sót thông tin trọng yếu về ủy ban này. Do đó, chúng tôi giữ nguyên phán quyết rằng Phó Chánh án đã đúng khi bác bỏ khiếu nại này.</w:t>
      </w:r>
    </w:p>
    <w:p>
      <w:pPr>
        <w:spacing w:after="80"/>
      </w:pPr>
      <w:r>
        <w:rPr>
          <w:b w:val="0"/>
          <w:i w:val="0"/>
        </w:rPr>
        <w:t>Pfeffer lập luận rằng các giám đốc Viacom đã thiết kế giao dịch nhằm mang lại lợi ích cho Redstone và NAI. Nhưng bà không cáo buộc rằng các giám đốc đứng ở cả hai phía của Đề nghị Hoán đổi (Exchange Offer) hoặc rằng họ nhận được một lợi ích tài chính riêng biệt mà các cổ đông không được hưởng. Đơn khiếu nại của Pfeffer cáo buộc một cách kết luận suông rằng “[m]ỗi bị đơn là giám đốc Viacom đã vi phạm nghĩa vụ trung thành và cẩn trọng của mình khi phê duyệt và/hoặc đồng tình với Đề nghị Hoán đổi theo những điều khoản bất công với các cổ đông thiểu số của Viacom và mang lại lợi ích bất công cho cổ đông kiểm soát của Viacom là NAI, cùng Redstone.”</w:t>
      </w:r>
    </w:p>
    <w:p>
      <w:pPr>
        <w:spacing w:after="80"/>
      </w:pPr>
      <w:r>
        <w:rPr>
          <w:b w:val="0"/>
          <w:i w:val="0"/>
        </w:rPr>
        <w:t>“[K]hi có lý do để tin rằng hội đồng quản trị đã thiếu thiện chí trong việc phê duyệt một công bố thông tin, thì sự vi phạm đó liên quan đến nghĩa vụ trung thành.” Tuy nhiên, những cáo buộc kết luận suông rằng NAI được hưởng lợi bất công từ Đề nghị Hoán đổi là không đủ để đưa ra một khiếu nại rằng các giám đốc Viacom đã hành động với ý đồ xấu, qua đó vi phạm nghĩa vụ trung thành của họ.</w:t>
      </w:r>
    </w:p>
    <w:p>
      <w:pPr>
        <w:spacing w:after="80"/>
      </w:pPr>
      <w:r>
        <w:rPr>
          <w:b w:val="0"/>
          <w:i w:val="0"/>
        </w:rPr>
        <w:t xml:space="preserve">Phó Chánh án đã xác định đúng rằng 8 </w:t>
      </w:r>
      <w:r>
        <w:rPr>
          <w:b w:val="0"/>
          <w:i/>
        </w:rPr>
        <w:t>Del.C.</w:t>
      </w:r>
      <w:r>
        <w:rPr>
          <w:b w:val="0"/>
          <w:i w:val="0"/>
        </w:rPr>
        <w:t xml:space="preserve"> § 144 không áp dụng cho Đề nghị Hoán đổi, bởi vì Mục 144 đề cập đến các giao dịch có xung đột lợi ích (interested transactions), mà Đề nghị Hoán đổi này không phải là loại giao dịch đó. Một giao dịch là có xung đột lợi ích khi các giám đốc xuất hiện ở cả hai phía của giao dịch hoặc kỳ vọng thu được lợi ích tài chính từ giao dịch đó mà lợi ích này không “thuộc về công ty hoặc tất cả các cổ đông nói chung.” Lợi ích cá nhân này phải lớn đến mức “khó có thể xảy ra việc giám đốc đó có thể thực hiện nghĩa vụ ủy thác của mình . . . mà không bị ảnh hưởng bởi lợi ích cá nhân chi phối của bà ta.”</w:t>
      </w:r>
    </w:p>
    <w:p>
      <w:pPr>
        <w:spacing w:after="80"/>
      </w:pPr>
      <w:r>
        <w:rPr>
          <w:b w:val="0"/>
          <w:i w:val="0"/>
        </w:rPr>
        <w:t xml:space="preserve">Pfeffer phàn nàn rằng Redstone, thông qua công ty NAI của ông, đã nhận được phần áp đảo của Cổ tức Đặc biệt (Special Dividend). Điều đó có thể đúng, nhưng nó không thiết lập được một xung đột lợi ích cá nhân đủ để loại trừ tư cách, vì NAI nắm giữ phần lớn cổ phần của Viacom. Điều </w:t>
      </w:r>
      <w:r>
        <w:rPr>
          <w:b w:val="0"/>
          <w:i/>
        </w:rPr>
        <w:t>thực sự</w:t>
      </w:r>
      <w:r>
        <w:rPr>
          <w:b w:val="0"/>
          <w:i w:val="0"/>
        </w:rPr>
        <w:t xml:space="preserve"> đáng kể là Giám đốc Redstone và NAI không nhận được bất cứ thứ gì riêng biệt mà các cổ đông khác không thể có được. Pfeffer cũng phàn nàn rằng do kết quả của Đề nghị Hoán đổi, Redstone và NAI đã gia tăng quyền kiểm soát đa số của họ đối với Viacom. Nhưng điều đó, nếu không có gì thêm, không đủ để đưa ra một khiếu nại hợp pháp rằng Redstone và NAI đã hành động với ý đồ xấu. Cuối cùng, Pfeffer cáo buộc rằng các giám đốc Viacom đã không công bố các sự kiện về tình hình tài chính nguy hiểm của Blockbuster. Như chúng tôi đã phán quyết, đơn khiếu nại không đưa ra được các sự kiện tạo nên suy luận hợp lý rằng các giám đốc Viacom đã có quyền tiếp cận thông tin tài chính đó.</w:t>
      </w:r>
    </w:p>
    <w:p>
      <w:pPr>
        <w:spacing w:after="80"/>
      </w:pPr>
      <w:r>
        <w:rPr>
          <w:b w:val="0"/>
          <w:i w:val="0"/>
        </w:rPr>
        <w:t>Vì những lý do này, chúng tôi kết luận rằng Phó Chánh án đã đúng khi bác bỏ khiếu nại về vi phạm nghĩa vụ trung thành đối với các giám đốc Viacom.</w:t>
      </w:r>
    </w:p>
    <w:p>
      <w:pPr>
        <w:spacing w:after="80"/>
      </w:pPr>
      <w:r>
        <w:rPr>
          <w:b w:val="0"/>
          <w:i w:val="0"/>
        </w:rPr>
        <w:t>Cuối cùng, Pfeffer lập luận rằng “NAI đã vi phạm nghĩa vụ ủy thác của mình đối với các cổ đông thiểu số của Viacom . . . bằng cách khiến các bị đơn là giám đốc Viacom phê duyệt và đề xuất [sic] Đề nghị Hoán đổi cho các cổ đông thiểu số của Viacom.” Tuy nhiên, NAI đã không xây dựng hay chỉ đạo Đề nghị Hoán đổi hoặc Cổ tức Đặc biệt, và Pfeffer không đưa ra được bất kỳ sự kiện nào được trình bày đầy đủ để cho thấy điều ngược lại. Bà chỉ lập luận rằng NAI đã không công bố rằng Bản cáo bạch chứa các báo cáo tài chính gây nhầm lẫn. Nếu Pfeffer đã trình bày đầy đủ rằng NAI tham gia vào việc tạo dựng các giao dịch và sau đó chỉ đạo hành vi của các giám đốc Viacom, thì bà có thể đã đưa ra được một khiếu nại, nhưng việc liệt kê các thiếu sót được cho là trong công bố của Bản cáo bạch thì còn xa mới đủ để quy trách nhiệm cho NAI về việc vi phạm nghĩa vụ ủy thác với tư cách cổ đông kiểm soát. Vì những lý do này, Phó Chánh án đã đúng khi bác bỏ khiếu nại về vi phạm nghĩa vụ trung thành đối với NAI.</w:t>
      </w:r>
    </w:p>
    <w:p>
      <w:pPr>
        <w:spacing w:after="80"/>
      </w:pPr>
      <w:r>
        <w:rPr>
          <w:b w:val="0"/>
          <w:i w:val="0"/>
        </w:rPr>
        <w:t>Vì những lý do đã nêu trên, chúng tôi giữ nguyên phán quyết của Tòa án Chancery.</w:t>
      </w:r>
    </w:p>
    <w:p>
      <w:pPr>
        <w:pStyle w:val="Heading5"/>
      </w:pPr>
      <w:r>
        <w:rPr>
          <w:rFonts w:ascii="Calibri" w:hAnsi="Calibri"/>
          <w:b/>
          <w:i/>
          <w:sz w:val="22"/>
        </w:rPr>
        <w:t>Bình luận và Câu hỏi</w:t>
      </w:r>
    </w:p>
    <w:p>
      <w:pPr>
        <w:spacing w:after="80"/>
      </w:pPr>
      <w:r>
        <w:rPr>
          <w:b w:val="0"/>
          <w:i w:val="0"/>
        </w:rPr>
        <w:t xml:space="preserve">1. Các cổ đông bị bất lợi như thế nào bởi những yêu cầu trình bày khiếu nại nghiêm ngặt của Tòa án Tối cao Delaware? Tòa án trong </w:t>
      </w:r>
      <w:r>
        <w:rPr>
          <w:b w:val="0"/>
          <w:i/>
        </w:rPr>
        <w:t>Pfeffer</w:t>
      </w:r>
      <w:r>
        <w:rPr>
          <w:b w:val="0"/>
          <w:i w:val="0"/>
        </w:rPr>
        <w:t xml:space="preserve"> đưa ra hướng dẫn gì cho các cổ đông đang cố gắng soạn thảo đơn khiếu nại đáp ứng các tiêu chuẩn trình bày khiếu nại tối thiểu?</w:t>
      </w:r>
    </w:p>
    <w:p>
      <w:pPr>
        <w:spacing w:after="80"/>
      </w:pPr>
      <w:r>
        <w:rPr>
          <w:b w:val="0"/>
          <w:i w:val="0"/>
        </w:rPr>
        <w:t>2. Có thực sự không có suy luận hợp lý nào có thể được rút ra từ đơn khiếu nại của nguyên đơn để có thể giúp đơn này vượt qua được việc bị bác bỏ hay không? Những phát hiện của tòa án về tính trọng yếu có kém tính kết luận suông hơn so với đơn khiếu nại của nguyên đơn hay không? Nếu không, thì ai nên thắng trong một tình huống hòa trước giai đoạn thu thập chứng cứ (discovery): tòa án hay nguyên đơn?</w:t>
      </w:r>
    </w:p>
    <w:p>
      <w:pPr>
        <w:spacing w:after="80"/>
      </w:pPr>
      <w:r>
        <w:rPr>
          <w:b w:val="0"/>
          <w:i w:val="0"/>
        </w:rPr>
        <w:t xml:space="preserve">3. Tiêu chuẩn trọng yếu của thông tin mà tòa án trong </w:t>
      </w:r>
      <w:r>
        <w:rPr>
          <w:b w:val="0"/>
          <w:i/>
        </w:rPr>
        <w:t>Pfeffer</w:t>
      </w:r>
      <w:r>
        <w:rPr>
          <w:b w:val="0"/>
          <w:i w:val="0"/>
        </w:rPr>
        <w:t xml:space="preserve"> đưa ra là tiêu chuẩn của một người hợp lý đưa ra các quyết định đầu tư. Xét rằng việc thoái vốn phụ thuộc vào một khoản chi tiền mặt đáng kể của Blockbuster, tại sao tình hình dòng tiền của Blockbuster lại không được coi là trọng yếu?</w:t>
      </w:r>
    </w:p>
    <w:p>
      <w:pPr>
        <w:spacing w:after="80"/>
      </w:pPr>
      <w:r>
        <w:rPr>
          <w:b w:val="0"/>
          <w:i w:val="0"/>
        </w:rPr>
        <w:t>4. Tính chất phi cưỡng chế của việc hoán đổi cổ phần được đề xuất quan trọng đến mức nào trong việc xác định tính trọng yếu? Tại sao điều này lại tạo nên sự khác biệt?</w:t>
      </w:r>
    </w:p>
    <w:p>
      <w:pPr>
        <w:spacing w:after="80"/>
      </w:pPr>
      <w:r>
        <w:rPr>
          <w:b w:val="0"/>
          <w:i w:val="0"/>
        </w:rPr>
        <w:t>—————</w:t>
      </w:r>
    </w:p>
    <w:p>
      <w:pPr>
        <w:spacing w:after="80"/>
      </w:pPr>
      <w:r>
        <w:rPr>
          <w:b w:val="0"/>
          <w:i w:val="0"/>
        </w:rPr>
        <w:t>Bất chấp ngôn ngữ mang nặng tính đạo đức trong các phán quyết về nghĩa vụ tín thác (fiduciary duty), ngành tư pháp Delaware đã nhận phải chỉ trích rằng án lệ của họ đã thu gọn nghĩa vụ trung thành (duty of loyalty) thành một học thuyết không còn răng. Phần bình luận sau đây trình bày một số phê bình chính đối với án lệ của Delaware.</w:t>
      </w:r>
    </w:p>
    <w:p>
      <w:pPr>
        <w:pStyle w:val="Heading4"/>
      </w:pPr>
      <w:r>
        <w:rPr>
          <w:rFonts w:ascii="Calibri" w:hAnsi="Calibri"/>
          <w:b/>
          <w:i w:val="0"/>
          <w:sz w:val="23"/>
        </w:rPr>
        <w:t xml:space="preserve">J. Robert Brown, Jr., </w:t>
      </w:r>
      <w:r>
        <w:rPr>
          <w:rFonts w:ascii="Calibri" w:hAnsi="Calibri"/>
          <w:b/>
          <w:i/>
          <w:sz w:val="23"/>
        </w:rPr>
        <w:t>Bất trung thành không giới hạn: Các giám đốc “độc lập”</w:t>
      </w:r>
      <w:r>
        <w:br/>
      </w:r>
      <w:r>
        <w:rPr>
          <w:rFonts w:ascii="Calibri" w:hAnsi="Calibri"/>
          <w:b/>
          <w:i/>
          <w:sz w:val="23"/>
        </w:rPr>
        <w:t xml:space="preserve"> và sự xóa bỏ nghĩa vụ trung thành</w:t>
      </w:r>
    </w:p>
    <w:p>
      <w:pPr>
        <w:spacing w:after="80"/>
      </w:pPr>
      <w:r>
        <w:rPr>
          <w:b w:val="0"/>
          <w:i w:val="0"/>
        </w:rPr>
        <w:t>95 Ky. L.J. 53 (2006)</w:t>
      </w:r>
    </w:p>
    <w:p>
      <w:pPr>
        <w:spacing w:after="80"/>
      </w:pPr>
      <w:r>
        <w:rPr>
          <w:b w:val="0"/>
          <w:i w:val="0"/>
        </w:rPr>
        <w:t>Dù người ta có thể nói gì về nghĩa vụ của các nhà quản lý doanh nghiệp, vẫn có sự đồng thuận phổ quát rằng họ phải luôn trung thành với công ty. Trong khi lòng trung thành có thể mang nhiều ý nghĩa khác nhau, thuật ngữ này chắc chắn bao hàm quan niệm rằng các giám đốc không được lợi dụng vị trí của mình để trục lợi một cách bất công từ công ty. Chính khái niệm nền tảng về sự công bằng này, về mặt lý thuyết, đặt ra giới hạn cho các giao dịch vì lợi ích cá nhân, đặc biệt là thù lao cho ban điều hành.</w:t>
      </w:r>
    </w:p>
    <w:p>
      <w:pPr>
        <w:spacing w:after="80"/>
      </w:pPr>
      <w:r>
        <w:rPr>
          <w:b w:val="0"/>
          <w:i w:val="0"/>
        </w:rPr>
        <w:t>Bất chấp những lời tán dương không ngớt cho quan điểm này, các tòa án Delaware gần như đã xóa bỏ mọi giới hạn có ý nghĩa đối với các giao dịch vì lợi ích cá nhân. Chẳng hạn, các khoản cho vay đối với cán bộ và giám đốc không cần phải đáp ứng các tiêu chuẩn hợp lý về mặt thương mại; các cán bộ cấp cao có thể được trả những khoản tiền quá mức mà không có sự giám sát tư pháp nào về tính công bằng của số tiền đó; và các khoản đóng góp có thể được thực hiện cho các tổ chức từ thiện mà CEO ưa thích gần như không có giới hạn.</w:t>
      </w:r>
    </w:p>
    <w:p>
      <w:pPr>
        <w:spacing w:after="80"/>
      </w:pPr>
      <w:r>
        <w:rPr>
          <w:b w:val="0"/>
          <w:i w:val="0"/>
        </w:rPr>
        <w:t>Điều này không phải xảy ra cùng một lúc. Ban đầu, các tòa án nhìn nhận các giao dịch xung đột lợi ích với sự nghi ngờ đáng kể, thường coi chúng là có thể bị vô hiệu hóa. Theo thời gian, cách tiếp cận đó nhường chỗ cho một quy tắc khả thi hơn, đòi hỏi giao dịch phải công bằng. Tính công bằng tạo thành một giới hạn thực chất—các nhà quản lý có thể thu lợi từ công ty miễn là họ không thu lợi một cách bất công.</w:t>
      </w:r>
    </w:p>
    <w:p>
      <w:pPr>
        <w:spacing w:after="80"/>
      </w:pPr>
      <w:r>
        <w:rPr>
          <w:b w:val="0"/>
          <w:i w:val="0"/>
        </w:rPr>
        <w:t>Tuy nhiên, những giới hạn này không còn được áp dụng nữa. Với rất ít thảo luận, các tòa án Delaware đã tạo ra một bộ thủ tục khiến tính công bằng trở nên không còn liên quan. Chỉ cần được một cơ quan ra quyết định “trung lập” phê duyệt, một giao dịch xung đột lợi ích sẽ được xem xét theo quy tắc phán đoán kinh doanh (business judgment rule), một tiêu chuẩn thủ tục hiếm khi bị vượt qua và không liên quan đến việc xem xét các điều khoản của giao dịch. Cách tiếp cận này chứa đựng những sai sót nghiêm trọng, có cái mang tính thực tiễn, có cái mang tính phân tích, và có cái mang tính thủ tục.</w:t>
      </w:r>
    </w:p>
    <w:p>
      <w:pPr>
        <w:spacing w:after="80"/>
      </w:pPr>
      <w:r>
        <w:rPr>
          <w:b w:val="0"/>
          <w:i w:val="0"/>
        </w:rPr>
        <w:t>Về mặt phân tích, quy tắc phán đoán kinh doanh vốn không được thiết kế để áp dụng cho các giao dịch xung đột lợi ích. Thay vào đó, nó ra đời như một biện pháp bao quát quá rộng nhằm bảo vệ việc chấp nhận rủi ro của nhà quản lý. Quy tắc phán đoán kinh doanh làm điều này bằng cách khiến hậu quả của một quyết định về cơ bản trở nên không còn liên quan. Miễn là quy trình đưa ra quyết định là thỏa đáng, sẽ không có trách nhiệm pháp lý nào được gán. Tuy nhiên, lý do này không áp dụng khi tổn hại không xuất phát từ việc chấp nhận rủi ro mà từ xung đột lợi ích.</w:t>
      </w:r>
    </w:p>
    <w:p>
      <w:pPr>
        <w:spacing w:after="80"/>
      </w:pPr>
      <w:r>
        <w:rPr>
          <w:b w:val="0"/>
          <w:i w:val="0"/>
        </w:rPr>
        <w:t>Tuy nhiên, các tòa án Delaware đã đảo ngược cách tiếp cận này. Họ áp dụng quy tắc phán đoán kinh doanh cho các vụ việc liên quan đến xung đột lợi ích khi đa số thành viên hội đồng quản trị được mô tả là không có lợi ích cá nhân và độc lập. Việc xung đột vẫn hiện diện trong quá trình ra quyết định không tạo nên sự khác biệt nào. Thật vậy, các giám đốc có lợi ích cá nhân có thể ngồi dự các cuộc thảo luận, tham gia tranh luận, và thậm chí bỏ phiếu về giao dịch mà hội đồng vẫn không mất đi tư cách “trung lập”.</w:t>
      </w:r>
    </w:p>
    <w:p>
      <w:pPr>
        <w:spacing w:after="80"/>
      </w:pPr>
      <w:r>
        <w:rPr>
          <w:b w:val="0"/>
          <w:i w:val="0"/>
        </w:rPr>
        <w:t>Từ góc độ thực tiễn, các tòa án Delaware không đảm bảo đầy đủ rằng những giám đốc được xác định là độc lập thực sự độc lập. Họ thường xuyên bỏ qua bằng chứng về mối liên hệ của một giám đốc với bên có lợi ích cá nhân và áp dụng những tiêu chí thay đổi, thiếu nhất quán. Kết quả là, những hội đồng được coi là có đa số giám đốc độc lập thường thực tế lại không phải như vậy.</w:t>
      </w:r>
    </w:p>
    <w:p>
      <w:pPr>
        <w:spacing w:after="80"/>
      </w:pPr>
      <w:r>
        <w:rPr>
          <w:b w:val="0"/>
          <w:i w:val="0"/>
        </w:rPr>
        <w:t>Về mặt thủ tục, các tòa án Delaware sử dụng những quy tắc về việc trình bày yêu cầu (pleading rules) ngăn cản việc xem xét đầy đủ mối quan hệ của một giám đốc với bên có lợi ích cá nhân. Các sự kiện để bác bỏ giả định về tính độc lập phải được trình bày với mức độ chi tiết cụ thể. Các tòa án sử dụng tiêu chuẩn cao hơn này để bác bỏ vụ việc theo kiến nghị mà không cho phép thu thập chứng cứ (discovery). Họ làm vậy ngay cả khi nguyên đơn đã đưa ra các sự kiện gợi ý về sự thiếu độc lập và khi thông tin bổ sung về mối quan hệ đó không được công khai.</w:t>
      </w:r>
    </w:p>
    <w:p>
      <w:pPr>
        <w:spacing w:after="80"/>
      </w:pPr>
      <w:r>
        <w:rPr>
          <w:b w:val="0"/>
          <w:i w:val="0"/>
        </w:rPr>
        <w:t>Bất chấp sự hiện diện của ảnh hưởng từ bên có lợi ích cá nhân trong quá trình ra quyết định và sự thiếu vắng các giám đốc thực sự độc lập, các tòa án vẫn áp dụng quy tắc phán đoán kinh doanh và tuân theo quyết định của hội đồng. Kết quả có thể đoán trước được. Chúng đảm bảo một cách hiệu quả rằng các giao dịch có lợi ích cá nhân sẽ được phê duyệt bởi chính những người có lợi ích cá nhân.</w:t>
      </w:r>
    </w:p>
    <w:p>
      <w:pPr>
        <w:spacing w:after="80"/>
      </w:pPr>
      <w:r>
        <w:rPr>
          <w:b w:val="0"/>
          <w:i/>
        </w:rPr>
        <w:t>Giả định về tính độc lập và các tiêu chuẩn trình bày yêu cầu vô lý</w:t>
      </w:r>
    </w:p>
    <w:p>
      <w:pPr>
        <w:spacing w:after="80"/>
      </w:pPr>
      <w:r>
        <w:rPr>
          <w:b w:val="0"/>
          <w:i w:val="0"/>
        </w:rPr>
        <w:t>Các tòa án sử dụng nhiều cơ chế thiếu nhất quán về mặt phân tích để bác bỏ các thách thức đối với tính độc lập của một giám đốc. Họ tuyên bố dựa trên một ngưỡng trọng yếu nhưng lại bỏ qua nó khi thấy thuận tiện, như trong việc áp dụng (hoặc không áp dụng) đối với thù lao của giám đốc. Các tòa án thừa nhận rằng các mối quan hệ cá nhân và quan hệ kinh doanh bên ngoài có thể làm suy giảm tính độc lập, nhưng lại áp dụng một tiêu chí gần như đảm bảo rằng những mối quan hệ này không bao giờ làm được điều đó. Phần lớn, tuy nhiên, các tòa án sử dụng những tiêu chuẩn trình bày yêu cầu vô lý để bác bỏ các thách thức trước khi việc thu thập chứng cứ diễn ra.</w:t>
      </w:r>
    </w:p>
    <w:p>
      <w:pPr>
        <w:spacing w:after="80"/>
      </w:pPr>
      <w:r>
        <w:rPr>
          <w:b w:val="0"/>
          <w:i w:val="0"/>
        </w:rPr>
        <w:t>Tòa án thường yêu cầu, như một phần của tiêu chuẩn tính cụ thể (particularity standard), những sự kiện không dễ gì có được. Họ thường đổ lỗi cho cổ đông vì sự thiếu vắng thông tin cần thiết, khăng khăng rằng điều đó bắt nguồn từ việc không thực hiện quyền kiểm tra (inspection rights). Trên thực tế, thông tin cần thiết hiếm khi, nếu không muốn nói là chưa bao giờ, có được theo cách này — điều mà ít nhất một số tòa án Delaware cũng thấy rõ. Do đó, việc buộc phải sử dụng quyền kiểm tra chẳng làm được gì ngoài việc kéo dài thời gian và tăng chi phí mà lợi ích thu về chẳng đáng kể.</w:t>
      </w:r>
    </w:p>
    <w:p>
      <w:pPr>
        <w:spacing w:after="80"/>
      </w:pPr>
      <w:r>
        <w:rPr>
          <w:b w:val="0"/>
          <w:i w:val="0"/>
        </w:rPr>
        <w:t>Tòa án cũng áp dụng các tiêu chuẩn lập luận (pleading standards) cao hơn một cách thiếu nhất quán. Đôi khi nguyên đơn được phép suy luận hợp lý từ các sự kiện được nêu, nhưng thường thì không. Lúc khác, tòa án dường như thay đổi luật chơi giữa chừng, cho rằng nguyên đơn đã nêu sai sự kiện. Sau khi tự mình đưa ra các phát hiện về sự kiện, tòa án đôi khi giải quyết vụ án bằng một kiến nghị bác bỏ đơn kiện (motion to dismiss).</w:t>
      </w:r>
    </w:p>
    <w:p>
      <w:pPr>
        <w:spacing w:after="80"/>
      </w:pPr>
      <w:r>
        <w:rPr>
          <w:b w:val="0"/>
          <w:i w:val="0"/>
        </w:rPr>
        <w:t>Cuối cùng, tòa án đơn giản là phớt lờ những sự kiện cho thấy một mối quan hệ mang tính loại trừ (disqualifying relationship). Họ thường quyết định vấn đề tính độc lập (independence) như thể nguyên đơn phải đáp ứng gánh nặng thực chất của mình ngay trong đơn kiện, thay vì chỉ cần đưa ra một "cơ sở hợp lý". Kết quả là họ bác bỏ các khiếu nại mà không cho phép tìm hiểu sâu hơn về bản chất của mối quan hệ đó.</w:t>
      </w:r>
    </w:p>
    <w:p>
      <w:pPr>
        <w:spacing w:after="80"/>
      </w:pPr>
      <w:r>
        <w:rPr>
          <w:b w:val="0"/>
          <w:i/>
        </w:rPr>
        <w:t>Tác động của các tiêu chuẩn được nâng cao</w:t>
      </w:r>
    </w:p>
    <w:p>
      <w:pPr>
        <w:spacing w:after="80"/>
      </w:pPr>
      <w:r>
        <w:rPr>
          <w:b w:val="0"/>
          <w:i w:val="0"/>
        </w:rPr>
        <w:t>Vấn đề không chỉ đơn thuần là tòa án áp đặt các tiêu chuẩn cao hơn. Các tiêu chuẩn này được áp dụng theo cách về cơ bản là không thể đáp ứng được — điều mà đôi khi chính tòa án cũng thừa nhận. Khi không có quy trình thu thập chứng cứ (discovery), nguyên đơn chỉ còn biết dựa vào bất kỳ thông tin nào có thể thu thập được từ các nguồn công khai. Dù một số thông tin liên quan đến tính độc lập phải xuất hiện trong các báo cáo định kỳ và bản công bố thông tin ủy quyền (proxy statements) của các công ty đại chúng, nhưng các nguồn này hiếm khi cung cấp thông tin đủ để đáp ứng các yêu cầu về tính cụ thể. Hơn nữa, những báo cáo như vậy không phải lúc nào cũng tiết lộ thông tin về các mối quan hệ này, ngay cả khi luật pháp buộc phải làm vậy.</w:t>
      </w:r>
    </w:p>
    <w:p>
      <w:pPr>
        <w:spacing w:after="80"/>
      </w:pPr>
      <w:r>
        <w:rPr>
          <w:b w:val="0"/>
          <w:i w:val="0"/>
        </w:rPr>
        <w:t>Khó khăn càng trở nên gay gắt khi sử dụng tiêu chuẩn trọng yếu mang tính chủ quan (subjective materiality standard). Ở giai đoạn lập luận, nguyên đơn có thể cần đưa ra các sự kiện liên quan đến số tiền của một dòng thu nhập và tầm quan trọng của nó, tình hình tài chính cụ thể của từng giám đốc, công thức trả thù lao mà công ty nhận tiền sử dụng, và thẩm quyền cụ thể của CEO liên quan đến việc gia hạn một hợp đồng thuê. Không thông tin nào trong số này thường có sẵn từ các nguồn công khai.</w:t>
      </w:r>
    </w:p>
    <w:p>
      <w:pPr>
        <w:spacing w:after="80"/>
      </w:pPr>
      <w:r>
        <w:rPr>
          <w:b w:val="0"/>
          <w:i w:val="0"/>
        </w:rPr>
        <w:t>Điều tương tự cũng đúng với các mối quan hệ cá nhân mang tính loại trừ. Tòa án đã áp đặt một bài kiểm tra đòi hỏi, ở giai đoạn lập luận, một lượng lớn bằng chứng về độ bền chặt của tình bạn. Loại thông tin này thường khó nhận ra từ các nguồn công khai do tính chất cá nhân và riêng tư của nó. Vậy mà khi nguyên đơn xoay xở khai thác được thông tin công khai về những mối quan hệ này, tòa án vẫn bác bỏ đơn kiện của nguyên đơn vì thiếu tính cụ thể.</w:t>
      </w:r>
    </w:p>
    <w:p>
      <w:pPr>
        <w:spacing w:after="80"/>
      </w:pPr>
      <w:r>
        <w:rPr>
          <w:b w:val="0"/>
          <w:i w:val="0"/>
        </w:rPr>
        <w:t xml:space="preserve">Lấy ví dụ vụ Beam. Nguyên đơn tìm thấy một bài phỏng vấn trên tạp chí </w:t>
      </w:r>
      <w:r>
        <w:rPr>
          <w:b w:val="0"/>
          <w:i/>
        </w:rPr>
        <w:t>Fortune</w:t>
      </w:r>
      <w:r>
        <w:rPr>
          <w:b w:val="0"/>
          <w:i w:val="0"/>
        </w:rPr>
        <w:t xml:space="preserve"> với ba người: Martha Stewart; Darla Moore, vị giám đốc bị cho là không độc lập; và Charlotte Beers, một người bạn lâu năm khác, người mà Moore thay thế trong hội đồng quản trị. Ba người phụ nữ tự mô tả mình là "bạn thân thiết" và bài phỏng vấn chắc chắn có giọng điệu thoải mái, thân thiện. Ngoài ra, nguyên đơn đưa ra bằng chứng rằng Moore và Stewart đã tham dự một sự kiện xã hội mà gần như chắc chắn có danh sách khách mời hạn chế. Cuối cùng, Stewart sở hữu chín mươi bốn phần trăm cổ phần có quyền biểu quyết, cho bà tiếng nói quyết định đối với bất kỳ ứng viên hội đồng quản trị nào.</w:t>
      </w:r>
    </w:p>
    <w:p>
      <w:pPr>
        <w:spacing w:after="80"/>
      </w:pPr>
      <w:r>
        <w:rPr>
          <w:b w:val="0"/>
          <w:i w:val="0"/>
        </w:rPr>
        <w:t>Nguyên đơn chỉ cần đưa ra "nghi ngờ hợp lý" về tính độc lập. Không có bất cứ điều gì có thể coi là phân tích, tòa án kết luận rằng "những mối quan hệ xã hội đơn thuần này rõ ràng không tạo ra nghi ngờ hợp lý về tính độc lập". Đây là một sự mô tả sai lệch. Nguyên đơn đã làm nhiều hơn việc chỉ nêu "những mối quan hệ xã hội đơn thuần". Đơn kiện đã khẳng định cụ thể rằng Stewart và Moore có một tình bạn lâu năm và đưa ra bằng chứng hỗ trợ cho lập luận này. Tòa án cũng không cho biết thông tin nào sẽ là đủ và không nhận ra những khó khăn thực tế trong việc thu thập thông tin công khai về tình bạn.</w:t>
      </w:r>
    </w:p>
    <w:p>
      <w:pPr>
        <w:spacing w:after="80"/>
      </w:pPr>
      <w:r>
        <w:rPr>
          <w:b w:val="0"/>
          <w:i/>
        </w:rPr>
        <w:t>Cuộc tìm kiếm các sự kiện cụ thể</w:t>
      </w:r>
    </w:p>
    <w:p>
      <w:pPr>
        <w:spacing w:after="80"/>
      </w:pPr>
      <w:r>
        <w:rPr>
          <w:b w:val="0"/>
          <w:i w:val="0"/>
        </w:rPr>
        <w:t>Trong một bước ngoặt kỳ lạ, các tòa án Delaware cuối cùng đã thừa nhận những khó khăn mà nguyên đơn phải gánh chịu khi phải lập luận "với tính cụ thể" về những sự kiện không có sẵn công khai. Thay vì làm điều hiển nhiên là nới lỏng các yêu cầu lập luận hoặc cho phép thu thập chứng cứ có giới hạn, họ buộc cổ đông phải thực hiện quyền kiểm tra và xem xét sổ sách, hồ sơ của công ty. Cổ đông bị khiển trách vì đã không sử dụng những "công cụ sẵn có" này trước khi khởi kiện để thách thức tính độc lập của giám đốc.</w:t>
      </w:r>
    </w:p>
    <w:p>
      <w:pPr>
        <w:spacing w:after="80"/>
      </w:pPr>
      <w:r>
        <w:rPr>
          <w:b w:val="0"/>
          <w:i w:val="0"/>
        </w:rPr>
        <w:t>Quan điểm cho rằng quyền kiểm tra có thể thay thế cho quy trình thu thập chứng cứ là, trong hầu hết các trường hợp, viển vông. Khả năng con đường này khai quật được thông tin hữu ích cho việc xác định tính trọng yếu chủ quan hoặc độ bền chặt của một tình bạn cá nhân là không đáng kể. Những loại hồ sơ chứng minh sự thiếu độc lập hiếm khi nằm trong tay công ty. Vậy mà đây chính là lập trường mà tòa án đưa ra.</w:t>
      </w:r>
    </w:p>
    <w:p>
      <w:pPr>
        <w:spacing w:after="80"/>
      </w:pPr>
      <w:r>
        <w:rPr>
          <w:b w:val="0"/>
          <w:i w:val="0"/>
        </w:rPr>
        <w:t>Thông tin mà tòa án thừa nhận "có thể" củng cố một khiếu nại, lại liên quan nhiều hơn đến vấn đề kiểm soát quy trình đề cử — chứ không phải độ bền chặt của tình bạn.</w:t>
      </w:r>
    </w:p>
    <w:p>
      <w:pPr>
        <w:spacing w:after="80"/>
      </w:pPr>
      <w:r>
        <w:rPr>
          <w:b w:val="0"/>
          <w:i w:val="0"/>
        </w:rPr>
        <w:t>Việc sử dụng quyền kiểm tra như một thứ thay thế cho quy trình thu thập chứng cứ còn có những vấn đề khác. Biên bản các cuộc họp hội đồng quản trị thường sơ sài về nội dung, và do đó thường không tiết lộ vấn đề giữa các giám đốc hay tình trạng thân hữu (cronyism). Quy định cho phép kiểm tra cũng không dễ sử dụng. Cổ đông phải có mục đích chính đáng, mô tả các hồ sơ được tìm kiếm một cách cụ thể, và trả các chi phí liên quan đến bất kỳ thách thức nào, dẫn đến sự chậm trễ và chi phí gia tăng mà chẳng được lợi gì.</w:t>
      </w:r>
    </w:p>
    <w:p>
      <w:pPr>
        <w:spacing w:after="80"/>
      </w:pPr>
      <w:r>
        <w:rPr>
          <w:b w:val="0"/>
          <w:i w:val="0"/>
        </w:rPr>
        <w:t>Việc nhấn mạnh vào quyền kiểm tra đã che khuất vấn đề thực sự. Việc không đáp ứng được các yêu cầu lập luận không bắt nguồn từ sự thất bại có hệ thống của cổ đông trong việc tìm kiếm các sự kiện cần thiết. Vấn đề thực sự nảy sinh từ một tiêu chuẩn lập luận áp đặt những gánh nặng phi thực tế và được áp dụng thiếu nhất quán. Giải pháp không phải là buộc phải viện đến quyền kiểm tra mà là cho phép thu thập chứng cứ về vấn đề này.</w:t>
      </w:r>
    </w:p>
    <w:p>
      <w:pPr>
        <w:spacing w:after="80"/>
      </w:pPr>
      <w:r>
        <w:rPr>
          <w:b w:val="0"/>
          <w:i/>
        </w:rPr>
        <w:t>Nghiên cứu tình huống: Câu chuyện của hai người Michael</w:t>
      </w:r>
    </w:p>
    <w:p>
      <w:pPr>
        <w:spacing w:after="80"/>
      </w:pPr>
      <w:r>
        <w:rPr>
          <w:b w:val="0"/>
          <w:i w:val="0"/>
        </w:rPr>
        <w:t>Có lẽ trường hợp đơn lẻ hay nhất để minh họa cho những vấn đề được bàn trong bài viết này chính là vụ kiện của cổ đông (derivative suit) chống lại ban giám đốc Disney liên quan đến hợp đồng lao động cấp cho Michael Ovitz. Xét theo hầu hết các tiêu chuẩn, hợp đồng này là quá mức, trả cho Ovitz số tiền được báo cáo là 140 triệu đô-la chỉ cho hơn một năm phục vụ không thành công.</w:t>
      </w:r>
    </w:p>
    <w:p>
      <w:pPr>
        <w:spacing w:after="80"/>
      </w:pPr>
      <w:r>
        <w:rPr>
          <w:b w:val="0"/>
          <w:i w:val="0"/>
        </w:rPr>
        <w:t>Một hợp đồng lao động cho một giám đốc điều hành không phải là thành viên hội đồng quản trị thông thường sẽ thuộc phạm vi áp dụng của quy tắc phán đoán kinh doanh (business judgment rule) và được mặc định là công bằng. Tuy nhiên, trong chừng mực một thỏa thuận mang lại lợi ích cho một người trong hội đồng quản trị, thì nghĩa vụ trung thành (duty of loyalty) sẽ được áp dụng, đặt gánh nặng chứng minh tính công bằng lên các giám đốc. Do đó, để tiêu chuẩn này có thể được áp dụng, các cổ đông của Disney phải chứng minh rằng Michael Eisner bằng cách nào đó đã hưởng lợi từ hợp đồng lao động với Ovitz. Họ khẳng định cả hai điều: rằng Eisner đã gây ảnh hưởng đến các điều khoản của thỏa thuận vì tình bạn của ông với Ovitz, và rằng ông đã kiểm soát hội đồng quản trị.</w:t>
      </w:r>
    </w:p>
    <w:p>
      <w:pPr>
        <w:spacing w:after="80"/>
      </w:pPr>
      <w:r>
        <w:rPr>
          <w:b w:val="0"/>
          <w:i w:val="0"/>
        </w:rPr>
        <w:t>Trong một kiến nghị bác bỏ đơn kiện (motion to dismiss), mà không có lợi thế của việc thu thập chứng cứ (discovery), tòa án chancery kết luận rằng các nguyên đơn đã không đưa ra được "nghi ngờ hợp lý" (reasonable doubt) về tính độc lập của ban giám đốc Disney. Khi đi đến kết luận đó, tòa án xác định là "độc lập": một giám đốc từng giữ chức vụ điều hành, một giám đốc đứng đầu một tổ chức từ thiện nhận trực tiếp 1 triệu đô-la từ Eisner, một giám đốc là hiệu trưởng một trường tiểu học mà con của Eisner từng theo học, một giám đốc nhận 50.000 đô-la cho dịch vụ tư vấn và làm việc cho một công ty luật đại diện cho Disney, và một giám đốc có vợ nhận tiền để khởi nghiệp. Cái gọi là ban giám đốc "độc lập" này đã bị một tạp chí khảo sát về các thông lệ quản trị doanh nghiệp gán danh hiệu ban giám đốc doanh nghiệp tồi tệ nhất trong hai năm liên tiếp. Nhưng chính phần phân tích về mối quan hệ giữa hai người tên Michael mới là điều kéo căng thực tế xa nhất. Các nguyên đơn lập luận rằng mối quan hệ "cá nhân" và "công việc" lâu dài giữa hai người đàn ông này khiến Eisner trở nên có quyền lợi liên quan (interested) trong hợp đồng lao động với Ovitz. Các nguyên đơn lập luận rằng Eisner được thúc đẩy bởi tình bạn chứ không phải vì lợi ích tốt nhất của cổ đông khi đàm phán với Ovitz.</w:t>
      </w:r>
    </w:p>
    <w:p>
      <w:pPr>
        <w:spacing w:after="80"/>
      </w:pPr>
      <w:r>
        <w:rPr>
          <w:b w:val="0"/>
          <w:i w:val="0"/>
        </w:rPr>
        <w:t>Tòa án sơ thẩm đã xử lý toàn bộ lập luận này một cách coi nhẹ, giải quyết vấn đề chỉ trong hai câu: "Tuy nhiên, lập luận này không có cơ sở theo luật Delaware. Việc Eisner có những mối quan hệ cá nhân và công việc lâu dài với Ovitz không thể vượt qua được giả định về tính độc lập mà tất cả các giám đốc, kể cả Eisner, đều được hưởng." Chỉ có vậy. Không phân tích. Không dữ kiện. Không thu thập chứng cứ.</w:t>
      </w:r>
    </w:p>
    <w:p>
      <w:pPr>
        <w:spacing w:after="80"/>
      </w:pPr>
      <w:r>
        <w:rPr>
          <w:b w:val="0"/>
          <w:i w:val="0"/>
        </w:rPr>
        <w:t>Khi kháng cáo, Tòa án Tối cao dựa vào cùng lối lập luận hời hợt và qua loa đó. Phán quyết không nói gì về mối quan hệ thân thiết giữa hai người đàn ông này và một lần nữa, chỉ trong hai câu, bác bỏ khiếu nại.</w:t>
      </w:r>
    </w:p>
    <w:p>
      <w:pPr>
        <w:spacing w:after="80"/>
      </w:pPr>
      <w:r>
        <w:rPr>
          <w:b w:val="0"/>
          <w:i w:val="0"/>
        </w:rPr>
        <w:t>Tòa án Chancery phán quyết rằng "không thể tồn tại nghi ngờ hợp lý nào về việc Eisner không có quyền lợi liên quan trong việc phê duyệt Thỏa thuận Lao động, như một vấn đề pháp lý," và tương tự rằng các nguyên đơn "đã không chứng minh được nghi ngờ hợp lý rằng Eisner không có quyền lợi liên quan trong việc cho Ovitz Chấm dứt Không do Lỗi (Non-Fault Termination)." Các nguyên đơn phản đối kết luận này, nhưng chúng tôi đồng ý với Tòa án Chancery và chúng tôi giữ nguyên phán quyết đó.</w:t>
      </w:r>
    </w:p>
    <w:p>
      <w:pPr>
        <w:spacing w:after="80"/>
      </w:pPr>
      <w:r>
        <w:rPr>
          <w:b w:val="0"/>
          <w:i w:val="0"/>
        </w:rPr>
        <w:t>Cả hai tòa án đều đưa ra phán quyết mà không cho phép nguyên đơn tiến hành thu thập chứng cứ để khám phá mối quan hệ này. Nói cách khác, các tòa án kết luận rằng bằng chứng thậm chí không đưa ra được "nghi ngờ hợp lý" về mối quan hệ giữa Ovitz và Eisner.</w:t>
      </w:r>
    </w:p>
    <w:p>
      <w:pPr>
        <w:spacing w:after="80"/>
      </w:pPr>
      <w:r>
        <w:rPr>
          <w:b w:val="0"/>
          <w:i w:val="0"/>
        </w:rPr>
        <w:t>Trong tiến trình thông thường của sự việc, đó sẽ là dấu chấm hết. Đoán xem có thể đã phát hiện ra điều gì nếu việc thu thập chứng cứ được tiến hành sẽ chỉ là chuyện suy đoán. Nhưng, tất nhiên, chẳng có gì bình thường ở Disney cả. Vụ việc tiếp tục, đỉnh điểm là một phiên tòa dài với hồ sơ đồ sộ và một lần kháng cáo thứ hai lên Tòa án Tối cao Delaware. Mối quan hệ giữa hai người tên Michael cũng trở thành đề tài của một cuốn sách nổi tiếng. Từ những nguồn này, khá nhiều thông tin bổ sung về mối quan hệ đó đã lộ diện, bao gồm rằng:</w:t>
      </w:r>
    </w:p>
    <w:p>
      <w:pPr>
        <w:spacing w:after="80"/>
      </w:pPr>
      <w:r>
        <w:rPr>
          <w:b w:val="0"/>
          <w:i w:val="0"/>
        </w:rPr>
        <w:t>Hai người đã là bạn "thân thiết" gần một phần tư thế kỷ và "rất quen biết nhau, cả về mặt xã hội lẫn nghề nghiệp";</w:t>
      </w:r>
    </w:p>
    <w:p>
      <w:pPr>
        <w:spacing w:after="80"/>
      </w:pPr>
      <w:r>
        <w:rPr>
          <w:b w:val="0"/>
          <w:i w:val="0"/>
        </w:rPr>
        <w:t>Ovitz là bạn thân nhất của Eisner ở Hollywood;</w:t>
      </w:r>
    </w:p>
    <w:p>
      <w:pPr>
        <w:spacing w:after="80"/>
      </w:pPr>
      <w:r>
        <w:rPr>
          <w:b w:val="0"/>
          <w:i w:val="0"/>
        </w:rPr>
        <w:t>Vợ của hai người đàn ông này là bạn thân nhất của nhau;</w:t>
      </w:r>
    </w:p>
    <w:p>
      <w:pPr>
        <w:spacing w:after="80"/>
      </w:pPr>
      <w:r>
        <w:rPr>
          <w:b w:val="0"/>
          <w:i w:val="0"/>
        </w:rPr>
        <w:t>Hai gia đình cùng đi nghỉ như một nhóm và đón Giáng sinh cùng nhau ở Aspen vào năm 1995;</w:t>
      </w:r>
    </w:p>
    <w:p>
      <w:pPr>
        <w:spacing w:after="80"/>
      </w:pPr>
      <w:r>
        <w:rPr>
          <w:b w:val="0"/>
          <w:i w:val="0"/>
        </w:rPr>
        <w:t>Vợ của Eisner đã gọi cho Ovitz khi Eisner bất ngờ phải phẫu thuật tim hở và Ovitz đã hủy một kỳ nghỉ đã lên kế hoạch để đến bệnh viện;</w:t>
      </w:r>
    </w:p>
    <w:p>
      <w:pPr>
        <w:spacing w:after="80"/>
      </w:pPr>
      <w:r>
        <w:rPr>
          <w:b w:val="0"/>
          <w:i w:val="0"/>
        </w:rPr>
        <w:t>Eisner đã mời Ovitz ở bên ông và vợ ông trong lúc chờ quyết định cuối cùng về việc liệu ông có được bổ nhiệm làm CEO của Disney hay không;</w:t>
      </w:r>
    </w:p>
    <w:p>
      <w:pPr>
        <w:spacing w:after="80"/>
      </w:pPr>
      <w:r>
        <w:rPr>
          <w:b w:val="0"/>
          <w:i w:val="0"/>
        </w:rPr>
        <w:t>Eisner thường dùng những từ ngữ nồng nhiệt khi viết cho Ovitz. Một lá thư Eisner viết vào tháng 10 năm 1996 có đoạn: "Anh vẫn là người duy nhất đến giường bệnh của tôi—và tôi nhớ điều đó";</w:t>
      </w:r>
    </w:p>
    <w:p>
      <w:pPr>
        <w:spacing w:after="80"/>
      </w:pPr>
      <w:r>
        <w:rPr>
          <w:b w:val="0"/>
          <w:i w:val="0"/>
        </w:rPr>
        <w:t>Ovitz thường dùng những từ ngữ nồng nhiệt khi viết cho Eisner; và</w:t>
      </w:r>
    </w:p>
    <w:p>
      <w:pPr>
        <w:spacing w:after="80"/>
      </w:pPr>
      <w:r>
        <w:rPr>
          <w:b w:val="0"/>
          <w:i w:val="0"/>
        </w:rPr>
        <w:t>Ovitz ngồi trong ban quản trị của Bảo tàng Nghệ thuật Hiện đại New York cùng với Sid Bass, một trong những cổ đông cá nhân lớn nhất của Disney.</w:t>
      </w:r>
    </w:p>
    <w:p>
      <w:pPr>
        <w:spacing w:after="80"/>
      </w:pPr>
      <w:r>
        <w:rPr>
          <w:b w:val="0"/>
          <w:i w:val="0"/>
        </w:rPr>
        <w:t>Nói cách khác, bất chấp bốn câu phủ nhận của tòa án Delaware, hai người đã xây dựng một mối quan hệ cá nhân cực kỳ gắn bó trong một khoảng thời gian dài, bao trùm cả gia đình riêng của mỗi người. Việc xem xét các mối quan hệ kinh doanh đan xen của họ chắc chắn sẽ làm tăng thêm lập luận của nguyên đơn về sức mạnh của mối quan hệ này. Tuy nhiên, phần lớn thông tin không nằm trong phạm vi công khai và chỉ được phát hiện nhờ sự điều tra của một tác giả và sự cưỡng chế của phiên tòa.</w:t>
      </w:r>
    </w:p>
    <w:p>
      <w:pPr>
        <w:spacing w:after="80"/>
      </w:pPr>
      <w:r>
        <w:rPr>
          <w:b w:val="0"/>
          <w:i w:val="0"/>
        </w:rPr>
        <w:t>Bằng cách bác bỏ một cách vắn tắt các cáo buộc về tình bạn, tòa án đã loại bỏ mọi khiếu nại khả thi rằng hợp đồng vi phạm nghĩa vụ trung thành. Kết quả là, gánh nặng vẫn đặt lên nguyên đơn để chứng minh vi phạm nghĩa vụ cẩn trọng, một nhiệm vụ gần như không thể vượt qua, như họ đã nhận ra. Tòa án đã giải quyết những vấn đề mang tính thực tế gay gắt này mà không cho phép thu thập chứng cứ. Nếu tòa án cho phép thu thập chứng cứ về mối quan hệ giữa hai người Michael và phán quyết vụ án một cách thích đáng theo nghĩa vụ trung thành, thì vấn đề sẽ xoay quanh tính công bằng của hợp đồng lao động của Ovitz, với gánh nặng thuộc về ban quản trị. Điều này sẽ dẫn đến một thủ tục tố tụng tập trung vào nội dung của thỏa thuận thay vì mức độ quan tâm tối thiểu của ban quản trị được cho phép theo nghĩa vụ cẩn trọng. Trong vụ kiện dài và đồ sộ này, tính công bằng của thỏa thuận chưa bao giờ được xem xét một cách nghiêm túc.</w:t>
      </w:r>
    </w:p>
    <w:p>
      <w:pPr>
        <w:pStyle w:val="Heading5"/>
      </w:pPr>
      <w:r>
        <w:rPr>
          <w:rFonts w:ascii="Calibri" w:hAnsi="Calibri"/>
          <w:b/>
          <w:i/>
          <w:sz w:val="22"/>
        </w:rPr>
        <w:t>Bình luận và Câu hỏi</w:t>
      </w:r>
    </w:p>
    <w:p>
      <w:pPr>
        <w:spacing w:after="80"/>
      </w:pPr>
      <w:r>
        <w:rPr>
          <w:b w:val="0"/>
          <w:i w:val="0"/>
        </w:rPr>
        <w:t>1. Tại sao tòa án Delaware lại giả định các giám đốc độc lập? Chính sách nào được phục vụ khi giao cho nguyên đơn gánh nặng chứng minh nghiêm ngặt để vượt qua giả định này?</w:t>
      </w:r>
    </w:p>
    <w:p>
      <w:pPr>
        <w:spacing w:after="80"/>
      </w:pPr>
      <w:r>
        <w:rPr>
          <w:b w:val="0"/>
          <w:i w:val="0"/>
        </w:rPr>
        <w:t>2. Liệu các quyền thanh tra theo luật định rộng hơn có làm giảm bớt gánh nặng lập luận của nguyên đơn không? Liệu quyền thanh tra của cổ đông nguyên đơn cho việc tranh tụng trước khi thu thập chứng cứ có nên rộng rãi hơn so với quyền dành cho cổ đông để giám sát hành vi của công ty bên ngoài bối cảnh tranh tụng không?</w:t>
      </w:r>
    </w:p>
    <w:p>
      <w:pPr>
        <w:spacing w:after="80"/>
      </w:pPr>
      <w:r>
        <w:rPr>
          <w:b w:val="0"/>
          <w:i w:val="0"/>
        </w:rPr>
        <w:t>3. Giáo sư Brown xem xét một số đặc điểm trong mối quan hệ Eisner-Ovitz để minh họa việc tòa án Delaware từ chối áp dụng một cách nghiêm túc và nhất quán các nguyên tắc nghĩa vụ trung thành như tính độc lập và tính không vụ lợi. Yếu tố nào trong mối quan hệ đó ủng hộ mạnh mẽ nhất cho phê bình của Giáo sư Brown? Có yếu tố nào trong số này nên nằm ngoài phạm vi xem xét của tòa án không?</w:t>
      </w:r>
    </w:p>
    <w:p>
      <w:pPr>
        <w:spacing w:after="80"/>
      </w:pPr>
      <w:r>
        <w:rPr>
          <w:b w:val="0"/>
          <w:i w:val="0"/>
        </w:rPr>
        <w:t>—————</w:t>
      </w:r>
    </w:p>
    <w:p>
      <w:pPr>
        <w:spacing w:after="80"/>
      </w:pPr>
      <w:r>
        <w:rPr>
          <w:b w:val="0"/>
          <w:i w:val="0"/>
        </w:rPr>
        <w:t>Giả định của Delaware về tính độc lập của giám đốc tạo ra một rào cản chứng cứ cao cho nguyên đơn, nhưng liệu đó có thực sự là một biện pháp phòng vệ không thể vượt qua? Ý kiến sau đây, được viết bởi Thẩm phán liên bang Richard Posner, minh họa một cách đánh giá tư pháp thân thiện hơn với nguyên đơn đối với các giao dịch tự giao dịch. Trong khi đọc vụ án này, hãy xem xét những chính sách nào thúc đẩy quyết định của tòa phúc thẩm, và những chính sách đó so sánh như thế nào với những lo ngại được nêu ra bởi ngành tư pháp Delaware.</w:t>
      </w:r>
    </w:p>
    <w:p>
      <w:pPr>
        <w:pStyle w:val="Heading4"/>
      </w:pPr>
      <w:r>
        <w:rPr>
          <w:rFonts w:ascii="Calibri" w:hAnsi="Calibri"/>
          <w:b/>
          <w:i w:val="0"/>
          <w:sz w:val="23"/>
        </w:rPr>
        <w:t>CDX Liquidating Trust v. Venrock Assoc.</w:t>
      </w:r>
    </w:p>
    <w:p>
      <w:pPr>
        <w:spacing w:after="80"/>
      </w:pPr>
      <w:r>
        <w:rPr>
          <w:b w:val="0"/>
          <w:i w:val="0"/>
        </w:rPr>
        <w:t>Tòa phúc thẩm Hoa Kỳ, Vòng thứ bảy</w:t>
      </w:r>
      <w:r>
        <w:br/>
      </w:r>
      <w:r>
        <w:rPr>
          <w:b w:val="0"/>
          <w:i w:val="0"/>
        </w:rPr>
        <w:t xml:space="preserve"> 640 F.3d 209 (2011)</w:t>
      </w:r>
    </w:p>
    <w:p>
      <w:pPr>
        <w:spacing w:after="80"/>
      </w:pPr>
      <w:r>
        <w:rPr>
          <w:b w:val="0"/>
          <w:i w:val="0"/>
        </w:rPr>
        <w:t>POSNER , THẨM PHÁN VÒNG :</w:t>
      </w:r>
    </w:p>
    <w:p>
      <w:pPr>
        <w:spacing w:after="80"/>
      </w:pPr>
      <w:r>
        <w:rPr>
          <w:b w:val="0"/>
          <w:i w:val="0"/>
        </w:rPr>
        <w:t>Vụ kiện này, do một quỹ tín thác nắm giữ cổ phiếu phổ thông của một công ty phá sản trước đây gọi là Cadant đệ trình, cáo buộc một số cựu giám đốc vi phạm nghĩa vụ trung thành với công ty, và cáo buộc hai nhóm đầu tư mạo hiểm, mà chúng tôi sẽ viết tắt là "Venrock" và "J.P. Morgan", đã hỗ trợ và tiếp tay cho các giám đốc bất trung. Phiên tòa được chia thành hai giai đoạn. Bảy tuần sau khi bắt đầu phiên tòa về trách nhiệm pháp lý, nguyên đơn kết thúc phần trình bày và sau đó bị đơn đệ trình yêu cầu phán quyết như một vấn đề pháp lý. Thẩm phán quận đã chấp thuận yêu cầu này với một tuyên bố lý do bằng lời ngắn gọn, dẫn đến kháng cáo này.</w:t>
      </w:r>
    </w:p>
    <w:p>
      <w:pPr>
        <w:spacing w:after="80"/>
      </w:pPr>
      <w:r>
        <w:rPr>
          <w:b w:val="0"/>
          <w:i w:val="0"/>
        </w:rPr>
        <w:t>Cadant được thành lập vào năm 1998 để phát triển cái được gọi là "hệ thống đầu cuối modem cáp" (cable modem termination systems), cho phép truy cập Internet tốc độ cao cho máy tính gia đình. Mặc dù có trụ sở tại Illinois, Cadant ban đầu được thành lập tại Maryland và sau đó được tái thành lập tại Delaware. Những người sáng lập nhận được cổ phiếu phổ thông trong công ty mới ngay từ đầu. Những người khác mua cổ phiếu phổ thông sau đó. Venrock và J.P. Morgan nhận được cổ phiếu ưu đãi để đổi lấy khoản đầu tư vào công ty mới mà họ thực hiện vào đầu năm 2000. Eric Copeland, một thành viên chủ chốt của Venrock, trở thành thành viên của ban giám đốc năm người của Cadant. Ông là giám đốc bị cáo buộc chính về sự bất trung với Cadant.</w:t>
      </w:r>
    </w:p>
    <w:p>
      <w:pPr>
        <w:spacing w:after="80"/>
      </w:pPr>
      <w:r>
        <w:rPr>
          <w:b w:val="0"/>
          <w:i w:val="0"/>
        </w:rPr>
        <w:t>Vào tháng 4 năm 2000, ban giám đốc đã từ chối lời đề nghị dự kiến của ADC Telecommunications để mua tài sản của Cadant với giá 300 triệu đô la. Đến cuối năm đó, ban giám đốc đề xuất và cổ đông chấp thuận việc tái thành lập Cadant tại Delaware, có hiệu lực từ ngày 1 tháng 1 năm 2001. Vụ kiện liên quan đến các quyết định của ban giám đốc Cadant được đưa ra cả khi Cadant được thành lập tại Maryland và khi được tái thành lập tại Delaware. Các nguyên tắc chọn luật của Illinois, điều chỉnh vụ án này vì nó được đệ trình tại Illinois, quy định luật áp dụng cho vụ kiện chống lại một giám đốc về vi phạm nghĩa vụ ủy thác là luật của bang thành lập. Đây là cái được gọi là học thuyết "công việc nội bộ" (internal affairs) — "một nguyên tắc xung đột pháp luật công nhận rằng chỉ một Bang nên có thẩm quyền điều chỉnh các công việc nội bộ của công ty — những vấn đề đặc thù trong mối quan hệ giữa công ty với các giám đốc, nhân viên và cổ đông hiện tại của mình — bởi vì nếu không thì một công ty có thể phải đối mặt với những yêu cầu mâu thuẫn." Quyết định sớm nhất bị thách thức của ban giám đốc Cadant — quyết định không phản hồi lời đề nghị mua lại của ADC vào tháng 4 năm 2000 — do đó dễ dàng bị bác bỏ. Luật Maryland áp dụng vào thời điểm đó và theo luật đó, các giám đốc không có nghĩa vụ "chấp nhận, đề xuất hoặc phản hồi thay mặt công ty đối với bất kỳ đề xuất nào của một người mua lại."</w:t>
      </w:r>
    </w:p>
    <w:p>
      <w:pPr>
        <w:spacing w:after="80"/>
      </w:pPr>
      <w:r>
        <w:rPr>
          <w:b w:val="0"/>
          <w:i w:val="0"/>
        </w:rPr>
        <w:t>Vào mùa thu năm 2000, Cadant rơi vào tình trạng khó khăn tài chính. Các bị đơn cho rằng điều này là do sự xẹp xuống — bắt đầu từ mùa xuân năm 2000 và tiếp diễn suốt cả năm và sang năm sau — của bong bóng dot-com cuối thập niên 1990. Chúng ta sẽ quay lại câu hỏi điều gì gây ra tình trạng khó khăn tài chính của Cadant, nhưng dù nguyên nhân là gì thì công ty cần đầu tư mới. Ban giám đốc đã xem xét một đề xuất từ một nhóm nhà đầu tư Chicago và một đề xuất chung từ Venrock và J.P. Morgan, và cuối cùng quyết định chọn khoản vay 11 triệu đô la từ Venrock và J.P. Morgan. Các điều khoản của khoản vay được Copeland đàm phán thay mặt cho Cadant. Ban giám đốc đã tăng lên bảy thành viên, trong đó bốn người, bao gồm Copeland, là nhân viên của Venrock hoặc J.P. Morgan, mặc dù một trong số họ, bị đơn C.H. Randolph Lyon, đã từ chức khỏi J.P. Morgan trước khi khoản vay được thực hiện, trong khi vẫn là giám đốc của Cadant.</w:t>
      </w:r>
    </w:p>
    <w:p>
      <w:pPr>
        <w:spacing w:after="80"/>
      </w:pPr>
      <w:r>
        <w:rPr>
          <w:b w:val="0"/>
          <w:i w:val="0"/>
        </w:rPr>
        <w:t>Khoản vay đó là một “khoản vay bắc cầu” (bridge loan), tức là một khoản vay ngắn hạn nhằm giúp người vay vượt qua giai đoạn khó khăn trong khi tìm kiếm nguồn tài chính dài hạn hơn. Khoản vay bắc cầu trị giá 11 triệu đô-la cho Cadant chỉ có thời hạn 90 ngày, với lãi suất hằng năm 10 phần trăm; nó còn trao cho các bên cho vay quyền chứng khoán (warrants) (chưa bao giờ được thực hiện) để mua cổ phiếu phổ thông của Cadant. Cadant đã tiêu hết toàn bộ khoản vay, vốn được thực hiện vào tháng 1 năm 2001, trong vòng vài tháng. Venrock và J.P. Morgan sau đó thực hiện khoản vay bắc cầu thứ hai, vào tháng 5, lần này trị giá 9 triệu đô-la, cũng do Copeland đàm phán thay mặt cho Cadant. Thỏa thuận cho vay quy định rằng trong trường hợp Cadant bị thanh lý, các bên cho vay sẽ được quyền nhận số tiền gấp đôi số dư gốc của khoản vay cộng với bất kỳ khoản lãi đã phát sinh nhưng chưa trả nào; kết quả là, sẽ chẳng còn lại gì, hoặc rất ít, cho các cổ đông. Các giám đốc không có quyền lợi liên quan của Cadant (những giám đốc không có liên hệ gì với Venrock hay J.P. Morgan) đã bỏ phiếu thuận cho khoản vay là những kỹ sư không có sự nhạy bén về tài chính, và vì họ không nghĩ đến việc thuê cố vấn tài chính riêng cho mình nên họ hoàn toàn phụ thuộc vào lời khuyên tài chính mà họ nhận được từ Copeland và những giám đốc khác có xung đột lợi ích.</w:t>
      </w:r>
    </w:p>
    <w:p>
      <w:pPr>
        <w:spacing w:after="80"/>
      </w:pPr>
      <w:r>
        <w:rPr>
          <w:b w:val="0"/>
          <w:i w:val="0"/>
        </w:rPr>
        <w:t>Cadant đã vỡ nợ khoản vay bắc cầu thứ hai, và vì đang lâm vào tình trạng tài chính cực kỳ khó khăn nên đã đồng ý bán toàn bộ tài sản của mình cho một công ty tên là Arris Group để đổi lấy cổ phiếu trị giá, khi thương vụ hoàn tất vào tháng 1 năm 2002, khoảng 55 triệu đô-la. Số tiền đó vừa đủ lớn để thỏa mãn các yêu cầu của chủ nợ và cổ đông ưu đãi của Cadant (Venrock và J.P. Morgan đều thuộc cả hai nhóm này). Thương vụ bán được hội đồng quản trị Cadant phê duyệt, nhưng cũng theo yêu cầu của luật Delaware và điều lệ công ty, phải được đa số đơn giản của cả cổ đông phổ thông lẫn cổ đông ưu đãi của Cadant bỏ phiếu cùng nhau như một nhóm duy nhất, và của riêng các cổ đông ưu đãi bỏ phiếu riêng.</w:t>
      </w:r>
    </w:p>
    <w:p>
      <w:pPr>
        <w:spacing w:after="80"/>
      </w:pPr>
      <w:r>
        <w:rPr>
          <w:b w:val="0"/>
          <w:i w:val="0"/>
        </w:rPr>
        <w:t>Thẩm phán quận đã đưa ra hai căn cứ độc lập để ra phán quyết như một vấn đề pháp lý cho các bị đơn. Thứ nhất là không có đủ bằng chứng về nguyên nhân gần (proximate cause) để cho phép một bồi thẩm đoàn hợp lý ra phán quyết cho nguyên đơn, và thứ hai là cũng không đủ bằng chứng về việc vi phạm nghĩa vụ tín thác (fiduciary duty). Những căn cứ này hóa ra lại gắn bó với nhau. (Thông thường vấn đề nghĩa vụ sẽ đứng trước vấn đề nguyên nhân, nhưng không sao cả.)</w:t>
      </w:r>
    </w:p>
    <w:p>
      <w:pPr>
        <w:spacing w:after="80"/>
      </w:pPr>
      <w:r>
        <w:rPr>
          <w:b w:val="0"/>
          <w:i w:val="0"/>
        </w:rPr>
        <w:t xml:space="preserve">Thuật ngữ “nguyên nhân gần” (proximate cause) rất phổ biến trong luật bồi thường thiệt hại ngoài hợp đồng (tort law) của Mỹ, nhưng điều đó không có nghĩa là nó được hiểu rõ. Một định nghĩa phổ biến là phải có bằng chứng về “một mối quan hệ trực tiếp nào đó giữa thương tổn được viện dẫn và hành vi gây thương tổn bị cáo buộc.” Nhưng “trực tiếp” cũng chẳng soi sáng hơn gì “gần.” Cả hai đều là ẩn dụ chứ không phải định nghĩa. Điều mà các tòa án đang cố gắng làm khi ngân nga những từ này là hướng sự chú ý vào việc liệu sự đóng góp cụ thể mà bị đơn đã tạo ra cho thương tổn mà nguyên đơn kiện bị đơn có xuất phát từ hành vi mà chúng ta muốn ngăn chặn hay trừng phạt bằng cách áp đặt trách nhiệm pháp lý hay không, như trong vụ án nổi tiếng </w:t>
      </w:r>
      <w:r>
        <w:rPr>
          <w:b w:val="0"/>
          <w:i/>
        </w:rPr>
        <w:t>Palsgraf v. Long Island R.R.</w:t>
      </w:r>
      <w:r>
        <w:rPr>
          <w:b w:val="0"/>
          <w:i w:val="0"/>
        </w:rPr>
        <w:t xml:space="preserve"> Nguyên đơn bị thương khi một cái cân kim loại nặng đổ sập xuống sân ga đường sắt nơi bà đang đứng. Cái cân đã bị oằn đi vì hư hại do pháo hoa bị đánh rơi bởi một hành khách đang cố gắng, với sự giúp đỡ của một người soát vé, lên một đoàn tàu đang chạy ở một khoảng cách nào đó so với cái cân. Bà kiện công ty đường sắt; sẽ là điều không thể tưởng tượng nổi nếu bà kiện nhà sản xuất cái cân, cho dù nếu những cái cân kim loại nặng không tồn tại thì bà đã không bị thương. Sẽ không ai nghĩ rằng nhà sản xuất cái cân phải chịu trách nhiệm, bởi vì sẽ không ai nghĩ rằng luật bồi thường thiệt hại nên cố gắng khuyến khích các nhà sản xuất cân thực hiện các biện pháp để ngăn chặn loại tai nạn đã xảy đến với bà Palsgraf. Công ty đường sắt là bị đơn hợp lý hơn; người soát vé của nó đã kéo hành khách lên tàu trong khi đoàn tàu đã đang chạy. Nhưng làm sao ông ta có thể lường trước rằng hành động của mình sẽ kích hoạt một vụ nổ, khác với một thương tích có thể xảy ra cho người lên tàu? Nếu một tai nạn kỳ quái đến mức không thể lường trước được, thì trách nhiệm pháp lý khó có thể có tác dụng ngăn chặn.</w:t>
      </w:r>
    </w:p>
    <w:p>
      <w:pPr>
        <w:spacing w:after="80"/>
      </w:pPr>
      <w:r>
        <w:rPr>
          <w:b w:val="0"/>
          <w:i w:val="0"/>
        </w:rPr>
        <w:t xml:space="preserve">Tiến gần hơn đến vụ án của chúng ta, các bị đơn viện dẫn phán quyết của chúng ta trong </w:t>
      </w:r>
      <w:r>
        <w:rPr>
          <w:b w:val="0"/>
          <w:i/>
        </w:rPr>
        <w:t>Movitz v. First National Bank of Chicago</w:t>
      </w:r>
      <w:r>
        <w:rPr>
          <w:b w:val="0"/>
          <w:i w:val="0"/>
        </w:rPr>
        <w:t xml:space="preserve"> , 148 F.3d 760 (7th Cir. 1998). Nguyên đơn đã mua một tòa nhà ở Houston dựa trên điều mà ông cho là sự trình bày sai lệch của bị đơn về giá trị của nó. Nếu không có sự trình bày sai lệch đó thì ông đã không mua nó. Ngay sau khi mua, thị trường bất động sản Houston sụp đổ và khoản đầu tư của ông bị xóa sổ. Sự trình bày sai lệch không gây ra sự sụp đổ đó nhưng nó là một nguyên nhân khiến nguyên đơn mua tòa nhà và do đó đã góp phần vào tổn thất của ông. Tuy vậy, chúng tôi đã phán quyết, mà không dùng thuật ngữ “nguyên nhân gần,” rằng ông không thể đòi bồi thường từ bị đơn bởi vì (trong số những lý do khác) điều đó sẽ tạo ra sự ngăn chặn quá mức bằng cách biến bị đơn thành người bảo hiểm cho những điều kiện mà ông ta không thể kiểm soát. Điều đó sẽ vô ích chẳng khác nào biến nhà sản xuất cái cân thành người bảo hiểm cho tổn thất của bà Palsgraf.</w:t>
      </w:r>
    </w:p>
    <w:p>
      <w:pPr>
        <w:spacing w:after="80"/>
      </w:pPr>
      <w:r>
        <w:rPr>
          <w:b w:val="0"/>
          <w:i w:val="0"/>
        </w:rPr>
        <w:t xml:space="preserve">Vụ án hiện tại bề ngoài giống với </w:t>
      </w:r>
      <w:r>
        <w:rPr>
          <w:b w:val="0"/>
          <w:i/>
        </w:rPr>
        <w:t>Movitz</w:t>
      </w:r>
      <w:r>
        <w:rPr>
          <w:b w:val="0"/>
          <w:i w:val="0"/>
        </w:rPr>
        <w:t xml:space="preserve"> bởi vì có thể điều đã hạ gục Cadant và do đó các cổ đông phổ thông của nó (một số ít nhất trong các cổ đông ưu đãi—như Venrock và J.P. Morgan—dường như đã thoát ra an toàn) không phải là hành vi sai trái bị cáo buộc của các bị đơn mà là sự sụp đổ của bong bóng dot-com. Và quả thực tòa án quận đã phán quyết rằng nguyên đơn đã không chứng minh được rằng hành vi sai trái của các bị đơn là “nguyên nhân gần” dẫn đến sự hủy hoại của Cadant, hệt như trong </w:t>
      </w:r>
      <w:r>
        <w:rPr>
          <w:b w:val="0"/>
          <w:i/>
        </w:rPr>
        <w:t>Movitz.</w:t>
      </w:r>
      <w:r>
        <w:rPr>
          <w:b w:val="0"/>
          <w:i w:val="0"/>
        </w:rPr>
        <w:t xml:space="preserve"> Nhưng chúng tôi không đồng ý với phán quyết của ông ấy ở hai điểm. Thứ nhất, nghĩa vụ chứng minh về vấn đề nguyên nhân (hay nếu muốn thì gọi là “nguyên nhân gần”) thuộc về các bị đơn chứ không phải nguyên đơn, và thẩm phán đã cắt ngang phiên tòa trước khi các bị đơn trình bày biện pháp bào chữa của họ. Thứ hai, có đủ bằng chứng cho thấy việc bong bóng dot-com vỡ không giải thích được toàn bộ tổn thất của Cadant để khiến nguyên nhân trở thành một vấn đề cần điều tra sự thật và do đó cần bồi thẩm đoàn giải quyết. Bong bóng dot-com chủ yếu nằm ở cổ phiếu của các công ty tiếp thị hàng hóa hay dịch vụ của họ qua Internet. Cadant thì không, và dù sao nó cũng thuộc ngành phần cứng, mà vận mệnh của ngành này phụ thuộc vào khối lượng lưu lượng Internet, vốn vẫn tiếp tục tăng ngay cả sau khi bong bóng vỡ. Có thể đã có một hiệu ứng lan tỏa; sự sụp đổ của giá trị cổ phiếu, cùng cuộc suy thoái (dù nhẹ) đi kèm, đã làm giảm lượng vốn đầu tư mạo hiểm sẵn có cho các công ty công nghệ nói chung, và do đó có thể đã khiến Cadant khó có được khoản đầu tư cần thiết với những điều khoản hợp lý. Điểm của chúng tôi chỉ là tác động của việc bong bóng vỡ đối với Cadant là một vấn đề dành cho bồi thẩm đoàn, không phải một vấn đề mà thẩm phán có thể giải quyết bởi vì tác động đó là không thể tranh cãi.</w:t>
      </w:r>
    </w:p>
    <w:p>
      <w:pPr>
        <w:spacing w:after="80"/>
      </w:pPr>
      <w:r>
        <w:rPr>
          <w:b w:val="0"/>
          <w:i w:val="0"/>
        </w:rPr>
        <w:t>Điểm thứ nhất—rằng nghĩa vụ chứng minh về vấn đề nguyên nhân thuộc về các bị đơn—là điều phản trực giác. Thông thường nghĩa vụ chứng minh nguyên nhân thuộc về nguyên đơn, vì nếu không có thương tổn do bị đơn gây ra thì không có hành vi bồi thường thiệt hại nào, cho dù hành vi của bị đơn có sai trái đến đâu. Tuy nhiên, luật Delaware tạo ra một ngoại lệ cho các vụ kiện chống lại giám đốc công ty—một ngoại lệ không phải đối với yêu cầu rằng phải có bằng chứng về nguyên nhân mà đối với yêu cầu rằng nguyên đơn phải chứng minh nguyên nhân thay vì bị đơn phải chứng minh không có nguyên nhân.</w:t>
      </w:r>
    </w:p>
    <w:p>
      <w:pPr>
        <w:spacing w:after="80"/>
      </w:pPr>
      <w:r>
        <w:rPr>
          <w:b w:val="0"/>
          <w:i w:val="0"/>
        </w:rPr>
        <w:t>Để giải thích: Khi một giám đốc bị kiện vì vi phạm nghĩa vụ trung thành hay nghĩa vụ cẩn trọng của mình đối với các cổ đông, tuyến phòng thủ đầu tiên của ông ta là quy tắc phán đoán kinh doanh (business-judgment rule), vốn tạo ra một giả định rằng một quyết định kinh doanh, bao gồm một khuyến nghị hay lá phiếu của một giám đốc công ty, đã được đưa ra một cách thiện chí và với sự cẩn trọng đáng có. Nhưng giả định đó có thể bị bác bỏ bằng bằng chứng rằng giám đốc đã vi phạm nghĩa vụ tín thác của mình đối với công ty—nghĩa vụ trung thành và nghĩa vụ thực hiện nó với sự cẩn trọng đáng có. “Nếu—và đây là điểm mấu chốt của vấn đề nguyên nhân trong vụ án này—quy tắc [phán đoán kinh doanh] bị bác bỏ, thì nghĩa vụ chuyển sang các giám đốc bị đơn, những người ủng hộ giao dịch bị thách thức, phải chứng minh trước người xét xử sự thật về ‘sự công bằng hoàn toàn’ (entire fairness) của giao dịch đối với cổ đông nguyên đơn.”</w:t>
      </w:r>
    </w:p>
    <w:p>
      <w:pPr>
        <w:spacing w:after="80"/>
      </w:pPr>
      <w:r>
        <w:rPr>
          <w:b w:val="0"/>
          <w:i w:val="0"/>
        </w:rPr>
        <w:t xml:space="preserve">Luật Delaware cho phép các cổ đông thông qua (và các cổ đông của Cadant đã thông qua) một điều khoản trong điều lệ miễn trừ trách nhiệm cho các giám đốc khỏi bồi thường thiệt hại vì không thực hiện nghĩa vụ cẩn trọng đáng có, nhưng không thực thi một điều khoản miễn trừ họ khỏi trách nhiệm vì bất trung, và đó chính là cáo buộc trong vụ án này. Nhưng liệu luật Delaware có điều chỉnh vấn đề này không? Điều lệ công ty của Cadant ở cả Maryland lẫn Delaware đều nói rằng các giám đốc của nó sẽ được miễn trừ trách nhiệm vì vi phạm nghĩa vụ tín thác ở mức độ tối đa mà luật tiểu bang cho phép—và luật của hai tiểu bang này thì khác nhau, hoặc ít nhất có thể là khác nhau. Delaware quy định rằng điều lệ công ty “sẽ không loại bỏ hay giới hạn trách nhiệm của một giám đốc . . . đối với bất kỳ vi phạm nào nghĩa vụ trung thành của giám đốc đối với công ty hay các cổ đông của nó,” Del. General Corporation Law § 102(b)(7), trong khi luật Maryland cho phép một công ty che chắn các giám đốc của mình khỏi mọi trách nhiệm ngoài trừ “sự không trung thực chủ động và cố ý.” Nguyên đơn đã trình bày bằng chứng về sự bất trung, như chúng ta sẽ thấy sau này, nhưng chúng tôi không chắc liệu nó có chứng minh được “sự không trung thực chủ động và cố ý” hay không. Các bản lập luận hầu như bỏ qua vấn đề này, và chúng tôi không thể tìm thấy một vụ án nào do tòa án Maryland giải quyết có giải thích thuật ngữ này. Một phán quyết chưa công bố của Tòa án Phúc thẩm Vòng thứ tư (Fourth Circuit) giải thích thuật ngữ này trong luật Maryland là bao gồm gian lận, mà đó là một cách mô tả khả dĩ cho hành vi bị cáo buộc của các bị đơn trong vụ án hiện tại. Và </w:t>
      </w:r>
      <w:r>
        <w:rPr>
          <w:b w:val="0"/>
          <w:i/>
        </w:rPr>
        <w:t>Mississippi v. Richardson</w:t>
      </w:r>
      <w:r>
        <w:rPr>
          <w:b w:val="0"/>
          <w:i w:val="0"/>
        </w:rPr>
        <w:t xml:space="preserve"> , 817 F.2d 1203, 1210 (5th Cir.1987), giải thích thuật ngữ y hệt xuất hiện trong một hợp đồng bảo hiểm trách nhiệm là bao gồm “sự cẩu thả cố ý trong việc thực hiện nghĩa vụ,” biển thủ, và gian lận—và sự cẩu thả cố ý trong việc thực hiện nghĩa vụ dường như là một mô tả khá tốt cho hành vi sai trái bị cáo buộc của các bị đơn. Và nếu có sự bất trung trong vụ án này thì đó là cố ý, và có lẽ thế là đủ để chứng minh “sự không trung thực chủ động và cố ý.”</w:t>
      </w:r>
    </w:p>
    <w:p>
      <w:pPr>
        <w:spacing w:after="80"/>
      </w:pPr>
      <w:r>
        <w:rPr>
          <w:b w:val="0"/>
          <w:i w:val="0"/>
        </w:rPr>
        <w:t>Chúng tôi không cần phải quyết định, bởi vì chúng tôi cho rằng luật Delaware chi phối, xét về các khoản vay bắc cầu, và chúng là trọng tâm của vụ kiện. Các cuộc đàm phán dẫn đến khoản vay bắc cầu thứ nhất diễn ra vào mùa thu năm 2000 và khoản vay được hội đồng quản trị Cadant phê duyệt vào ngày 10 tháng 1 năm 2001—chín ngày sau khi việc tái thành lập Cadant tại Delaware có hiệu lực. Một số bằng chứng mạnh nhất của nguyên đơn về sự bất trung của các giám đốc có xung đột lợi ích liên quan đến hành động của Copeland trong quá trình đàm phán khoản vay thứ nhất, và nguyên đơn lập luận rằng khoản vay đó đã khởi đầu các sự kiện dẫn đến việc bán công ty trong tình trạng tuyệt vọng cho Arris.</w:t>
      </w:r>
    </w:p>
    <w:p>
      <w:pPr>
        <w:spacing w:after="80"/>
      </w:pPr>
      <w:r>
        <w:rPr>
          <w:b w:val="0"/>
          <w:i w:val="0"/>
        </w:rPr>
        <w:t>Chúng tôi không thể áp dụng luật của cả hai tiểu bang cho khoản vay bắc cầu thứ nhất, và do đó chúng tôi quay về các nguyên tắc chung về chọn luật và hỏi xem luật của tiểu bang nào điều chỉnh nghĩa vụ của giám đốc mà các bên sẽ kỳ vọng điều chỉnh các công việc nội bộ của Cadant trong giai đoạn then chốt, và tiểu bang nào có lợi ích quản lý lớn hơn đối với các công việc nội bộ của công ty vào thời điểm đó. Câu trả lời cho cả hai câu hỏi là Delaware. Đó là vào ngày 8 tháng 11 năm 2000, hội đồng quản trị Cadant đã chính thức phê duyệt quyết định tái thành lập, trong một nghị quyết nói rằng “Hội đồng tin rằng Tiểu bang Delaware có một hệ thống án lệ vững chắc giúp Hội đồng có thể thực hiện hiệu quả hơn các nghĩa vụ tín thác của mình đối với các cổ đông của Công ty.” Việc Copeland không tiết lộ những hành vi bất trung mà ông ta đã thực hiện trong quá trình đàm phán là một hành vi bất trung đã khiến khoản vay được phê duyệt, và nó được phê duyệt vào tháng 1, sau khi công ty đã tái thành lập theo luật Delaware. Hội đồng sẽ giả định rằng, chắc chắn là từ ngày đó trở đi, các nghĩa vụ của giám đốc liên quan đến cả khoản vay đó lẫn khoản vay bắc cầu thứ hai sẽ được điều chỉnh bởi luật Delaware.</w:t>
      </w:r>
    </w:p>
    <w:p>
      <w:pPr>
        <w:spacing w:after="80"/>
      </w:pPr>
      <w:r>
        <w:rPr>
          <w:b w:val="0"/>
          <w:i w:val="0"/>
        </w:rPr>
        <w:t>Ngoài việc hội đồng từ chối bán công ty cho ADC Telecommunications, hơn nữa—một hành vi hoàn toàn được điều chỉnh bởi luật Maryland và được luật đó miễn trừ trách nhiệm bởi vì nó được kết thúc trước khi việc tái thành lập được quyết định, chứ chưa nói đến hoàn thành—hầu hết các hành vi bất trung mà nguyên đơn phàn nàn đã xảy ra khi Cadant là một công ty Delaware, và hầu hết những hành vi xảy ra sớm hơn đều xảy ra sau khi hội đồng đã quyết định rằng luật Delaware phù hợp hơn với Cadant so với luật Maryland. Vậy nên Delaware có lợi ích quản lý lớn hơn Maryland trong việc quản trị các công việc nội bộ của Cadant trong giai đoạn then chốt khi các sự kiện dẫn đến vụ kiện này xảy ra.</w:t>
      </w:r>
    </w:p>
    <w:p>
      <w:pPr>
        <w:spacing w:after="80"/>
      </w:pPr>
      <w:r>
        <w:rPr>
          <w:b w:val="0"/>
          <w:i w:val="0"/>
        </w:rPr>
        <w:t>Chúng tôi kết luận rằng điều lệ công ty đã không có hiệu lực trong việc từ bỏ nghĩa vụ trung thành của Copeland và các giám đốc khác có xung đột lợi ích, và do đó bằng chứng về các hành vi bất trung của họ (nếu bồi thẩm đoàn được phép phát hiện rằng họ quả thực đã thực hiện những hành vi đó) sẽ đặt lên họ nghĩa vụ chứng minh “sự công bằng hoàn toàn” của các khoản vay bắc cầu. Nhưng, các bị đơn của chúng ta nói, nguyên đơn vẫn phải chứng minh nguyên nhân gần và “sự công bằng hoàn toàn” thì liên quan gì đến điều đó? Trong một vụ án như thế này, mọi thứ. Bởi vì “khi xem xét một giao dịch liên quan đến việc bán một công ty, các giám đốc [một khi việc áp dụng quy tắc phán đoán kinh doanh bị bác bỏ] có nghĩa vụ chứng minh rằng mức giá được đưa ra là giá trị cao nhất có thể đạt được một cách hợp lý trong hoàn cảnh đó,”—nói cách khác, nghĩa vụ chứng minh rằng các cổ đông đã được đối xử tốt như họ sẽ được đối xử nếu các giám đốc bị đơn đã trung thành và cẩn trọng. Đó là một cách nói khác rằng các hành vi bất trung không có tác động gì đến các cổ đông—không có mối quan hệ nhân quả nào với tổn thất của họ.</w:t>
      </w:r>
    </w:p>
    <w:p>
      <w:pPr>
        <w:spacing w:after="80"/>
      </w:pPr>
      <w:r>
        <w:rPr>
          <w:b w:val="0"/>
          <w:i w:val="0"/>
        </w:rPr>
        <w:t>Một cách thức bác bỏ thay thế sẽ là chứng minh rằng bất chấp bằng chứng về sự bất trung, các giám đốc đã trung thành; và khi đó quy tắc phán đoán kinh doanh sẽ bật trở lại và bảo vệ các giám đốc khỏi trách nhiệm. Thuật ngữ “sự công bằng hoàn toàn” khớp về mặt ngữ nghĩa tốt hơn với hình thức bác bỏ này so với việc chứng minh rằng công ty đã được bán với mức giá cao nhất có thể đạt được một cách thực tế ngay cả khi các giám đốc đã dàn xếp thương vụ đó là bất trung. Nhưng sẽ cần gì đến một khái niệm “sự công bằng hoàn toàn” nếu tất cả những gì liên quan chỉ là nếu bằng chứng về sự bất trung của nguyên đơn đủ thuyết phục để đặt nghĩa vụ chứng minh sự trung thành lên bị đơn, thì bị đơn vẫn có thể thắng, bằng cách chứng minh rằng sau cùng thì ông ta đã trung thành? Phiên bản thay thế của “sự công bằng hoàn toàn,” vốn định nghĩa một học thuyết riêng biệt, là phiên bản áp dụng cho vụ án này. Sự bất trung của các giám đốc bị đơn phải được giả định bởi vì thẩm phán đã cắt ngang phiên tòa, và do đó các bị đơn phải chứng minh rằng hành vi sai trái của họ không có hiệu lực nhân quả bởi vì Cadant đã đạt được một thỏa thuận tốt như nó sẽ đạt được nếu các bị đơn đã trung thành. Đó là một câu hỏi nhân quả đơn giản; không cần phải lo lắng về ý nghĩa của “nguyên nhân gần.”</w:t>
      </w:r>
    </w:p>
    <w:p>
      <w:pPr>
        <w:spacing w:after="80"/>
      </w:pPr>
      <w:r>
        <w:rPr>
          <w:b w:val="0"/>
          <w:i w:val="0"/>
        </w:rPr>
        <w:t xml:space="preserve">Các bị đơn cho rằng thật là dị giáo khi miễn cho nguyên đơn việc phải chứng minh nguyên nhân và bắt họ phải chứng minh sự vắng mặt của nó. Nhưng không chỉ đây rõ ràng là quy tắc của Delaware trong một vụ án như thế này; việc chuyển nghĩa vụ chứng minh về nguyên nhân sang bị đơn là điều phổ biến trong các lĩnh vực luật khác, chẳng hạn như phân biệt đối xử trong việc làm. Việc chuyển nghĩa vụ này có lý trong các vụ án được điều chỉnh bởi quy tắc phán đoán kinh doanh, vốn tạo ra một vùng an toàn rộng rãi đến mức để vượt qua nó, nguyên đơn phải đưa ra một bằng chứng rất mạnh về hành vi sai trái. Hành vi sai trái dù lớn đến đâu cũng có thể trở nên vô hại bởi một sự kiện xen vào như việc một bong bóng hàng hóa vỡ, như trong </w:t>
      </w:r>
      <w:r>
        <w:rPr>
          <w:b w:val="0"/>
          <w:i/>
        </w:rPr>
        <w:t>Movitz.</w:t>
      </w:r>
      <w:r>
        <w:rPr>
          <w:b w:val="0"/>
          <w:i w:val="0"/>
        </w:rPr>
        <w:t xml:space="preserve"> Nhưng vì đó là điều ngoại lệ, nên hợp lý khi đặt nghĩa vụ chứng minh nguyên nhân xen vào lên bị đơn; quả thực đó là nơi nghĩa vụ chứng minh nguyên nhân xen vào (một nguyên nhân xóa bỏ trách nhiệm của bị đơn đối với thương tổn của nguyên đơn) thường nằm.</w:t>
      </w:r>
    </w:p>
    <w:p>
      <w:pPr>
        <w:spacing w:after="80"/>
      </w:pPr>
      <w:r>
        <w:rPr>
          <w:b w:val="0"/>
          <w:i w:val="0"/>
        </w:rPr>
        <w:t>Thực ra có đủ bằng chứng cho thấy hành vi sai trái bị cáo buộc đã gây tổn thất cho các cổ đông của Cadant để khiến vấn đề nguyên nhân trở thành vấn đề dành cho bồi thẩm đoàn bất kể bên nào có nghĩa vụ chứng minh. Đó là sau khi bong bóng dot-com vỡ, và chỉ vài tháng trước khi Cadant được bán cho Arris Group với giá 55 triệu đô-la, một công ty tương tự, River Delta, đã được bán với giá 300 triệu đô-la. Cadant không thể cầm cự để chờ một thỏa thuận tương đương vì các điều khoản của các khoản vay bắc cầu. Nếu bằng chứng của nguyên đơn được tin, Copeland, thông đồng với một nhân viên của J.P. Morgan tên là Charles Walker (một bị đơn), đã sử dụng thông tin thu thập được từ các cuộc họp của hội đồng quản trị Cadant để tiết lộ cho J.P. Morgan và qua đó cho Venrock rằng Cadant sẽ chấp nhận một khoản vay bắc cầu nhỏ hơn, và với thời hạn ngắn hơn, so với điều mà Venrock và J.P. Morgan sẽ kỳ vọng hội đồng khăng khăng đòi. Chính Walker đã tham gia hội đồng quản trị Cadant ngay sau khi khoản vay bắc cầu thứ nhất được thực hiện, cũng như một nhân viên khác của J.P. Morgan (Stephan Oppenheimer), người cũng là một bị đơn. Có bằng chứng cho thấy Copeland, Walker, và Oppenheimer đã thông đồng để đảm bảo rằng Cadant sẽ chấp nhận khoản vay bắc cầu thứ hai, vốn làm tăng thêm những bất lợi cho Cadant từ khoản vay thứ nhất bằng cách tạo ra một quyền ưu tiên thanh lý hào phóng; như đã đề cập trước đó, trong trường hợp Cadant được bán hay thanh lý, Venrock và J.P. Morgan sẽ được quyền nhận số tiền gấp đôi khoản đầu tư của họ vào công ty, gây bất lợi cho các cổ đông phổ thông.</w:t>
      </w:r>
    </w:p>
    <w:p>
      <w:pPr>
        <w:spacing w:after="80"/>
      </w:pPr>
      <w:r>
        <w:rPr>
          <w:b w:val="0"/>
          <w:i w:val="0"/>
        </w:rPr>
        <w:t>Khoản vay càng nhỏ, thời hạn càng ngắn, và quyền ưu tiên thanh lý càng lớn thì càng bất lợi cho các cổ đông đó. Khoản vay càng nhỏ thì càng ít củng cố được người đi vay (Cadant), và do đó người đi vay càng khó cầm cự để chờ những lời đề nghị hậu hĩnh từ các bên mua tiềm năng. Thời hạn càng ngắn thì khoảng thời gian người đi vay có thể cầm cự để chờ một mức giá bán hấp dẫn càng ngắn. Quyền ưu tiên thanh lý càng lớn thì các cổ đông càng thu được ít từ việc bán trong tình huống—vốn đã looming khi các khoản vay bắc cầu được thực hiện, và cuối cùng đã xảy ra—rằng công ty buộc phải thanh lý. Không bị vấy bẩn bởi các giám đốc bất trung, trong chừng mực có thể thấy, River Delta, trong điều kiện kinh tế bất lợi tương tự như những gì được cho là đã vây hãm Cadant, vẫn được bán với giá cao hơn gấp hơn năm lần so với giá Cadant được bán vài tháng sau đó. Đây là một số bằng chứng—và không phải bằng chứng duy nhất (nhưng chúng tôi đang cố giữ ý kiến này càng ngắn càng tốt)—rằng các cổ đông phổ thông của Cadant đã bị tổn hại bởi hành vi sai trái của các bị đơn, vượt trên cả tổn hại do những sự kiện mà các bị đơn không kiểm soát được gây ra. Hãy nhớ rằng phiên tòa đã được tách thành hai phần, nên tất cả những gì bồi thẩm đoàn phải xác định là Cadant đã bị tổn hại bởi hành động của các giám đốc; việc đo lường tổn hại—cụ thể là phân bổ tổn hại giữa hành vi sai trái của các bị đơn và sự vỡ bong bóng dot-com—được dành riêng cho phiên tòa về thiệt hại, nếu xác định được trách nhiệm pháp lý.</w:t>
      </w:r>
    </w:p>
    <w:p>
      <w:pPr>
        <w:spacing w:after="80"/>
      </w:pPr>
      <w:r>
        <w:rPr>
          <w:b w:val="0"/>
          <w:i w:val="0"/>
        </w:rPr>
        <w:t xml:space="preserve">Dù vậy, các bị đơn lập luận, rút lui về tuyến phòng thủ thứ hai của họ, rằng không có sự vi phạm lòng trung thành vì xung đột lợi ích của họ đã được tiết lộ đầy đủ. Xung đột </w:t>
      </w:r>
      <w:r>
        <w:rPr>
          <w:b w:val="0"/>
          <w:i/>
        </w:rPr>
        <w:t>đã</w:t>
      </w:r>
      <w:r>
        <w:rPr>
          <w:b w:val="0"/>
          <w:i w:val="0"/>
        </w:rPr>
        <w:t xml:space="preserve"> được tiết lộ đầy đủ. Nhưng điều đó không đúng trọng tâm.</w:t>
      </w:r>
    </w:p>
    <w:p>
      <w:pPr>
        <w:spacing w:after="80"/>
      </w:pPr>
      <w:r>
        <w:rPr>
          <w:b w:val="0"/>
          <w:i w:val="0"/>
        </w:rPr>
        <w:t xml:space="preserve">Mục 144(a)(1) của Luật Công ty Đại chúng Delaware quy định, trong phạm vi liên quan đến vụ án này, rằng nếu “các sự kiện trọng yếu về mối quan hệ hoặc lợi ích của giám đốc . . . và về hợp đồng hoặc giao dịch được tiết lộ hoặc được hội đồng quản trị biết đến. . ., và hội đồng quản trị . . . với thiện chí phê chuẩn hợp đồng hoặc giao dịch bằng phiếu thuận của đa số các giám đốc không có lợi ích liên quan,” thì “không hợp đồng nào” giữa công ty (gọi là </w:t>
      </w:r>
      <w:r>
        <w:rPr>
          <w:b w:val="0"/>
          <w:i/>
        </w:rPr>
        <w:t>A)</w:t>
      </w:r>
      <w:r>
        <w:rPr>
          <w:b w:val="0"/>
          <w:i w:val="0"/>
        </w:rPr>
        <w:t xml:space="preserve"> và một công ty khác </w:t>
      </w:r>
      <w:r>
        <w:rPr>
          <w:b w:val="0"/>
          <w:i/>
        </w:rPr>
        <w:t>(B)</w:t>
      </w:r>
      <w:r>
        <w:rPr>
          <w:b w:val="0"/>
          <w:i w:val="0"/>
        </w:rPr>
        <w:t xml:space="preserve"> mà trong đó một giám đốc của </w:t>
      </w:r>
      <w:r>
        <w:rPr>
          <w:b w:val="0"/>
          <w:i/>
        </w:rPr>
        <w:t>A</w:t>
      </w:r>
      <w:r>
        <w:rPr>
          <w:b w:val="0"/>
          <w:i w:val="0"/>
        </w:rPr>
        <w:t xml:space="preserve"> cũng là giám đốc hoặc viên chức, hoặc có một lợi ích tài chính nào khác, “sẽ bị vô hiệu hoặc có thể bị vô hiệu chỉ vì lý do này,” nghĩa là chỉ vì một giám đốc của </w:t>
      </w:r>
      <w:r>
        <w:rPr>
          <w:b w:val="0"/>
          <w:i/>
        </w:rPr>
        <w:t>A</w:t>
      </w:r>
      <w:r>
        <w:rPr>
          <w:b w:val="0"/>
          <w:i w:val="0"/>
        </w:rPr>
        <w:t xml:space="preserve"> có lợi ích trong </w:t>
      </w:r>
      <w:r>
        <w:rPr>
          <w:b w:val="0"/>
          <w:i/>
        </w:rPr>
        <w:t>B</w:t>
      </w:r>
      <w:r>
        <w:rPr>
          <w:b w:val="0"/>
          <w:i w:val="0"/>
        </w:rPr>
        <w:t xml:space="preserve">, mà </w:t>
      </w:r>
      <w:r>
        <w:rPr>
          <w:b w:val="0"/>
          <w:i/>
        </w:rPr>
        <w:t>A</w:t>
      </w:r>
      <w:r>
        <w:rPr>
          <w:b w:val="0"/>
          <w:i w:val="0"/>
        </w:rPr>
        <w:t xml:space="preserve"> đã giao dịch. Copeland là giám đốc của Venrock cũng như của Cadant, và Venrock là bên cho Cadant vay, cả với tư cách cổ đông ưu đãi (một loại bên cho vay, không phải chủ sở hữu vốn cổ phần) và với tư cách bên cho vay bắc cầu. Các giám đốc bị đơn khác cũng có xung đột lợi ích tương tự. Nhưng Copeland (và ta có thể giả định những người khác) đã tiết lộ đầy đủ cho Cadant về mối quan hệ của ông (họ) với Venrock hoặc J.P. Morgan, cổ đông ưu đãi-bên cho vay bắc cầu kia, bên đang hành động trong quan hệ đối tác với Venrock. Điều này có nghĩa là các giao dịch giữa nó với Venrock và J.P. Morgan, dù hóa ra bất lợi cho Cadant, không thể bị vô hiệu chỉ vì các xung đột lợi ích. Và nếu các xung đột do đó được vô hiệu hóa, thì các giám đốc không thể bị coi là đã vi phạm nghĩa vụ tín thác chỉ đơn thuần vì việc họ đàm phán những thỏa thuận đó.</w:t>
      </w:r>
    </w:p>
    <w:p>
      <w:pPr>
        <w:spacing w:after="80"/>
      </w:pPr>
      <w:r>
        <w:rPr>
          <w:b w:val="0"/>
          <w:i w:val="0"/>
        </w:rPr>
        <w:t>Nhưng đó không phải là cáo buộc. Cáo buộc là các giám đốc đã bất trung. Họ đã thuyết phục thẩm phán quận rằng việc tiết lộ xung đột lợi ích biện minh cho việc vi phạm nghĩa vụ tín thác. Điều đó không đúng. Nó chỉ biện minh cho xung đột. (Hãy để ý sự tương đồng giữa quy định luật thành văn và cách luật Delaware xử lý điều khoản miễn trừ trong điều lệ của Cadant.)</w:t>
      </w:r>
    </w:p>
    <w:p>
      <w:pPr>
        <w:spacing w:after="80"/>
      </w:pPr>
      <w:r>
        <w:rPr>
          <w:b w:val="0"/>
          <w:i w:val="0"/>
        </w:rPr>
        <w:t>Có xung đột và bị thúc đẩy bởi nó để vi phạm nghĩa vụ trung thành là hai điều khác nhau—điều thứ nhất là một yếu tố làm tăng khả năng xảy ra sai phạm, điều thứ hai chính là sai phạm. Do đó, một hành vi bất trung có thể bị kiện ngay cả khi xung đột lợi ích thì không—một điểm khác biệt là xung đột được tiết lộ, còn hành vi bất trung thì không. Một giám đốc có thể nói với các giám đốc đồng nghiệp rằng ông có xung đột lợi ích nhưng sẽ không để nó ảnh hưởng đến hành động của mình với tư cách giám đốc; ông sẽ không nói với họ rằng ông định lừa họ. Nếu sau khi được thông báo về xung đột, các giám đốc không có lợi ích liên quan quyết định tiếp tục tin tưởng và dựa vào những người có lợi ích liên quan, thì đó là vì họ nghĩ rằng bất chấp xung đột lợi ích, những giám đốc đó sẽ tiếp tục phục vụ công ty một cách trung thành.</w:t>
      </w:r>
    </w:p>
    <w:p>
      <w:pPr>
        <w:spacing w:after="80"/>
      </w:pPr>
      <w:r>
        <w:rPr>
          <w:b w:val="0"/>
          <w:i/>
        </w:rPr>
        <w:t>Benihana of Tokyo, Inc. v. Benihana, Inc.</w:t>
      </w:r>
      <w:r>
        <w:rPr>
          <w:b w:val="0"/>
          <w:i w:val="0"/>
        </w:rPr>
        <w:t xml:space="preserve"> , một vụ kiện phái sinh rất giống vụ này, cung cấp một sự tương phản soi sáng cho vụ án này. Một giám đốc có lợi ích liên quan nhưng lợi ích của ông đã được hội đồng quản trị biết đến. Sau khi giải quyết điểm đó, tòa án tiếp tục xem xét liệu ông có vi phạm nghĩa vụ tín thác đối với công ty hay không, và kết luận rằng ông không vi phạm. Ông “đã không đặt ra các điều khoản của thỏa thuận [bị thách thức]; ông đã không lừa dối hội đồng quản trị; và ông đã không chi phối hay kiểm soát việc phê chuẩn Giao dịch của các giám đốc khác. Tóm lại, hồ sơ không ủng hộ tuyên bố rằng [ông] đã vi phạm nghĩa vụ trung thành của mình.” Có đủ bằng chứng rằng Copeland và các giám đốc bị đơn khác đã làm những điều này để tạo ra một vấn đề cho bồi thẩm đoàn giải quyết.</w:t>
      </w:r>
    </w:p>
    <w:p>
      <w:pPr>
        <w:spacing w:after="80"/>
      </w:pPr>
      <w:r>
        <w:rPr>
          <w:b w:val="0"/>
          <w:i w:val="0"/>
        </w:rPr>
        <w:t xml:space="preserve">Chỉ còn một vấn đề nữa cần thảo luận—trách nhiệm tiềm tàng của Venrock và J.P. Morgan. Tất nhiên họ không nợ Cadant nghĩa vụ trung thành hay cẩn trọng nào. Nhưng việc hỗ trợ và tiếp tay cho một vi phạm nghĩa vụ tín thác do các giám đốc công ty thực hiện là có thể bị kiện theo luật Delaware, . . . và bằng chứng về việc hỗ trợ và tiếp tay như vậy, đáng chú ý là bởi Charles Walker thay mặt cho cả Venrock và người chủ của ông là J.P. Morgan, đủ để tạo ra một vấn đề khác cho bồi thẩm đoàn. </w:t>
      </w:r>
      <w:r>
        <w:rPr>
          <w:b w:val="0"/>
          <w:i/>
        </w:rPr>
        <w:t>Gatz</w:t>
      </w:r>
      <w:r>
        <w:rPr>
          <w:b w:val="0"/>
          <w:i w:val="0"/>
        </w:rPr>
        <w:t xml:space="preserve"> giải thích rằng “để nêu một khiếu nại về việc hỗ trợ và tiếp tay cho một vi phạm nghĩa vụ tín thác, nguyên đơn phải cáo buộc (1) một quan hệ tín thác; (2) một sự vi phạm quan hệ đó; (3) rằng bên bị cáo buộc hỗ trợ và tiếp tay đã biết mà tham gia vào sự vi phạm nghĩa vụ của bên tín thác; và (4) thiệt hại do sự vi phạm gây ra một cách trực tiếp,” và </w:t>
      </w:r>
      <w:r>
        <w:rPr>
          <w:b w:val="0"/>
          <w:i/>
        </w:rPr>
        <w:t>Malpiede</w:t>
      </w:r>
      <w:r>
        <w:rPr>
          <w:b w:val="0"/>
          <w:i w:val="0"/>
        </w:rPr>
        <w:t xml:space="preserve"> rằng “một bên thứ ba có thể phải chịu trách nhiệm về việc hỗ trợ và tiếp tay cho sự vi phạm nghĩa vụ của bên tín thác công ty đối với các cổ đông nếu bên thứ ba đó ‘biết mà tham gia’ vào sự vi phạm . . . Việc biết mà tham gia vào sự vi phạm nghĩa vụ tín thác của hội đồng quản trị đòi hỏi bên thứ ba phải hành động với hiểu biết rằng hành vi được ủng hộ hoặc hỗ trợ cấu thành sự vi phạm như vậy. Theo tiêu chuẩn này, những nỗ lực của một bên đấu giá nhằm giảm giá bán thông qua các cuộc đàm phán ngang hàng không thể làm phát sinh trách nhiệm về việc hỗ trợ và tiếp tay, trong khi một bên đấu giá có thể phải chịu trách nhiệm với các cổ đông của công ty mục tiêu nếu bên đấu giá cố gắng tạo ra hoặc khai thác các xung đột lợi ích trong hội đồng quản trị,” và </w:t>
      </w:r>
      <w:r>
        <w:rPr>
          <w:b w:val="0"/>
          <w:i/>
        </w:rPr>
        <w:t>Gilbert</w:t>
      </w:r>
      <w:r>
        <w:rPr>
          <w:b w:val="0"/>
          <w:i w:val="0"/>
        </w:rPr>
        <w:t xml:space="preserve"> rằng “mặc dù một bên chào mua có thể cố gắng đạt được mức giá thấp nhất có thể cho cổ phiếu thông qua các cuộc đàm phán ngang hàng với hội đồng quản trị của công ty mục tiêu, họ không được biết mà tham gia vào sự vi phạm nghĩa vụ tín thác của hội đồng quản trị mục tiêu bằng cách đòi hỏi các điều khoản buộc bên đối diện phải ưu tiên lợi ích của mình hơn lợi ích của các cổ đông.” Những công thức này, với “bên cho vay” thay thế “bên đấu giá” trong </w:t>
      </w:r>
      <w:r>
        <w:rPr>
          <w:b w:val="0"/>
          <w:i/>
        </w:rPr>
        <w:t>Malpiede</w:t>
      </w:r>
      <w:r>
        <w:rPr>
          <w:b w:val="0"/>
          <w:i w:val="0"/>
        </w:rPr>
        <w:t xml:space="preserve"> và “bên chào mua” trong </w:t>
      </w:r>
      <w:r>
        <w:rPr>
          <w:b w:val="0"/>
          <w:i/>
        </w:rPr>
        <w:t>Gilbert</w:t>
      </w:r>
      <w:r>
        <w:rPr>
          <w:b w:val="0"/>
          <w:i w:val="0"/>
        </w:rPr>
        <w:t xml:space="preserve"> , khớp với vụ án này một cách hoàn hảo (luôn giả định rằng nguyên đơn có thể chứng minh các cáo buộc của mình). Tất nhiên các bị đơn này sẽ tránh được trách nhiệm về việc hỗ trợ và tiếp tay nếu không có hành vi sai trái nào của Copeland hoặc bất kỳ giám đốc bị đơn nào khác để Venrock và J.P. Morgan hỗ trợ hay tiếp tay, nhưng chúng tôi vừa phán quyết rằng có đủ bằng chứng về hành vi sai trái như vậy để tạo ra một vấn đề cho bồi thẩm đoàn.</w:t>
      </w:r>
    </w:p>
    <w:p>
      <w:pPr>
        <w:spacing w:after="80"/>
      </w:pPr>
      <w:r>
        <w:rPr>
          <w:b w:val="0"/>
          <w:i w:val="0"/>
        </w:rPr>
        <w:t>Chúng tôi lưu ý đến tính khôn ngoan đáng ngờ của việc chấp thuận một đề nghị phán quyết theo luật vào tuần thứ bảy của một phiên tòa sắp kết thúc vì các bị đơn tuyên bố rằng họ sẽ không đưa ra phần bào chữa. Việc bảo lưu quyết định về đề nghị đó có thể đã tránh được sự lãng phí lớn về thời gian, tiền bạc và nguồn lực tư pháp, vì vụ án giờ đây phải được xét xử lại từ đầu.</w:t>
      </w:r>
    </w:p>
    <w:p>
      <w:pPr>
        <w:spacing w:after="80"/>
      </w:pPr>
      <w:r>
        <w:rPr>
          <w:b w:val="0"/>
          <w:i w:val="0"/>
        </w:rPr>
        <w:t>Bị đảo ngược và chuyển lại, kèm theo các chỉ dẫn.</w:t>
      </w:r>
    </w:p>
    <w:p>
      <w:pPr>
        <w:pStyle w:val="Heading5"/>
      </w:pPr>
      <w:r>
        <w:rPr>
          <w:rFonts w:ascii="Calibri" w:hAnsi="Calibri"/>
          <w:b/>
          <w:i/>
          <w:sz w:val="22"/>
        </w:rPr>
        <w:t>(Bình luận và Câu hỏi)</w:t>
      </w:r>
    </w:p>
    <w:p>
      <w:pPr>
        <w:spacing w:after="80"/>
      </w:pPr>
      <w:r>
        <w:rPr>
          <w:b w:val="0"/>
          <w:i w:val="0"/>
        </w:rPr>
        <w:t>1. Tòa phúc thẩm quyết định đánh giá hành vi của hội đồng quản trị theo luật Delaware. Liệu kết quả có khác đi nếu tòa áp dụng luật Maryland thay vào đó không? Việc áp dụng luật Maryland có làm thay đổi kết quả tại phiên tòa không?</w:t>
      </w:r>
    </w:p>
    <w:p>
      <w:pPr>
        <w:spacing w:after="80"/>
      </w:pPr>
      <w:r>
        <w:rPr>
          <w:b w:val="0"/>
          <w:i w:val="0"/>
        </w:rPr>
        <w:t>2. Việc Thẩm phán Posner áp dụng Mục 144 và học thuyết trung thành của Delaware so với việc các tòa án Delaware áp dụng cùng luật đó như thế nào? Quyết định của Tòa phúc thẩm Khu vực Bảy có lợi cho nguyên đơn hơn như thế nào?</w:t>
      </w:r>
    </w:p>
    <w:p>
      <w:pPr>
        <w:spacing w:after="80"/>
      </w:pPr>
      <w:r>
        <w:rPr>
          <w:b w:val="0"/>
          <w:i w:val="0"/>
        </w:rPr>
        <w:t xml:space="preserve">3. Thẩm phán Posner nhận xét rằng “[c]ó xung đột và bị thúc đẩy bởi nó để vi phạm nghĩa vụ trung thành là hai điều khác nhau.” Bạn có đồng ý không? Ý kiến của Tòa án Tối cao Delaware trong </w:t>
      </w:r>
      <w:r>
        <w:rPr>
          <w:b w:val="0"/>
          <w:i/>
        </w:rPr>
        <w:t>Benihana</w:t>
      </w:r>
      <w:r>
        <w:rPr>
          <w:b w:val="0"/>
          <w:i w:val="0"/>
        </w:rPr>
        <w:t xml:space="preserve"> có ủng hộ quyết định của Thẩm phán Posner trong việc xem xét động cơ của các giám đốc không?</w:t>
      </w:r>
    </w:p>
    <w:p>
      <w:pPr>
        <w:spacing w:after="80"/>
      </w:pPr>
      <w:r>
        <w:rPr>
          <w:b w:val="0"/>
          <w:i w:val="0"/>
        </w:rPr>
        <w:t xml:space="preserve">4. Theo Thẩm phán Posner, khi nào tòa án nên xem xét một giao dịch tự giao dịch theo tiêu chuẩn công bằng toàn diện? Tại sao các giám đốc bị đơn phải chịu trách nhiệm chứng minh theo tiêu chuẩn công bằng toàn diện? Để thảo luận về tác động rộng hơn của việc xem xét công bằng toàn diện, xem Randall S. Thomas &amp; Harwell Wells, </w:t>
      </w:r>
      <w:r>
        <w:rPr>
          <w:b w:val="0"/>
          <w:i/>
        </w:rPr>
        <w:t>Executive Compensation in the Courts: Board Capture, Optimal Contracting, and Officers' Fiduciary Duties</w:t>
      </w:r>
      <w:r>
        <w:rPr>
          <w:b w:val="0"/>
          <w:i w:val="0"/>
        </w:rPr>
        <w:t xml:space="preserve"> , 95 Minn. L. Rev. 846 (2011); Lisa M. Fairfax, </w:t>
      </w:r>
      <w:r>
        <w:rPr>
          <w:b w:val="0"/>
          <w:i/>
        </w:rPr>
        <w:t>The Uneasy Case for the Inside Director</w:t>
      </w:r>
      <w:r>
        <w:rPr>
          <w:b w:val="0"/>
          <w:i w:val="0"/>
        </w:rPr>
        <w:t xml:space="preserve"> , 96 Iowa L. Rev. 127 (2010).</w:t>
      </w:r>
    </w:p>
    <w:p>
      <w:pPr>
        <w:spacing w:after="80"/>
      </w:pPr>
      <w:r>
        <w:rPr>
          <w:b w:val="0"/>
          <w:i w:val="0"/>
        </w:rPr>
        <w:t>5. Thẩm phán Posner và các đồng nghiệp của ông đã phán quyết rằng các khiếu nại có cơ sở chống lại Venrock và J.P. Morgan vẫn tồn tại qua kháng cáo vì các bị đơn đó có thể đã hỗ trợ và tiếp tay cho sự vi phạm nghĩa vụ trung thành của Copeland. Những sự kiện nào cho thấy các bị đơn này có thể đã biết mà tham gia vào sự vi phạm được cáo buộc? Venrock hoặc J.P. Morgan có thể đã làm gì, nếu có, để tránh trách nhiệm tiềm tàng về việc hỗ trợ và tiếp tay? Những biện minh về chính sách nào tồn tại cho việc buộc những người ngoài công ty phải chịu trách nhiệm về các vi phạm nghĩa vụ tín thác của các giám đốc công ty? Có phải chứng minh ý định hỗ trợ trong sự vi phạm, hay chỉ cần sự hiểu biết là đủ cho trách nhiệm hỗ trợ và tiếp tay?</w:t>
      </w:r>
    </w:p>
    <w:p>
      <w:pPr>
        <w:pStyle w:val="Heading2"/>
      </w:pPr>
      <w:r>
        <w:rPr>
          <w:rFonts w:ascii="Calibri" w:hAnsi="Calibri"/>
          <w:b/>
          <w:i w:val="0"/>
          <w:sz w:val="32"/>
        </w:rPr>
        <w:t>II. Chiếm đoạt Cơ hội của Công ty</w:t>
      </w:r>
    </w:p>
    <w:p>
      <w:pPr>
        <w:spacing w:after="80"/>
      </w:pPr>
      <w:r>
        <w:rPr>
          <w:b w:val="0"/>
          <w:i w:val="0"/>
        </w:rPr>
        <w:t>Nghĩa vụ trung thành không chỉ giới hạn ở các giao dịch tự lợi. Nó cũng cấm các giám đốc và cán bộ điều hành chiếm đoạt cơ hội kinh doanh của công ty. Luật công ty thừa nhận rằng những người được ủy thác của công ty — đặc biệt là các giám đốc bên ngoài không làm việc toàn thời gian cho công ty — có thể có những lợi ích kinh doanh bên ngoài công ty, những lợi ích không khác biệt với hoạt động hiện tại hoặc tiềm năng của công ty. Nếu những người được ủy thác bị buộc phải kiêng tránh mọi cơ hội kinh doanh cá nhân có lợi ích cho công ty, thì nguồn giám đốc và cán bộ điều hành sẵn lòng, đủ tiêu chuẩn và có năng lực sẽ thu hẹp đáng kể. Tuy nhiên, các công ty vẫn cần được bảo vệ khỏi những người được ủy thác bất trung, những kẻ sẽ lợi dụng thông tin, mối quan hệ và tài sản của công ty để trục lợi cho bản thân. Học thuyết cơ hội công ty cố gắng cân bằng những lợi ích xung đột giữa người được ủy thác và công ty thông qua việc điều tra dựa trên tình tiết cụ thể về bản chất của cơ hội và các lợi ích liên quan.</w:t>
      </w:r>
    </w:p>
    <w:p>
      <w:pPr>
        <w:spacing w:after="80"/>
      </w:pPr>
      <w:r>
        <w:rPr>
          <w:b w:val="0"/>
          <w:i w:val="0"/>
        </w:rPr>
        <w:t>Vậy thì, học thuyết cơ hội công ty đại diện cho một nỗ lực do tòa án tạo ra nhằm hài hòa những đòi hỏi cạnh tranh đặt lên những người được ủy thác của công ty trong môi trường kinh doanh hiện đại. Học thuyết này tìm cách giảm khả năng xung đột giữa nghĩa vụ của một giám đốc đối với công ty và những lợi ích không liên quan đến vai trò đó.</w:t>
      </w:r>
    </w:p>
    <w:p>
      <w:pPr>
        <w:pStyle w:val="Heading4"/>
      </w:pPr>
      <w:r>
        <w:rPr>
          <w:rFonts w:ascii="Calibri" w:hAnsi="Calibri"/>
          <w:b/>
          <w:i w:val="0"/>
          <w:sz w:val="23"/>
        </w:rPr>
        <w:t>Broz v. Cellular Information Systems Inc.</w:t>
      </w:r>
    </w:p>
    <w:p>
      <w:pPr>
        <w:spacing w:after="80"/>
      </w:pPr>
      <w:r>
        <w:rPr>
          <w:b w:val="0"/>
          <w:i w:val="0"/>
        </w:rPr>
        <w:t>Tòa án Tối cao Delaware</w:t>
      </w:r>
      <w:r>
        <w:br/>
      </w:r>
      <w:r>
        <w:rPr>
          <w:b w:val="0"/>
          <w:i w:val="0"/>
        </w:rPr>
        <w:t xml:space="preserve"> 673 A.2d 148 (1996)</w:t>
      </w:r>
    </w:p>
    <w:p>
      <w:pPr>
        <w:spacing w:after="80"/>
      </w:pPr>
      <w:r>
        <w:rPr>
          <w:b w:val="0"/>
          <w:i w:val="0"/>
        </w:rPr>
        <w:t>VEASEY, CHÁNH ÁN:</w:t>
      </w:r>
    </w:p>
    <w:p>
      <w:pPr>
        <w:spacing w:after="80"/>
      </w:pPr>
      <w:r>
        <w:rPr>
          <w:b w:val="0"/>
          <w:i w:val="0"/>
        </w:rPr>
        <w:t>Trong kháng cáo này, chúng tôi xem xét việc áp dụng học thuyết cơ hội công ty. Tòa án Chancery đã quyết định rằng bị đơn, một giám đốc công ty, đã vi phạm nghĩa vụ ủy thác của mình bằng cách không chính thức trình bày cho công ty một cơ hội đã đến với giám đốc đó một cách cá nhân và độc lập với mối quan hệ của giám đốc với công ty. Ở đây, cơ hội không phải là cơ hội mà công ty trong phương thức hoạt động hiện tại của mình có lợi ích hoặc có khả năng tài chính để nắm bắt, nhưng trong những hoàn cảnh đặc thù ở đây, phương thức đó có thể thay đổi do việc một thực thể khác sắp thâu tóm công ty.</w:t>
      </w:r>
    </w:p>
    <w:p>
      <w:pPr>
        <w:spacing w:after="80"/>
      </w:pPr>
      <w:r>
        <w:rPr>
          <w:b w:val="0"/>
          <w:i w:val="0"/>
        </w:rPr>
        <w:t>Chúng tôi kết luận rằng, mặc dù một giám đốc công ty có thể được bảo vệ khỏi trách nhiệm bằng cách đề nghị cho công ty một cơ hội đã đến với giám đốc đó một cách độc lập và cá nhân, việc giám đốc không trình bày cơ hội đó không nhất thiết dẫn đến việc chiếm đoạt cơ hội công ty một cách không đúng đắn. Chúng tôi kết luận thêm rằng, nếu công ty là mục tiêu hoặc mục tiêu tiềm năng của việc bị một công ty khác thâu tóm, mà công ty khác đó có lợi ích và khả năng theo đuổi cơ hội, thì giám đốc của công ty mục tiêu không có nghĩa vụ ủy thác phải trình bày cơ hội đó cho công ty mục tiêu. Theo đó, phán quyết của Tòa án Chancery bị ĐẢO NGƯỢC.</w:t>
      </w:r>
    </w:p>
    <w:p>
      <w:pPr>
        <w:spacing w:after="80"/>
      </w:pPr>
      <w:r>
        <w:rPr>
          <w:b w:val="0"/>
          <w:i w:val="0"/>
        </w:rPr>
        <w:t>Những Lập luận của Các Bên và Phán quyết Cấp dưới</w:t>
      </w:r>
    </w:p>
    <w:p>
      <w:pPr>
        <w:spacing w:after="80"/>
      </w:pPr>
      <w:r>
        <w:rPr>
          <w:b w:val="0"/>
          <w:i w:val="0"/>
        </w:rPr>
        <w:t>Robert F. Broz (“Broz”) là Chủ tịch và cổ đông duy nhất của RFB Cellular, Inc. (“RFBC”), một công ty Delaware hoạt động trong lĩnh vực cung cấp dịch vụ điện thoại di động ở vùng Trung Tây Hoa Kỳ. Vào thời điểm diễn ra hành vi được xem xét trong kháng cáo này, Broz cũng là thành viên hội đồng quản trị của nguyên đơn cấp dưới - bị đơn phúc thẩm, Cellular Information Systems, Inc. (“CIS”). CIS là một công ty Delaware đại chúng và là đối thủ cạnh tranh của RFBC.</w:t>
      </w:r>
    </w:p>
    <w:p>
      <w:pPr>
        <w:spacing w:after="80"/>
      </w:pPr>
      <w:r>
        <w:rPr>
          <w:b w:val="0"/>
          <w:i w:val="0"/>
        </w:rPr>
        <w:t>Hành vi được Tòa án xem xét liên quan đến việc Broz mua giấy phép dịch vụ điện thoại di động vì lợi ích của RFBC. Giấy phép đang được bàn đến, được gọi là Giấy phép Điện thoại Di động Khu vực Nông thôn Michigan-2 (“Michigan-2”), do Ủy ban Truyền thông Liên bang cấp và cho phép người nắm giữ nó cung cấp dịch vụ điện thoại di động cho một phần phía bắc Michigan. CIS đã khởi kiện Broz và RFBC để yêu cầu biện pháp công bằng, cho rằng việc Broz mua giấy phép này cấu thành hành vi chiếm đoạt một cơ hội công ty vốn thuộc về CIS, bất kể CIS có quan tâm đến cơ hội Michigan-2 vào thời điểm nó được đề nghị cho Broz hay không.</w:t>
      </w:r>
    </w:p>
    <w:p>
      <w:pPr>
        <w:spacing w:after="80"/>
      </w:pPr>
      <w:r>
        <w:rPr>
          <w:b w:val="0"/>
          <w:i w:val="0"/>
        </w:rPr>
        <w:t>Cơ sở chính cho lập luận của CIS là PriCellular, Inc., một công ty truyền thông di động khác đang đồng thời tiến hành việc thâu tóm CIS, có quan tâm đến cơ hội Michigan-2. CIS lập luận rằng, khi xác định liệu cơ hội Michigan-2 có thuộc về CIS một cách chính đáng hay không, Broz buộc phải xem xét lợi ích của PriCellular trong chừng mực những lợi ích đó sẽ trở nên thống nhất với lợi ích của CIS do kết quả của các kế hoạch thâu tóm của PriCellular.</w:t>
      </w:r>
    </w:p>
    <w:p>
      <w:pPr>
        <w:spacing w:after="80"/>
      </w:pPr>
      <w:r>
        <w:rPr>
          <w:b w:val="0"/>
          <w:i w:val="0"/>
        </w:rPr>
        <w:t>Sau phiên xét xử, Tòa án Chancery đồng ý với các lập luận của CIS và ra phán quyết chống lại Broz và RFBC. Tòa án đã phán quyết rằng: (1) bất kể việc cơ hội Michigan-2 đến với Broz theo cách hoàn toàn độc lập với tư cách giám đốc CIS của ông, giấy phép Michigan-2 là một cơ hội thuộc về CIS một cách chính đáng; (2) do sự thống nhất lợi ích giữa CIS và PriCellular phát sinh từ những nỗ lực của PriCellular nhằm thâu tóm CIS, Broz đã vi phạm nghĩa vụ ủy thác của mình bằng cách không xem xét liệu cơ hội đó có phải là cơ hội mà PriCellular quan tâm hay không; (3) mặc dù CIS đã biết về cơ hội này và không bày tỏ quan tâm đến việc theo đuổi nó, Broz buộc phải chính thức trình bày giao dịch cho hội đồng quản trị CIS trước khi nắm bắt cơ hội cho riêng mình; và (4) nếu không có sự trình bày chính thức cho hội đồng quản trị, việc Broz mua Michigan-2 cấu thành hành vi chiếm đoạt cơ hội công ty không được phép. Từ phán quyết này, Broz và RFBC kháng cáo.</w:t>
      </w:r>
    </w:p>
    <w:p>
      <w:pPr>
        <w:spacing w:after="80"/>
      </w:pPr>
      <w:r>
        <w:rPr>
          <w:b w:val="0"/>
          <w:i w:val="0"/>
        </w:rPr>
        <w:t xml:space="preserve">Broz lập luận rằng Tòa án Chancery đã sai lầm khi phán quyết rằng ông đã vi phạm nghĩa vụ ủy thác của mình đối với CIS và các cổ đông của nó. Cụ thể, Broz khẳng định rằng ông không có nghĩa vụ phải chính thức trình bày cơ hội công ty cho Hội đồng Quản trị CIS. Broz còn lập luận rằng PriCellular chưa hoàn tất việc thâu tóm CIS vào thời điểm ông quyết định mua Michigan-2, và do đó, ông không có nghĩa vụ phải xem xét lợi ích của PriCellular. Chúng tôi đồng ý với Broz và phán quyết rằng: (1) việc xác định liệu một người được ủy thác của công ty có chiếm đoạt một cơ hội công ty hay không mang tính đặc thù tình tiết cao và phụ thuộc vào, </w:t>
      </w:r>
      <w:r>
        <w:rPr>
          <w:b w:val="0"/>
          <w:i/>
        </w:rPr>
        <w:t>inter alia</w:t>
      </w:r>
      <w:r>
        <w:rPr>
          <w:b w:val="0"/>
          <w:i w:val="0"/>
        </w:rPr>
        <w:t xml:space="preserve">, khả năng của công ty trong việc tận dụng cơ hội và ý định làm như vậy của công ty; (2) mặc dù việc trình bày một cơ hội được cho là của công ty cho hội đồng quản trị và việc hội đồng quản trị từ chối nó có thể đóng vai trò như một lá chắn bảo vệ khỏi trách nhiệm, không có quy tắc </w:t>
      </w:r>
      <w:r>
        <w:rPr>
          <w:b w:val="0"/>
          <w:i/>
        </w:rPr>
        <w:t>per se</w:t>
      </w:r>
      <w:r>
        <w:rPr>
          <w:b w:val="0"/>
          <w:i w:val="0"/>
        </w:rPr>
        <w:t xml:space="preserve"> nào yêu cầu phải trình bày cho hội đồng quản trị trước khi chấp nhận cơ hội; và (3) dựa trên các tình tiết này, Broz không buộc phải xem xét lợi ích của PriCellular khi đưa ra quyết định mua hay không mua Michigan-2.</w:t>
      </w:r>
    </w:p>
    <w:p>
      <w:pPr>
        <w:spacing w:after="80"/>
      </w:pPr>
      <w:r>
        <w:rPr>
          <w:b w:val="0"/>
          <w:i w:val="0"/>
        </w:rPr>
        <w:t>Các Tình tiết</w:t>
      </w:r>
    </w:p>
    <w:p>
      <w:pPr>
        <w:spacing w:after="80"/>
      </w:pPr>
      <w:r>
        <w:rPr>
          <w:b w:val="0"/>
          <w:i w:val="0"/>
        </w:rPr>
        <w:t>Broz đã là Chủ tịch và cổ đông duy nhất của RFBC từ năm 1992. RFBC sở hữu và vận hành một khu vực giấy phép FCC, được gọi là Giấy phép Điện thoại Di động Khu vực Nông thôn Michigan-4. Giấy phép này cho phép RFBC cung cấp dịch vụ điện thoại di động cho một phần vùng nông thôn Michigan. Mặc dù những nỗ lực của Broz chủ yếu dành cho hoạt động kinh doanh của RFBC, ông cũng từng là giám đốc bên ngoài của CIS vào thời điểm diễn ra các sự kiện được xem xét trong vụ án này. CIS luôn hoàn toàn biết rõ về mối quan hệ của Broz với RFBC và những nghĩa vụ mà ông phải gánh vác do mối quan hệ đó.</w:t>
      </w:r>
    </w:p>
    <w:p>
      <w:pPr>
        <w:spacing w:after="80"/>
      </w:pPr>
      <w:r>
        <w:rPr>
          <w:b w:val="0"/>
          <w:i w:val="0"/>
        </w:rPr>
        <w:t>Vào tháng 4 năm 1994, Mackinac Cellular Corp. tìm cách thoái vốn khỏi Michigan-2, khu vực giấy phép liền kề ngay với Michigan-4. Để đạt mục đích này, Mackinac đã liên hệ với Daniels &amp; Associates và sắp xếp để công ty môi giới này tìm kiếm những người mua tiềm năng cho Michigan-2. Khi lập danh sách các ứng viên triển vọng, Daniels đã đưa RFBC vào như một ứng viên khả dĩ. Vào tháng 5 năm 1994, David Rhodes, một đại diện của Daniels, đã liên hệ với Broz và đề cập đến chủ đề RFBC có thể mua Michigan-2. Broz sau đó đã ký một thỏa thuận bảo mật theo yêu cầu của Mackinac, và nhận được các tài liệu chào bán liên quan đến Michigan-2.</w:t>
      </w:r>
    </w:p>
    <w:p>
      <w:pPr>
        <w:spacing w:after="80"/>
      </w:pPr>
      <w:r>
        <w:rPr>
          <w:b w:val="0"/>
          <w:i w:val="0"/>
        </w:rPr>
        <w:t>Tuy nhiên, Michigan-2 đã không được chào bán cho CIS. Có vẻ như Daniels không coi CIS là một người mua khả thi cho Michigan-2 xét đến những khó khăn tài chính gần đây của CIS. Hồ sơ cho thấy rằng, vào thời điểm Michigan-2 được chào bán cho Broz, CIS vừa mới thoát ra khỏi thủ tục phá sản Chapter 11 kéo dài và đầy tranh chấp. Theo Kế hoạch Tái tổ chức Chapter 11, CIS đã ký một thỏa thuận cho vay làm suy giảm đáng kể khả năng của công ty trong việc thực hiện các thương vụ mua lại mới hoặc phát sinh nợ mới. Trên thực tế, CIS sẽ không thể mua Michigan-2 nếu không có sự chấp thuận của các chủ nợ.</w:t>
      </w:r>
    </w:p>
    <w:p>
      <w:pPr>
        <w:spacing w:after="80"/>
      </w:pPr>
      <w:r>
        <w:rPr>
          <w:b w:val="0"/>
          <w:i w:val="0"/>
        </w:rPr>
        <w:t>Việc tái tổ chức CIS bắt nguồn từ sự thất bại của những kế hoạch mở rộng khá tham vọng của CIS. Tuy nhiên, vào năm 1992, nguồn tài chính của CIS thất bại, buộc phải thanh lý các tài sản nắm giữ của công ty và giảm tổng nợ của công ty. Trong khoảng thời gian từ đầu năm 1992 cho đến khi CIS thoát khỏi phá sản vào năm 1994, CIS đã thoái vốn khỏi khoảng mười lăm hệ thống giấy phép di động riêng biệt.</w:t>
      </w:r>
    </w:p>
    <w:p>
      <w:pPr>
        <w:spacing w:after="80"/>
      </w:pPr>
      <w:r>
        <w:rPr>
          <w:b w:val="0"/>
          <w:i w:val="0"/>
        </w:rPr>
        <w:t>Vào ngày 13 tháng 6 năm 1994, sau một cuộc họp của hội đồng quản trị CIS, Broz đã trao đổi với Giám đốc điều hành của CIS, Richard Treibick, về mối quan tâm của ông trong việc mua lại Michigan-2. Treibick thông báo cho Broz rằng CIS không quan tâm đến Michigan-2. Treibick còn nói thêm rằng ông đã được biết về cơ hội Michigan-2 trước cuộc trao đổi với Broz, và rằng bất kỳ đề nghị nào để mua lại Michigan-2 đều đã bị từ chối. Sau khi đề nghị chào mua của PriCellular bắt đầu, vào tháng 8 năm 1994, Broz đã liên hệ với một giám đốc khác của CIS, Peter Schiff, để thảo luận về khả năng RFBC mua lại Michigan-2. Schiff, giống như Treibick, cho biết CIS không có cả phương tiện lẫn ý muốn mua Michigan-2. Vào cuối tháng 9 năm 1994, Broz cũng liên hệ với Stanley Bloch, một giám đốc và là cố vấn pháp lý cho CIS, để yêu cầu Bloch đại diện cho RFBC trong các giao dịch với Mackinac. Bloch đồng ý đại diện cho RFBC, và, giống như Schiff và Treibick, bày tỏ niềm tin rằng CIS hoàn toàn không quan tâm đến thương vụ này. Cuối cùng, tất cả các giám đốc của CIS đều làm chứng tại phiên tòa rằng, nếu Broz có hỏi vào thời điểm đó, mỗi người trong số họ đều sẽ bày tỏ ý kiến rằng CIS không quan tâm đến Michigan-2.</w:t>
      </w:r>
    </w:p>
    <w:p>
      <w:pPr>
        <w:spacing w:after="80"/>
      </w:pPr>
      <w:r>
        <w:rPr>
          <w:b w:val="0"/>
          <w:i w:val="0"/>
        </w:rPr>
        <w:t xml:space="preserve">Vào ngày 28 tháng 6 năm 1994, sau nhiều lời đề nghị từ PriCellular liên quan đến việc mua lại CIS, sáu giám đốc của CIS đã ký thỏa thuận với PriCellular để bán cổ phần của họ trong CIS với giá $2.00 mỗi cổ phần. Những thỏa thuận này phụ thuộc vào, </w:t>
      </w:r>
      <w:r>
        <w:rPr>
          <w:b w:val="0"/>
          <w:i/>
        </w:rPr>
        <w:t>inter alia</w:t>
      </w:r>
      <w:r>
        <w:rPr>
          <w:b w:val="0"/>
          <w:i w:val="0"/>
        </w:rPr>
        <w:t xml:space="preserve"> , việc hoàn tất đề nghị chào mua của PriCellular đối với tất cả cổ phần CIS ở cùng mức giá. Theo các thỏa thuận của họ với PriCellular, các giám đốc CIS cũng đã ký một thỏa thuận “standstill” (đóng băng) ngăn cản các giám đốc tham gia vào bất kỳ giao dịch nào ngoài hoạt động kinh doanh thông thường của CIS hoặc phát sinh bất kỳ khoản nợ mới nào cho đến khi đề nghị chào mua của PriCellular kết thúc. Vào ngày 2 tháng 8 năm 1994, PriCellular bắt đầu đề nghị chào mua tất cả cổ phần đang lưu hành của CIS với giá $2.00 mỗi cổ phần.</w:t>
      </w:r>
    </w:p>
    <w:p>
      <w:pPr>
        <w:spacing w:after="80"/>
      </w:pPr>
      <w:r>
        <w:rPr>
          <w:b w:val="0"/>
          <w:i w:val="0"/>
        </w:rPr>
        <w:t>Đề nghị chào mua của PriCellular ban đầu được dự kiến kết thúc vào ngày 16 tháng 9 năm 1994. Tuy nhiên, vào thời điểm đề nghị chào mua được khởi động, nguồn tài chính trị giá $106,000,000 cần thiết để hoàn tất thương vụ vẫn còn đang bỏ ngỏ. PriCellular ban đầu dự định cấu trúc thương vụ dựa trên các khoản vay ngân hàng. Khi nguồn tài chính này đổ vỡ, PriCellular phải chuyển sang phát hành trái phiếu rác (junk bond). Những khó khăn về tài chính của PriCellular đã tạo ra rất nhiều lo ngại trong nội bộ CIS về việc liệu đề nghị chào mua có thực sự khả thi hay không. Những khó khăn tài chính cuối cùng đã khiến PriCellular phải trì hoãn ngày kết thúc đề nghị chào mua từ ngày 16 tháng 9 năm 1994 đến ngày 14 tháng 10 năm 1994 và sau đó một lần nữa đến ngày 9 tháng 11 năm 1994.</w:t>
      </w:r>
    </w:p>
    <w:p>
      <w:pPr>
        <w:spacing w:after="80"/>
      </w:pPr>
      <w:r>
        <w:rPr>
          <w:b w:val="0"/>
          <w:i w:val="0"/>
        </w:rPr>
        <w:t>Vào các ngày 6 tháng 8, 6 tháng 9 và 21 tháng 9 năm 1994, Broz đã gửi các đề nghị bằng văn bản cho Mackinac để mua Michigan-2.</w:t>
      </w:r>
    </w:p>
    <w:p>
      <w:pPr>
        <w:spacing w:after="80"/>
      </w:pPr>
      <w:r>
        <w:rPr>
          <w:b w:val="0"/>
          <w:i w:val="0"/>
        </w:rPr>
        <w:t>Vào cuối tháng 9 năm 1994, PriCellular đã đạt được thỏa thuận với Mackinac về một quyền chọn mua Michigan-2. Giá thực hiện của thỏa thuận quyền chọn được ấn định ở mức $6.7 triệu, với quyền chọn còn hiệu lực đến ngày 15 tháng 12 năm 1994. Theo thỏa thuận, quyền thực hiện quyền chọn không được chuyển nhượng cho bất kỳ bên nào khác ngoài một công ty con của PriCellular. Do đó, nó không thể được chuyển nhượng cho CIS. Thỏa thuận còn quy định rằng Mackinac được tự do bán Michigan-2 cho bất kỳ bên nào sẵn sàng vượt giá thực hiện của hợp đồng quyền chọn Mackinac-PriCellular ít nhất $500,000. Vào ngày 14 tháng 11 năm 1994, Broz đồng ý trả cho Mackinac $7.2 triệu cho giấy phép Michigan-2, qua đó đáp ứng các điều khoản của thỏa thuận quyền chọn. Một thỏa thuận mua tài sản sau đó đã được Mackinac và RFBC ký kết.</w:t>
      </w:r>
    </w:p>
    <w:p>
      <w:pPr>
        <w:spacing w:after="80"/>
      </w:pPr>
      <w:r>
        <w:rPr>
          <w:b w:val="0"/>
          <w:i w:val="0"/>
        </w:rPr>
        <w:t>Chín ngày sau, vào ngày 23 tháng 11 năm 1994, PriCellular hoàn tất nguồn tài chính và kết thúc đề nghị chào mua CIS. Trước thời điểm đó, PriCellular không sở hữu bất kỳ lợi ích cổ phần nào trong CIS. Sau khi đề nghị chào mua CIS của PriCellular được hoàn tất, các thành viên hội đồng quản trị CIS, bao gồm Broz, đã bị miễn nhiệm và thay thế bằng một danh sách các ứng viên do PriCellular đề cử. Vào ngày 2 tháng 3 năm 1995, vụ kiện này được CIS khởi xướng tại Tòa án Chancery.</w:t>
      </w:r>
    </w:p>
    <w:p>
      <w:pPr>
        <w:spacing w:after="80"/>
      </w:pPr>
      <w:r>
        <w:rPr>
          <w:b w:val="0"/>
          <w:i w:val="0"/>
        </w:rPr>
        <w:t>Tại phiên tòa ở Tòa án Chancery, CIS lập luận rằng việc Broz mua Michigan-2 cấu thành hành vi chiếm đoạt không được phép một cơ hội của công ty vốn thuộc về CIS một cách chính đáng. Do đó, CIS khẳng định rằng Broz đã vi phạm nghĩa vụ tín thác (fiduciary duty) của mình đối với CIS và các cổ đông của nó. CIS thừa nhận rằng, vào thời điểm cơ hội được chào bán cho Broz, hội đồng quản trị CIS sẽ không quan tâm đến Michigan-2, nhưng CIS khẳng định rằng Broz vẫn chiếm đoạt cơ hội đó. CIS cho rằng Broz được yêu cầu phải xem xét không chỉ CIS, mà còn cả các kế hoạch kinh doanh đã được nêu rõ của PriCellular, để xác định liệu PriCellular có quan tâm đến việc mua lại Michigan-2 hay không. Vì Broz đã không làm điều này và mua Michigan-2 mà không xem xét trước lợi ích của PriCellular với tư cách là một bên mua tiềm năng của CIS, CIS cho rằng Broz phải chịu trách nhiệm về việc vi phạm nghĩa vụ tín thác.</w:t>
      </w:r>
    </w:p>
    <w:p>
      <w:pPr>
        <w:spacing w:after="80"/>
      </w:pPr>
      <w:r>
        <w:rPr>
          <w:b w:val="0"/>
          <w:i w:val="0"/>
        </w:rPr>
        <w:t>Áp dụng Học thuyết Cơ hội Công ty</w:t>
      </w:r>
    </w:p>
    <w:p>
      <w:pPr>
        <w:spacing w:after="80"/>
      </w:pPr>
      <w:r>
        <w:rPr>
          <w:b w:val="0"/>
          <w:i w:val="0"/>
        </w:rPr>
        <w:t xml:space="preserve">Học thuyết cơ hội công ty chỉ đại diện cho một loại trong số các nghĩa vụ tín thác rộng lớn mà một giám đốc hoặc viên chức công ty phải gánh vác. Một người được tín thác của công ty đồng ý đặt lợi ích của công ty lên trước lợi ích của chính mình trong những hoàn cảnh thích hợp. Tuy nhiên, xét đến những nghĩa vụ đa dạng và thường xung đột mà các giám đốc và viên chức phải đối mặt, học thuyết cơ hội công ty ra đời như một phương tiện để xác định các thông số của nghĩa vụ tín thác trong những trường hợp có khả năng xung đột. Phát biểu kinh điển của học thuyết này bắt nguồn từ vụ án lâu đời </w:t>
      </w:r>
      <w:r>
        <w:rPr>
          <w:b w:val="0"/>
          <w:i/>
        </w:rPr>
        <w:t>Guth v. Loft, Inc.</w:t>
      </w:r>
      <w:r>
        <w:rPr>
          <w:b w:val="0"/>
          <w:i w:val="0"/>
        </w:rPr>
        <w:t xml:space="preserve"> Trong </w:t>
      </w:r>
      <w:r>
        <w:rPr>
          <w:b w:val="0"/>
          <w:i/>
        </w:rPr>
        <w:t>Guth</w:t>
      </w:r>
      <w:r>
        <w:rPr>
          <w:b w:val="0"/>
          <w:i w:val="0"/>
        </w:rPr>
        <w:t xml:space="preserve"> , Tòa án này đã phán quyết rằng:</w:t>
      </w:r>
    </w:p>
    <w:p>
      <w:pPr>
        <w:spacing w:after="80"/>
      </w:pPr>
      <w:r>
        <w:rPr>
          <w:b w:val="0"/>
          <w:i w:val="0"/>
        </w:rPr>
        <w:t>. . . nếu một viên chức hoặc giám đốc công ty được trao cho một cơ hội kinh doanh mà công ty có khả năng tài chính để thực hiện, xét về bản chất, nằm trong lĩnh vực kinh doanh của công ty và mang lại lợi ích thiết thực cho công ty, là cơ hội mà công ty có lợi ích hoặc kỳ vọng hợp lý, và, bằng việc nắm bắt cơ hội đó, lợi ích cá nhân của viên chức hoặc giám đốc sẽ xung đột với lợi ích của công ty, thì pháp luật sẽ không cho phép người đó chiếm đoạt cơ hội cho riêng mình.</w:t>
      </w:r>
    </w:p>
    <w:p>
      <w:pPr>
        <w:spacing w:after="80"/>
      </w:pPr>
      <w:r>
        <w:rPr>
          <w:b w:val="0"/>
          <w:i w:val="0"/>
        </w:rPr>
        <w:t xml:space="preserve">Học thuyết cơ hội công ty, như được </w:t>
      </w:r>
      <w:r>
        <w:rPr>
          <w:b w:val="0"/>
          <w:i/>
        </w:rPr>
        <w:t>Guth</w:t>
      </w:r>
      <w:r>
        <w:rPr>
          <w:b w:val="0"/>
          <w:i w:val="0"/>
        </w:rPr>
        <w:t xml:space="preserve"> và các án lệ tiếp theo phác họa, cho rằng một viên chức hoặc giám đốc công ty không được nắm bắt một cơ hội kinh doanh cho riêng mình nếu: (1) công ty có khả năng tài chính để khai thác cơ hội đó; (2) cơ hội đó nằm trong lĩnh vực kinh doanh của công ty; (3) công ty có lợi ích hoặc kỳ vọng đối với cơ hội đó; và (4) bằng việc nắm bắt cơ hội cho riêng mình, người được tín thác của công ty sẽ do đó bị đặt vào vị trí đối nghịch với nghĩa vụ của mình đối với công ty. Tòa án trong </w:t>
      </w:r>
      <w:r>
        <w:rPr>
          <w:b w:val="0"/>
          <w:i/>
        </w:rPr>
        <w:t>Guth</w:t>
      </w:r>
      <w:r>
        <w:rPr>
          <w:b w:val="0"/>
          <w:i w:val="0"/>
        </w:rPr>
        <w:t xml:space="preserve"> cũng rút ra một hệ quả kéo theo rằng một giám đốc hoặc viên chức </w:t>
      </w:r>
      <w:r>
        <w:rPr>
          <w:b w:val="0"/>
          <w:i/>
        </w:rPr>
        <w:t>có thể</w:t>
      </w:r>
      <w:r>
        <w:rPr>
          <w:b w:val="0"/>
          <w:i w:val="0"/>
        </w:rPr>
        <w:t xml:space="preserve"> nắm bắt một cơ hội công ty nếu: (1) cơ hội được trao cho giám đốc hoặc viên chức với tư cách cá nhân chứ không phải với tư cách công ty; (2) cơ hội không thiết yếu đối với công ty; (3) công ty không nắm giữ lợi ích hoặc kỳ vọng nào đối với cơ hội đó; và (4) giám đốc hoặc viên chức đã không sử dụng một cách sai trái các nguồn lực của công ty để theo đuổi hoặc khai thác cơ hội đó.</w:t>
      </w:r>
    </w:p>
    <w:p>
      <w:pPr>
        <w:spacing w:after="80"/>
      </w:pPr>
      <w:r>
        <w:rPr>
          <w:b w:val="0"/>
          <w:i w:val="0"/>
        </w:rPr>
        <w:t xml:space="preserve">Như vậy, các đường nét của học thuyết này đã được thiết lập vững chắc. Tuy nhiên, điều quan trọng cần lưu ý là các tiêu chí được nêu trong </w:t>
      </w:r>
      <w:r>
        <w:rPr>
          <w:b w:val="0"/>
          <w:i/>
        </w:rPr>
        <w:t>Guth</w:t>
      </w:r>
      <w:r>
        <w:rPr>
          <w:b w:val="0"/>
          <w:i w:val="0"/>
        </w:rPr>
        <w:t xml:space="preserve"> và các vụ án tiếp theo chỉ cung cấp các hướng dẫn để một tòa án xem xét cân bằng các yếu tố công bằng của từng vụ việc cụ thể. Không có yếu tố nào là quyết định và tất cả các yếu tố phải được xem xét trong chừng mực chúng có thể áp dụng. Các vụ án liên quan đến khiếu nại về việc chiếm đoạt cơ hội công ty trải rộng trên vô số tình huống thực tế. Các quy tắc cứng nhắc và nhanh chóng không dễ được tạo ra để đối phó với một loạt các tình huống phức tạp như vậy. Như Tòa án này đã lưu ý trong </w:t>
      </w:r>
      <w:r>
        <w:rPr>
          <w:b w:val="0"/>
          <w:i/>
        </w:rPr>
        <w:t>Johnston v. Greene</w:t>
      </w:r>
      <w:r>
        <w:rPr>
          <w:b w:val="0"/>
          <w:i w:val="0"/>
        </w:rPr>
        <w:t xml:space="preserve"> , 121 A.2d 919 (Del. 1956), việc xác định “[l]iệu một giám đốc có chiếm đoạt cho riêng mình thứ mà một cách công bằng nên thuộc về công ty hay không là ‘một câu hỏi thực tế cần được quyết định bằng suy luận hợp lý từ các sự kiện khách quan.” Trong vụ việc hiện tại, chúng tôi thấy rằng các sự kiện không ủng hộ kết luận rằng Broz đã chiếm đoạt sai trái một cơ hội công ty.</w:t>
      </w:r>
    </w:p>
    <w:p>
      <w:pPr>
        <w:spacing w:after="80"/>
      </w:pPr>
      <w:r>
        <w:rPr>
          <w:b w:val="0"/>
          <w:i w:val="0"/>
        </w:rPr>
        <w:t>Chúng tôi lưu ý ngay từ đầu rằng Broz đã biết về cơ hội Michigan-2 với tư cách cá nhân chứ không phải với tư cách công ty. Như Tòa án Chancery đã phát hiện, “Broz đã không lạm dụng thông tin độc quyền đến với ông với tư cách công ty cũng như không sử dụng bất kỳ quyền lực nào ông có thể có đối với việc quản trị công ty để thúc đẩy lợi ích của riêng mình.” Sự kiện này không phải là đối tượng của tranh chấp nghiêm trọng. Trên thực tế, rõ ràng từ hồ sơ rằng Mackinac đã không coi CIS là một ứng viên khả thi cho việc mua lại Michigan-2. Theo đó, Mackinac đã không chào bán tài sản này cho CIS. Trong tình huống thực tế này, nhiều mối quan ngại cơ bản làm nền tảng cho luật về cơ hội công ty không hiện diện (</w:t>
      </w:r>
      <w:r>
        <w:rPr>
          <w:b w:val="0"/>
          <w:i/>
        </w:rPr>
        <w:t>ví dụ</w:t>
      </w:r>
      <w:r>
        <w:rPr>
          <w:b w:val="0"/>
          <w:i w:val="0"/>
        </w:rPr>
        <w:t xml:space="preserve"> , việc chiếm đoạt sai trái thông tin độc quyền của công ty). Gánh nặng đặt lên Broz để chứng minh việc tuân thủ nghĩa vụ tín thác của mình đối với CIS do đó được giảm bớt ở một mức độ nào đó.</w:t>
      </w:r>
    </w:p>
    <w:p>
      <w:pPr>
        <w:spacing w:after="80"/>
      </w:pPr>
      <w:r>
        <w:rPr>
          <w:b w:val="0"/>
          <w:i w:val="0"/>
        </w:rPr>
        <w:t>Bây giờ chúng ta chuyển sang phân tích các yếu tố mà tòa án sơ thẩm đã dựa vào. Đầu tiên, chúng tôi thấy rằng CIS không có khả năng tài chính để khai thác cơ hội Michigan-2. Mặc dù Tòa án Chancery đã kết luận ngược lại, chúng tôi cho rằng phát hiện này không được chứng cứ ủng hộ. Hồ sơ cho thấy rằng CIS đang ở trong tình trạng tài chính bấp bênh vào thời điểm Mackinac trình bày cơ hội Michigan-2 cho Broz. Vừa mới thoát ra khỏi thủ tục phá sản kéo dài và đầy tranh chấp, CIS không ở trong vị thế có thể cam kết vốn cho việc mua lại các tài sản mới. Hơn nữa, thỏa thuận cho vay mà CIS và các chủ nợ của nó đã ký kết đã giới hạn nghiêm trọng quyền quyết định của CIS đối với việc mua lại các tài sản mới và hạn chế đáng kể khả năng của CIS trong việc phát sinh nợ mới.</w:t>
      </w:r>
    </w:p>
    <w:p>
      <w:pPr>
        <w:spacing w:after="80"/>
      </w:pPr>
      <w:r>
        <w:rPr>
          <w:b w:val="0"/>
          <w:i w:val="0"/>
        </w:rPr>
        <w:t>Tòa án Chancery đã đưa ra phán quyết trái ngược dựa trên thực tế rằng PriCellular đã mua một quyền chọn để mua lại khoản nợ ngân hàng của CIS. Do đó, tòa án lập luận rằng PriCellular đang ở vị thế có thể thực hiện quyền chọn đó và sau đó từ bỏ bất kỳ hạn chế bất lợi nào cản trở việc CIS mua lại Michigan-2. Tuy nhiên, tòa án sơ thẩm đã bỏ qua thực tế rằng tình hình tài chính của chính PriCellular không đặc biệt ổn định. PriCellular không thể tài trợ cho các thương vụ mua lại CIS thông qua các khoản vay ngân hàng thông thường và buộc phải sử dụng cơ chế rủi ro hơn là phát hành trái phiếu rác để huy động số vốn cần thiết. [V]iệc PriCellular có sẵn các nguồn lực tài chính là không quan trọng đối với phân tích. Vào thời điểm Broz được yêu cầu quyết định có chấp nhận cơ hội Michigan-2 hay không, PriCellular vẫn chưa mua lại CIS, và bất kỳ kế hoạch nào để làm điều đó đều hoàn toàn mang tính suy đoán. Do đó, trái với phán quyết của Tòa án Chancery, Broz không có nghĩa vụ phải xem xét tình huống dự phòng về việc PriCellular mua lại CIS và tình huống dự phòng liên quan là PriCellular sau đó từ bỏ các hạn chế đối với khoản nợ ngân hàng của CIS. Broz được yêu cầu chỉ xem xét các sự kiện như chúng tồn tại vào thời điểm ông quyết định chấp nhận lời đề nghị Mackinac và bắt đầu nỗ lực đưa thương vụ đến thành công.</w:t>
      </w:r>
    </w:p>
    <w:p>
      <w:pPr>
        <w:spacing w:after="80"/>
      </w:pPr>
      <w:r>
        <w:rPr>
          <w:b w:val="0"/>
          <w:i w:val="0"/>
        </w:rPr>
        <w:t xml:space="preserve">Thứ hai, mặc dù có thể nói với một mức độ chắc chắn nào đó rằng cơ hội Michigan-2 nằm trong lĩnh vực kinh doanh của CIS, nhưng không rõ ràng tương tự rằng CIS có lợi ích có thể nhận biết được hoặc kỳ vọng vào giấy phép này. Theo yếu tố thứ ba được Tòa án này đưa ra trong </w:t>
      </w:r>
      <w:r>
        <w:rPr>
          <w:b w:val="0"/>
          <w:i/>
        </w:rPr>
        <w:t>Guth</w:t>
      </w:r>
      <w:r>
        <w:rPr>
          <w:b w:val="0"/>
          <w:i w:val="0"/>
        </w:rPr>
        <w:t xml:space="preserve">, để một cơ hội được coi là thuộc về công ty của người được ủy thác, công ty phải có lợi ích hoặc kỳ vọng vào cơ hội đó. Như Tòa án này đã tuyên bố trong </w:t>
      </w:r>
      <w:r>
        <w:rPr>
          <w:b w:val="0"/>
          <w:i/>
        </w:rPr>
        <w:t>[Johnston v. Greene,]</w:t>
      </w:r>
      <w:r>
        <w:rPr>
          <w:b w:val="0"/>
          <w:i w:val="0"/>
        </w:rPr>
        <w:t xml:space="preserve"> "[đ]ể công ty có lợi ích thực tế hoặc kỳ vọng đối với bất kỳ tài sản cụ thể nào, phải có một mối liên hệ nào đó giữa tài sản đó và bản chất hoạt động kinh doanh của công ty." Mặc dù thực tế là bản chất của cơ hội Michigan-2 trong lịch sử gần với hoạt động cốt lõi của CIS, nhưng những thay đổi đang diễn ra. Vào thời điểm cơ hội được trình bày, CIS đang tích cực tham gia vào quá trình thoái vốn khỏi các cổ phần giấy phép di động của mình. Kế hoạch kinh doanh được CIS nêu rõ không bao gồm bất kỳ thương vụ mua lại mới nào. Hơn nữa, như được chỉ ra bởi lời khai của toàn bộ hội đồng quản trị CIS, giấy phép Michigan-2 sẽ không được CIS quan tâm ngay cả khi không có khó khăn tài chính của CIS và mong muốn hiện tại của CIS là thanh lý các cổ phần giấy phép di động của mình. Do đó, CIS có lợi ích hoặc kỳ vọng vào cơ hội Michigan-2.</w:t>
      </w:r>
    </w:p>
    <w:p>
      <w:pPr>
        <w:spacing w:after="80"/>
      </w:pPr>
      <w:r>
        <w:rPr>
          <w:b w:val="0"/>
          <w:i w:val="0"/>
        </w:rPr>
        <w:t>Cuối cùng, học thuyết cơ hội công ty chỉ được áp dụng trong các trường hợp mà việc người được ủy thác nắm bắt một cơ hội dẫn đến xung đột giữa nghĩa vụ của người được ủy thác đối với công ty và lợi ích cá nhân của giám đốc được hiện thực hóa bằng việc khai thác cơ hội đó. Trong trường hợp này, lợi ích của Broz trong việc mua lại và thu lợi từ Michigan-2 không tạo ra nghĩa vụ nào đi ngược lại với nghĩa vụ của ông đối với CIS. Broz, trong mọi thời điểm liên quan đến kháng cáo này, là bên có quyền lợi duy nhất trong RFBC, một đối thủ cạnh tranh của CIS. CIS hoàn toàn nhận thức được các nghĩa vụ có khả năng xung đột của Broz. Tuy nhiên, Broz đã hành xử theo cách hoàn toàn phù hợp với nghĩa vụ của mình đối với CIS. Broz đã cẩn thận không chiếm đoạt bất kỳ cơ hội nào mà CIS sẵn sàng và có khả năng theo đuổi. Broz chỉ tìm cách cạnh tranh với một thực thể bên ngoài, PriCellular, để giành lấy một cơ hội mà cả hai đều muốn sở hữu. Broz không có nghĩa vụ phải kiềm chế cạnh tranh với PriCellular. Do đó, toàn bộ các tình huống cho thấy rằng Broz đã không chiếm đoạt một cơ hội vốn thuộc về CIS một cách chính đáng.</w:t>
      </w:r>
    </w:p>
    <w:p>
      <w:pPr>
        <w:spacing w:after="80"/>
      </w:pPr>
      <w:r>
        <w:rPr>
          <w:b w:val="0"/>
          <w:i w:val="0"/>
        </w:rPr>
        <w:t>Trình bày trước Hội đồng quản trị</w:t>
      </w:r>
    </w:p>
    <w:p>
      <w:pPr>
        <w:spacing w:after="80"/>
      </w:pPr>
      <w:r>
        <w:rPr>
          <w:b w:val="0"/>
          <w:i w:val="0"/>
        </w:rPr>
        <w:t xml:space="preserve">Khi kết luận rằng Broz đã chiếm đoạt một cơ hội công ty, Tòa án Chancery đã rất nhấn mạnh vào thực tế rằng Broz đã không chính thức trình bày vấn đề trước hội đồng quản trị CIS. Khi làm như vậy, tòa án sơ thẩm đã ghép một cách sai lầm một yêu cầu mới vào luật về cơ hội công ty, </w:t>
      </w:r>
      <w:r>
        <w:rPr>
          <w:b w:val="0"/>
          <w:i/>
        </w:rPr>
        <w:t>cụ thể là</w:t>
      </w:r>
      <w:r>
        <w:rPr>
          <w:b w:val="0"/>
          <w:i w:val="0"/>
        </w:rPr>
        <w:t>, yêu cầu về việc trình bày chính thức trong các tình huống mà công ty không có lợi ích, kỳ vọng hoặc khả năng tài chính.</w:t>
      </w:r>
    </w:p>
    <w:p>
      <w:pPr>
        <w:spacing w:after="80"/>
      </w:pPr>
      <w:r>
        <w:rPr>
          <w:b w:val="0"/>
          <w:i w:val="0"/>
        </w:rPr>
        <w:t xml:space="preserve">Bài học từ </w:t>
      </w:r>
      <w:r>
        <w:rPr>
          <w:b w:val="0"/>
          <w:i/>
        </w:rPr>
        <w:t>Guth</w:t>
      </w:r>
      <w:r>
        <w:rPr>
          <w:b w:val="0"/>
          <w:i w:val="0"/>
        </w:rPr>
        <w:t xml:space="preserve"> và các án lệ tiếp theo là giám đốc hoặc cán bộ phải phân tích tình huống </w:t>
      </w:r>
      <w:r>
        <w:rPr>
          <w:b w:val="0"/>
          <w:i/>
        </w:rPr>
        <w:t>ex ante</w:t>
      </w:r>
      <w:r>
        <w:rPr>
          <w:b w:val="0"/>
          <w:i w:val="0"/>
        </w:rPr>
        <w:t xml:space="preserve"> để xác định liệu cơ hội đó có phải là một cơ hội thuộc về công ty một cách chính đáng hay không. Nếu giám đốc hoặc cán bộ tin rằng, dựa trên một trong các yếu tố được nêu ở trên, công ty không được hưởng cơ hội đó, thì người đó có thể nắm lấy nó cho chính mình. Luật của Delaware không quy định rằng việc trình bày trước hội đồng quản trị là điều kiện tiên quyết cần thiết để đưa ra kết luận rằng một cơ hội công ty đã không bị chiếm đoạt.</w:t>
      </w:r>
    </w:p>
    <w:p>
      <w:pPr>
        <w:spacing w:after="80"/>
      </w:pPr>
      <w:r>
        <w:rPr>
          <w:b w:val="0"/>
          <w:i w:val="0"/>
        </w:rPr>
        <w:t xml:space="preserve">Nhiều vụ án được phán quyết kể từ </w:t>
      </w:r>
      <w:r>
        <w:rPr>
          <w:b w:val="0"/>
          <w:i/>
        </w:rPr>
        <w:t>Guth</w:t>
      </w:r>
      <w:r>
        <w:rPr>
          <w:b w:val="0"/>
          <w:i w:val="0"/>
        </w:rPr>
        <w:t xml:space="preserve"> hoàn toàn phù hợp với quan điểm này về học thuyết. Ví dụ, trong </w:t>
      </w:r>
      <w:r>
        <w:rPr>
          <w:b w:val="0"/>
          <w:i/>
        </w:rPr>
        <w:t>Field v. Allyn</w:t>
      </w:r>
      <w:r>
        <w:rPr>
          <w:b w:val="0"/>
          <w:i w:val="0"/>
        </w:rPr>
        <w:t xml:space="preserve">, Tòa án Chancery đã phán quyết rằng một giám đốc hoặc cán bộ được tự do nắm lấy một cơ hội kinh doanh cho chính mình một khi công ty đã từ chối nó </w:t>
      </w:r>
      <w:r>
        <w:rPr>
          <w:b w:val="0"/>
          <w:i/>
        </w:rPr>
        <w:t>hoặc</w:t>
      </w:r>
      <w:r>
        <w:rPr>
          <w:b w:val="0"/>
          <w:i w:val="0"/>
        </w:rPr>
        <w:t xml:space="preserve"> nếu có thể chứng minh rằng công ty không ở vị thế có thể nắm lấy cơ hội đó. Tòa án </w:t>
      </w:r>
      <w:r>
        <w:rPr>
          <w:b w:val="0"/>
          <w:i/>
        </w:rPr>
        <w:t>Field</w:t>
      </w:r>
      <w:r>
        <w:rPr>
          <w:b w:val="0"/>
          <w:i w:val="0"/>
        </w:rPr>
        <w:t xml:space="preserve"> đã phán quyết điều này là đúng ngay cả khi người được ủy thác biết được cơ hội đó nhờ vào vị trí của người được ủy thác trong công ty. Đáng chú ý, Tòa án này đã khẳng định phán quyết </w:t>
      </w:r>
      <w:r>
        <w:rPr>
          <w:b w:val="0"/>
          <w:i/>
        </w:rPr>
        <w:t>Field</w:t>
      </w:r>
      <w:r>
        <w:rPr>
          <w:b w:val="0"/>
          <w:i w:val="0"/>
        </w:rPr>
        <w:t xml:space="preserve"> trên cơ sở ý kiến được lập luận chặt chẽ của tòa án cấp dưới.</w:t>
      </w:r>
    </w:p>
    <w:p>
      <w:pPr>
        <w:spacing w:after="80"/>
      </w:pPr>
      <w:r>
        <w:rPr>
          <w:b w:val="0"/>
          <w:i w:val="0"/>
        </w:rPr>
        <w:t>Sự phù hợp lợi ích giữa CIS và PriCellular</w:t>
      </w:r>
    </w:p>
    <w:p>
      <w:pPr>
        <w:spacing w:after="80"/>
      </w:pPr>
      <w:r>
        <w:rPr>
          <w:b w:val="0"/>
          <w:i w:val="0"/>
        </w:rPr>
        <w:t xml:space="preserve">Broz không có nghĩa vụ phải xem xét lợi ích của PriCellular khi ông chọn mua Michigan-2. Như đã nêu trong </w:t>
      </w:r>
      <w:r>
        <w:rPr>
          <w:b w:val="0"/>
          <w:i/>
        </w:rPr>
        <w:t>Guth</w:t>
      </w:r>
      <w:r>
        <w:rPr>
          <w:b w:val="0"/>
          <w:i w:val="0"/>
        </w:rPr>
        <w:t>, quyền của một giám đốc trong việc "chiếm đoạt [một] . . . cơ hội phụ thuộc vào các tình huống tồn tại vào thời điểm nó xuất hiện trước người đó mà không xét đến các sự kiện sau này." Vào thời điểm Broz mua Michigan-2, PriCellular vẫn chưa mua lại CIS. Bất kỳ kế hoạch nào để làm điều đó vẫn sẽ hoàn toàn mang tính suy đoán.</w:t>
      </w:r>
    </w:p>
    <w:p>
      <w:pPr>
        <w:spacing w:after="80"/>
      </w:pPr>
      <w:r>
        <w:rPr>
          <w:b w:val="0"/>
          <w:i w:val="0"/>
        </w:rPr>
        <w:t xml:space="preserve">Việc liệu hội đồng quản trị CIS có, vào một thời điểm nào đó, chọn mua lại Michigan-2 để biến CIS thành một mục tiêu mua lại hấp dẫn hơn cho PriCellular hoặc để tăng cường sức mạnh tổng hợp của bất kỳ doanh nghiệp kết hợp nào, là điều mang tính suy đoán. Tòa án sơ thẩm nhận thấy đây là một kịch bản hợp lý và do đó nhận thấy rằng, theo các yếu tố được nêu trong </w:t>
      </w:r>
      <w:r>
        <w:rPr>
          <w:b w:val="0"/>
          <w:i/>
        </w:rPr>
        <w:t>Guth</w:t>
      </w:r>
      <w:r>
        <w:rPr>
          <w:b w:val="0"/>
          <w:i w:val="0"/>
        </w:rPr>
        <w:t>, CIS có lợi ích hoặc kỳ vọng hợp lệ vào giấy phép này. Phát hiện mang tính suy đoán này đi ngược lại các tuyên bố của Giám đốc điều hành CIS và toàn bộ hội đồng quản trị CIS, đồng thời bỏ qua thực tế rằng CIS vẫn thiếu phương tiện để mua lại Michigan-2, ngay cả khi tính đến khả năng tài trợ của PriCellular.</w:t>
      </w:r>
    </w:p>
    <w:p>
      <w:pPr>
        <w:spacing w:after="80"/>
      </w:pPr>
      <w:r>
        <w:rPr>
          <w:b w:val="0"/>
          <w:i w:val="0"/>
        </w:rPr>
        <w:t>Khi đưa ra kết luận của mình về điểm này, chúng tôi lưu ý rằng tính chắc chắn và khả năng dự đoán là những giá trị cần được thúc đẩy trong luật công ty của chúng ta. Broz, với tư cách là một người tham gia tích cực trong ngành điện thoại di động, được quyền hành động vì lợi ích kinh tế của chính mình khi không có bất kỳ nghĩa vụ đối trọng nào. Quyền của một giám đốc hoặc cán bộ tham gia vào các hoạt động kinh doanh bên ngoài vai trò ủy thác của mình sẽ là hão huyền nếu những cá nhân này được yêu cầu phải xem xét mọi khả năng, sự kiện trong tương lai khi xác định liệu một chiến lược kinh doanh cụ thể có liên quan đến các vấn đề nghĩa vụ ủy thác hay không. Để một giám đốc tham gia một cách có ý nghĩa vào hoạt động kinh doanh không liên quan đến vai trò công ty của mình, giám đốc phải được phép đưa ra quyết định dựa trên tình huống như nó tồn tại vào thời điểm một cơ hội nhất định được trình bày. Nếu không có quy tắc như vậy, người được ủy thác công ty sẽ bị hạn chế phải kiềm chế khai thác bất kỳ cơ hội nào vì sợ trách nhiệm pháp lý dựa trên sự xuất hiện của các sự kiện sau này.</w:t>
      </w:r>
    </w:p>
    <w:p>
      <w:pPr>
        <w:spacing w:after="80"/>
      </w:pPr>
      <w:r>
        <w:rPr>
          <w:b w:val="0"/>
          <w:i w:val="0"/>
        </w:rPr>
        <w:t>Trong trường hợp này, Broz đã tuân thủ các nghĩa vụ của mình đối với CIS.</w:t>
      </w:r>
    </w:p>
    <w:p>
      <w:pPr>
        <w:pStyle w:val="Heading5"/>
      </w:pPr>
      <w:r>
        <w:rPr>
          <w:rFonts w:ascii="Calibri" w:hAnsi="Calibri"/>
          <w:b/>
          <w:i/>
          <w:sz w:val="22"/>
        </w:rPr>
        <w:t>Bình luận và Câu hỏi</w:t>
      </w:r>
    </w:p>
    <w:p>
      <w:pPr>
        <w:spacing w:after="80"/>
      </w:pPr>
      <w:r>
        <w:rPr>
          <w:b w:val="0"/>
          <w:i w:val="0"/>
        </w:rPr>
        <w:t>1. Nếu công ty thiếu khả năng tài chính để khai thác cơ hội đang bàn, liệu người được ủy thác có thể nắm lấy triển vọng đó cho chính mình không? Công ty có phải từ chối cơ hội trước không? Việc chứng minh tình trạng mất khả năng tài chính có loại bỏ một khoản đầu tư tiềm năng khỏi tư cách là "cơ hội công ty" không, hay tình trạng mất khả năng tài chính được coi đúng đắn hơn như một biện pháp bào chữa cho khiếu nại về vi phạm? Tại sao điều đó lại quan trọng? Cụ thể liên quan đến trường hợp này, hãy xem xét các câu hỏi sau:</w:t>
      </w:r>
    </w:p>
    <w:p>
      <w:pPr>
        <w:spacing w:after="80"/>
      </w:pPr>
      <w:r>
        <w:rPr>
          <w:b w:val="0"/>
          <w:i w:val="0"/>
        </w:rPr>
        <w:t>Nếu Broz thực sự nhận được cơ hội mua giấy phép với tư cách cá nhân, tại sao quyết định của tòa án lại khác đi nếu CIS thực sự có khả năng và ý định mua giấy phép? Tòa án, khi cân nhắc nặng nề việc CIS không có khả năng chi trả cho giấy phép, dường như ngụ ý rằng Broz sẽ có nghĩa vụ ủy thác lớn hơn đối với CIS nếu CIS có thể tiến hành việc mua. Kết quả tiềm năng này chắc chắn sẽ là phi logic nếu Broz chỉ nắm giữ lợi ích đa số đơn giản trong RFB, và do đó phải có nghĩa vụ trung thành đối với các cổ đông thiểu số của nó. Trong kịch bản như vậy, có thể đưa ra lý giải gì cho việc cân nhắc nghĩa vụ ủy thác đối với CIS nặng nề hơn?</w:t>
      </w:r>
    </w:p>
    <w:p>
      <w:pPr>
        <w:spacing w:after="80"/>
      </w:pPr>
      <w:r>
        <w:rPr>
          <w:b w:val="0"/>
          <w:i w:val="0"/>
        </w:rPr>
        <w:t xml:space="preserve">Terence Woolf, </w:t>
      </w:r>
      <w:r>
        <w:rPr>
          <w:b w:val="0"/>
          <w:i/>
        </w:rPr>
        <w:t>Vấn đề Cơ hội Công ty của Nhà đầu tư Mạo hiểm</w:t>
      </w:r>
      <w:r>
        <w:rPr>
          <w:b w:val="0"/>
          <w:i w:val="0"/>
        </w:rPr>
        <w:t xml:space="preserve"> , 2001 Colum. Bus. L. Rev. 473 (2001).</w:t>
      </w:r>
    </w:p>
    <w:p>
      <w:pPr>
        <w:spacing w:after="80"/>
      </w:pPr>
      <w:r>
        <w:rPr>
          <w:b w:val="0"/>
          <w:i w:val="0"/>
        </w:rPr>
        <w:t>2. Khi xác định liệu một cơ hội đầu tư có cấu thành cơ hội của công ty hay không, người xét xử sự thật có nên xem xét cách mà người có nghĩa vụ trung thành (fiduciary) biết được triển vọng đó không? Tại sao? Chẳng phải các bị đơn sẽ luôn khẳng định rằng họ đã phát hiện ra cơ hội đó với tư cách cá nhân của mình sao?</w:t>
      </w:r>
    </w:p>
    <w:p>
      <w:pPr>
        <w:spacing w:after="80"/>
      </w:pPr>
      <w:r>
        <w:rPr>
          <w:b w:val="0"/>
          <w:i w:val="0"/>
        </w:rPr>
        <w:t>3. Các tòa án đã đưa ra nhiều tiêu chí khác nhau để xác định cơ hội của công ty. Một số khu vực tài phán đã áp dụng định nghĩa về cơ hội của công ty của Viện Luật Hoa Kỳ (American Law Institute), định nghĩa này quy định:</w:t>
      </w:r>
    </w:p>
    <w:p>
      <w:pPr>
        <w:spacing w:after="80"/>
      </w:pPr>
      <w:r>
        <w:rPr>
          <w:b w:val="0"/>
          <w:i w:val="0"/>
        </w:rPr>
        <w:t>1. Bất kỳ cơ hội nào để tham gia vào một hoạt động kinh doanh mà một giám đốc hoặc lãnh đạo cấp cao biết được, hoặc:</w:t>
      </w:r>
    </w:p>
    <w:p>
      <w:pPr>
        <w:spacing w:after="80"/>
      </w:pPr>
      <w:r>
        <w:rPr>
          <w:b w:val="0"/>
          <w:i w:val="0"/>
        </w:rPr>
        <w:t>a. Trong mối liên hệ với việc thực hiện các chức năng với tư cách giám đốc hoặc lãnh đạo cấp cao, hoặc trong những hoàn cảnh mà lẽ ra phải khiến giám đốc hoặc lãnh đạo cấp cao đó tin một cách hợp lý rằng người đưa ra cơ hội mong muốn nó được đề nghị cho công ty; hoặc</w:t>
      </w:r>
    </w:p>
    <w:p>
      <w:pPr>
        <w:spacing w:after="80"/>
      </w:pPr>
      <w:r>
        <w:rPr>
          <w:b w:val="0"/>
          <w:i w:val="0"/>
        </w:rPr>
        <w:t>b. Thông qua việc sử dụng thông tin hoặc tài sản của công ty, nếu cơ hội phát sinh là cơ hội mà giám đốc hoặc lãnh đạo cấp cao đó lẽ ra có thể được mong đợi một cách hợp lý để tin rằng sẽ có lợi ích cho công ty; hoặc</w:t>
      </w:r>
    </w:p>
    <w:p>
      <w:pPr>
        <w:spacing w:after="80"/>
      </w:pPr>
      <w:r>
        <w:rPr>
          <w:b w:val="0"/>
          <w:i w:val="0"/>
        </w:rPr>
        <w:t>2. Bất kỳ cơ hội nào để tham gia vào một hoạt động kinh doanh mà một lãnh đạo cấp cao biết được và biết rằng có liên quan mật thiết đến một hoạt động kinh doanh mà công ty đang tham gia hoặc dự kiến tham gia.</w:t>
      </w:r>
    </w:p>
    <w:p>
      <w:pPr>
        <w:spacing w:after="80"/>
      </w:pPr>
      <w:r>
        <w:rPr>
          <w:b w:val="0"/>
          <w:i w:val="0"/>
        </w:rPr>
        <w:t xml:space="preserve">Principles of Corporate Governance § 5.05 (1992). Tiêu chuẩn của ALI khác với tiêu chuẩn được thiết lập trong </w:t>
      </w:r>
      <w:r>
        <w:rPr>
          <w:b w:val="0"/>
          <w:i/>
        </w:rPr>
        <w:t>Broz</w:t>
      </w:r>
      <w:r>
        <w:rPr>
          <w:b w:val="0"/>
          <w:i w:val="0"/>
        </w:rPr>
        <w:t xml:space="preserve"> như thế nào?</w:t>
      </w:r>
    </w:p>
    <w:p>
      <w:pPr>
        <w:spacing w:after="80"/>
      </w:pPr>
      <w:r>
        <w:rPr>
          <w:b w:val="0"/>
          <w:i w:val="0"/>
        </w:rPr>
        <w:t>4. Broz có nên được yêu cầu chính thức trình bày cơ hội đó cho hội đồng quản trị CIS không? Tại sao có hoặc tại sao không?</w:t>
      </w:r>
    </w:p>
    <w:p>
      <w:pPr>
        <w:spacing w:after="80"/>
      </w:pPr>
      <w:r>
        <w:rPr>
          <w:b w:val="0"/>
          <w:i w:val="0"/>
        </w:rPr>
        <w:t>5. Cơ quan lập pháp Delaware hiện đã ban hành Mục 122(17), quy định:</w:t>
      </w:r>
    </w:p>
    <w:p>
      <w:pPr>
        <w:spacing w:after="80"/>
      </w:pPr>
      <w:r>
        <w:rPr>
          <w:b w:val="0"/>
          <w:i w:val="0"/>
        </w:rPr>
        <w:t>Mọi công ty được thành lập theo chương này đều có quyền: . . .</w:t>
      </w:r>
    </w:p>
    <w:p>
      <w:pPr>
        <w:spacing w:after="80"/>
      </w:pPr>
      <w:r>
        <w:rPr>
          <w:b w:val="0"/>
          <w:i w:val="0"/>
        </w:rPr>
        <w:t>(17) Từ bỏ, trong điều lệ thành lập hoặc bằng hành động của hội đồng quản trị, bất kỳ lợi ích hoặc kỳ vọng nào của công ty đối với, hoặc đối với việc được đề nghị một cơ hội để tham gia vào, các cơ hội kinh doanh cụ thể hoặc các loại hoặc nhóm cơ hội kinh doanh cụ thể được trình bày cho công ty hoặc một hay nhiều viên chức, giám đốc hoặc cổ đông của công ty.</w:t>
      </w:r>
    </w:p>
    <w:p>
      <w:pPr>
        <w:spacing w:after="80"/>
      </w:pPr>
      <w:r>
        <w:rPr>
          <w:b w:val="0"/>
          <w:i w:val="0"/>
        </w:rPr>
        <w:t>Các nhà bình luận đã chỉ trích Mục 122(17) ở chỗ “nó gợi ý rằng một công ty Delaware có quyền mở rộng nghĩa vụ trung thành của một cổ đông vượt ra ngoài những nghĩa vụ tồn tại theo luật Delaware.” Liệu hội đồng quản trị của một công ty có thể buộc một nhà đầu tư thiểu số phải hướng tất cả các cơ hội về phần mềm, băng thông rộng, nội dung hoặc phương tiện tương tác của mình cho công ty đó không?</w:t>
      </w:r>
    </w:p>
    <w:p>
      <w:pPr>
        <w:spacing w:after="80"/>
      </w:pPr>
      <w:r>
        <w:rPr>
          <w:b w:val="0"/>
          <w:i w:val="0"/>
        </w:rPr>
        <w:t>—————</w:t>
      </w:r>
    </w:p>
    <w:p>
      <w:pPr>
        <w:spacing w:after="80"/>
      </w:pPr>
      <w:r>
        <w:rPr>
          <w:b w:val="0"/>
          <w:i w:val="0"/>
        </w:rPr>
        <w:t>Khi người có nghĩa vụ trung thành bị cáo buộc chiếm đoạt cơ hội của công ty lại chính là nhà phát minh đã sáng lập nên công ty, thì những chính sách công khác có thể phát huy tác dụng, như chúng ta thấy trong vụ án tiếp theo.</w:t>
      </w:r>
    </w:p>
    <w:p>
      <w:pPr>
        <w:pStyle w:val="Heading4"/>
      </w:pPr>
      <w:r>
        <w:rPr>
          <w:rFonts w:ascii="Calibri" w:hAnsi="Calibri"/>
          <w:b/>
          <w:i w:val="0"/>
          <w:sz w:val="23"/>
        </w:rPr>
        <w:t>AngioScore, Inc. v. Trireme Medical, Inc.</w:t>
      </w:r>
    </w:p>
    <w:p>
      <w:pPr>
        <w:spacing w:after="80"/>
      </w:pPr>
      <w:r>
        <w:rPr>
          <w:b w:val="0"/>
          <w:i w:val="0"/>
        </w:rPr>
        <w:t>2015 WL 4040388 (N.D. Cal. July 1, 2015)</w:t>
      </w:r>
    </w:p>
    <w:p>
      <w:pPr>
        <w:spacing w:after="80"/>
      </w:pPr>
      <w:r>
        <w:rPr>
          <w:b w:val="0"/>
          <w:i w:val="0"/>
        </w:rPr>
        <w:t>THẨM PHÁN ROGERS, TÒA ÁN QUẬN :</w:t>
      </w:r>
    </w:p>
    <w:p>
      <w:pPr>
        <w:spacing w:after="80"/>
      </w:pPr>
      <w:r>
        <w:rPr>
          <w:b w:val="0"/>
          <w:i/>
        </w:rPr>
        <w:t>Giới thiệu</w:t>
      </w:r>
    </w:p>
    <w:p>
      <w:pPr>
        <w:spacing w:after="80"/>
      </w:pPr>
      <w:r>
        <w:rPr>
          <w:b w:val="0"/>
          <w:i w:val="0"/>
        </w:rPr>
        <w:t>Vụ án này làm nổi lên sự căng thẳng giữa luật lâu đời, đã được thiết lập về nghĩa vụ ủy thác (fiduciary duties) mà các giám đốc công ty phải gánh vác và các khiếu nại về vi phạm nghĩa vụ ủy thác phát sinh khi các giám đốc của những công ty mới nổi chính là những người đổi mới trong lĩnh vực công nghệ. Trong tình huống như vậy, nguyên đơn AngioScore muốn sự đổi mới phải nhường bước cho nghĩa vụ; các bị đơn lại muốn nghĩa vụ phải nhường bước cho sự đổi mới. Lập trường của không bên nào chấp nhận bất kỳ sự cân bằng nào, và không bên nào có thể hoàn toàn đúng. Như được trình bày trong Lệnh này, Tòa án nhận thấy rằng khi tính minh bạch, lòng trung thành và thiện chí chiếm ưu thế, thì nghĩa vụ ủy thác của một giám đốc và động lực đổi mới của người đó có thể cùng tồn tại, dù rằng các nghĩa vụ đối với công ty vẫn giữ vị trí ưu tiên.</w:t>
      </w:r>
    </w:p>
    <w:p>
      <w:pPr>
        <w:spacing w:after="80"/>
      </w:pPr>
      <w:r>
        <w:rPr>
          <w:b w:val="0"/>
          <w:i w:val="0"/>
        </w:rPr>
        <w:t>AngioScore đưa ra các khiếu nại theo luật tiểu bang về việc vi phạm nghĩa vụ ủy thác chống lại một trong những người sáng lập và cựu giám đốc của mình, Eitan Konstantino, với cáo buộc rằng trong khi ông là thành viên hội đồng quản trị của AngioScore, Konstantino đã phát triển một thiết bị y tế cạnh tranh trực tiếp với sản phẩm chủ lực của AngioScore. Thay vì trao cơ hội mua lại thiết bị mới cho AngioScore, AngioScore cho rằng Konstantino đã chiếm nó cho riêng mình. Các bị đơn không đồng ý, lập luận một phần rằng nghĩa vụ đã không bị vi phạm hoặc vì không có cơ hội nào tồn tại, hoặc vì AngioScore không được quyền hưởng sở hữu trí tuệ của Konstantino như một vấn đề pháp lý.</w:t>
      </w:r>
    </w:p>
    <w:p>
      <w:pPr>
        <w:spacing w:after="80"/>
      </w:pPr>
      <w:r>
        <w:rPr>
          <w:b w:val="0"/>
          <w:i w:val="0"/>
        </w:rPr>
        <w:t>Sau một phiên xét xử sáu ngày không có bồi thẩm đoàn đối với các khiếu nại của AngioScore, các bên đã đệ trình các phát hiện sự kiện và kết luận pháp lý đề xuất. Sau khi xem xét các bằng chứng trong hồ sơ, các lập luận của các bên và án lệ liên quan, vì những lý do được trình bày trong các phát hiện sự kiện và kết luận pháp lý này, Tòa án theo đây PHÁN QUYẾT có lợi cho AngioScore về mọi khía cạnh quan trọng và ĐƯA RA biện pháp khắc phục tương ứng.</w:t>
      </w:r>
    </w:p>
    <w:p>
      <w:pPr>
        <w:spacing w:after="80"/>
      </w:pPr>
      <w:r>
        <w:rPr>
          <w:b w:val="0"/>
          <w:i/>
        </w:rPr>
        <w:t>Bối cảnh</w:t>
      </w:r>
    </w:p>
    <w:p>
      <w:pPr>
        <w:spacing w:after="80"/>
      </w:pPr>
      <w:r>
        <w:rPr>
          <w:b w:val="0"/>
          <w:i w:val="0"/>
        </w:rPr>
        <w:t>Các Bên</w:t>
      </w:r>
    </w:p>
    <w:p>
      <w:pPr>
        <w:spacing w:after="80"/>
      </w:pPr>
      <w:r>
        <w:rPr>
          <w:b w:val="0"/>
          <w:i w:val="0"/>
        </w:rPr>
        <w:t>Kể từ khi thành lập vào năm 2003, AngioScore đã thiết kế, sản xuất và tiếp thị các ống thông bóng nong mạch chuyên dụng (specialty angioplasty balloon catheters) được sử dụng để điều trị bệnh tim mạch. Dòng sản phẩm đặc trưng của công ty, được bán dưới thương hiệu AngioSculpt, bao gồm một bóng nylon được bao quanh bởi một cấu trúc nitinol. AngioSculpt được bán với nhiều kích cỡ và chiều dài khác nhau để đáp ứng nhu cầu đa dạng của bệnh nhân, mặc dù cấu trúc của bóng và lồng vẫn không thay đổi về mọi khía cạnh quan trọng ở mỗi tùy chọn kích cỡ có sẵn. Mục đích của AngioSculpt là điều trị bệnh tim mạch, trong đó các mảng bám tích tụ dọc theo thành mạch máu, tạo thành những thứ được gọi là tổn thương (lesions). Các mảng bám này cứng lại và chặn, hay làm tắc (occlude), dòng chảy của máu, gây ra những nguy cơ sức khỏe nghiêm trọng tiềm tàng. AngioSculpt được dùng để mở các mạch máu bị tắc hoặc hẹp tại vị trí tổn thương bằng cách bơm căng bóng để nén các mảng bám ép vào thành mạch. Khi bóng được bơm căng, lồng dây nitinol của AngioSculpt giãn ra. Lồng giãn nở này nằm trên đỉnh bóng và ấn vào mảng bám, “tạo vết khía” cho nó, trong một nỗ lực nhằm “làm nứt” mảng bám và mở thông mạch máu, mà không làm tổn thương hay đâm thủng thành mạch. Chính nhờ đặc tính tạo khía này mà AngioScore có tên gọi như vậy. Sau khi sử dụng, thiết bị có thể xẹp xuống, trở về hình dạng ban đầu, để được lấy ra khỏi cơ thể bệnh nhân.</w:t>
      </w:r>
    </w:p>
    <w:p>
      <w:pPr>
        <w:spacing w:after="80"/>
      </w:pPr>
      <w:r>
        <w:rPr>
          <w:b w:val="0"/>
          <w:i w:val="0"/>
        </w:rPr>
        <w:t>Bị đơn Eitan Konstantino đã phát minh ra AngioSculpt. Là một kỹ sư được đào tạo với bằng tiến sĩ về xử lý bề mặt bằng laser, thiết kế quang học và khoa học vật liệu, Konstantino là đồng sáng lập viên, Chủ tịch và Nhà khoa học trưởng của AngioScore, Inc. Với vai trò này, Konstantino tìm cách phát triển và đưa AngioSculpt ra thị trường, việc này liên quan đến việc giành được phê duyệt cả ở châu Âu lẫn thông qua Cục Quản lý Thực phẩm và Dược phẩm Hoa Kỳ (“FDA”). Để đạt được những mục tiêu này, Konstantino tìm kiếm nguồn vốn từ các nhà đầu tư, những người đổi lại giành được ghế trong hội đồng quản trị của AngioScore. Trong số các giám đốc đó có Tom Raffin, một đối tác của công ty đầu tư mạo hiểm Telegraph Hill Partners, và Lisa Suennen, một đối tác tại Psilos, một công ty tương tự khác.</w:t>
      </w:r>
    </w:p>
    <w:p>
      <w:pPr>
        <w:spacing w:after="80"/>
      </w:pPr>
      <w:r>
        <w:rPr>
          <w:b w:val="0"/>
          <w:i w:val="0"/>
        </w:rPr>
        <w:t>Năm 2005, hội đồng quản trị quyết định rằng Konstantino sẽ phù hợp hơn với một vai trò hướng đến nghiên cứu và phát triển. Tom Trotter sau đó trở thành giám đốc điều hành của AngioScore. Khi Trotter đảm nhận vị trí này, ông và Konstantino đã thảo luận về vai trò nào là phù hợp nhất cho Konstantino trong tương lai. Dựa trên cuộc trò chuyện đó, Trotter đề nghị Konstantino đảm nhận vai trò Phó Chủ tịch Điều hành phụ trách Nghiên cứu và Phát triển kiêm Nhà khoa học trưởng.</w:t>
      </w:r>
    </w:p>
    <w:p>
      <w:pPr>
        <w:spacing w:after="80"/>
      </w:pPr>
      <w:r>
        <w:rPr>
          <w:b w:val="0"/>
          <w:i w:val="0"/>
        </w:rPr>
        <w:t>AngioScore muốn Konstantino ở lại đội ngũ AngioScore vì vai trò trung tâm của ông tại công ty với tư cách là đồng sáng lập viên, và kỹ năng của ông với tư cách là một kỹ sư. Tuy nhiên, Konstantino bày tỏ mong muốn rời đi và làm việc toàn thời gian với vai trò Chủ tịch kiêm CEO của TriReme Medical, Inc., một công ty ông đã thành lập nhằm mục đích phát triển stent phân nhánh (bifurcation stents). Do đó, vào mùa thu năm 2005, Trotter bắt đầu tìm người thay thế Konstantino. Cả ông và Konstantino đều phỏng vấn các ứng viên. Đồng thời, Konstantino yêu cầu được cho phép làm việc trên một công nghệ đang phát triển với TriReme: stent phân nhánh nội mạch (endovascular bifurcation stents) và các hệ thống đưa stent vào. Mặc dù stent phân nhánh không cạnh tranh với ống thông bóng nong mạch chuyên dụng, hội đồng quản trị của AngioScore đã xem xét yêu cầu này một cách nghiêm túc, cuối cùng thông qua một nghị quyết cho phép Konstantino theo đuổi mục tiêu hạn chế này, và từ bỏ quyền lợi của AngioScore đối với công nghệ stent phân nhánh.</w:t>
      </w:r>
    </w:p>
    <w:p>
      <w:pPr>
        <w:spacing w:after="80"/>
      </w:pPr>
      <w:r>
        <w:rPr>
          <w:b w:val="0"/>
          <w:i w:val="0"/>
        </w:rPr>
        <w:t>Cuối năm 2006, vai trò Phó Chủ tịch Nghiên cứu và Phát triển của AngioScore được chuyển từ Konstantino sang Feridun Ozdil. Dù các chi tiết vẫn chưa rõ ràng, mối quan hệ giữa Konstantino và Ozdil nhanh chóng trở nên căng thẳng và lên đến đỉnh điểm là một cuộc ẩu đả thể xác. Cả Konstantino và Ozdil đều là những nhà khoa học thông minh, nhưng cả hai đều tự cao và độc đoán. Xung đột tính cách kiểu “ông ấy nói”/“ông ấy nói” chưa bao giờ được giải quyết dứt khoát.</w:t>
      </w:r>
    </w:p>
    <w:p>
      <w:pPr>
        <w:spacing w:after="80"/>
      </w:pPr>
      <w:r>
        <w:rPr>
          <w:b w:val="0"/>
          <w:i w:val="0"/>
        </w:rPr>
        <w:t>Tháng 4 năm 2007, quan hệ lao động của Konstantino với AngioScore chấm dứt, mặc dù ông vẫn ở lại Hội đồng Quản trị của công ty. Với tư cách là thành viên hội đồng quản trị, ông tiếp tục tham dự các cuộc họp hội đồng quản trị của AngioScore và nhận được các cập nhật về tình hình tài chính của AngioScore cũng như tình trạng phát triển sản phẩm mới của công ty cho đến khi ông được yêu cầu từ chức vào tháng 2 năm 2010.</w:t>
      </w:r>
    </w:p>
    <w:p>
      <w:pPr>
        <w:spacing w:after="80"/>
      </w:pPr>
      <w:r>
        <w:rPr>
          <w:b w:val="0"/>
          <w:i w:val="0"/>
        </w:rPr>
        <w:t>Chocolate, Thiết bị Đang Tranh chấp</w:t>
      </w:r>
    </w:p>
    <w:p>
      <w:pPr>
        <w:spacing w:after="80"/>
      </w:pPr>
      <w:r>
        <w:rPr>
          <w:b w:val="0"/>
          <w:i w:val="0"/>
        </w:rPr>
        <w:t>Vào mùa thu năm 2009, Konstantino và người bạn, đồng nghiệp thân thiết như anh em của mình, Tanhum Feld, đã hình thành nên thứ sau này trở thành “Chocolate” trong một buổi “động não” qua điện thoại. Feld đang thảo luận về các ý tưởng khung cho một quả bóng; Konstantino đưa ra ý tưởng về một bề mặt bóng được định hình bởi các gối và rãnh. Khái niệm là một lồng nitinol sẽ bao quanh một bóng nylon. Khi bóng được bơm căng, nó sẽ nhô ra qua lồng. Bóng được bơm căng sau đó sẽ hiển thị một mẫu các gối và rãnh, tạo lực ép lên mảng bám lót thành mạch.</w:t>
      </w:r>
    </w:p>
    <w:p>
      <w:pPr>
        <w:spacing w:after="80"/>
      </w:pPr>
      <w:r>
        <w:rPr>
          <w:b w:val="0"/>
          <w:i w:val="0"/>
        </w:rPr>
        <w:t>Sau khi khái niệm cho Chocolate được thiết lập, Feld đảm nhận việc thiết kế kỹ thuật thiết bị, chỉ đạo và điều phối các nỗ lực của nhân viên TriReme với sự chấp thuận của Konstantino. Đến tháng 10 năm 2009, Konstantino đã nộp đơn xin cấp bằng sáng chế tạm thời, ghi tên mình và Feld là đồng nhà phát minh. Chỉ trong vòng vài tháng, Chocolate đã tiến triển từ một khái niệm trí tuệ thành các nguyên mẫu vật lý. Tháng 1 năm 2010, Konstantino và các nhân viên khác của TriReme đã tham dự buổi thử nghiệm trên động vật tại Stanford cho một nguyên mẫu Chocolate.</w:t>
      </w:r>
    </w:p>
    <w:p>
      <w:pPr>
        <w:spacing w:after="80"/>
      </w:pPr>
      <w:r>
        <w:rPr>
          <w:b w:val="0"/>
          <w:i w:val="0"/>
        </w:rPr>
        <w:t>Cùng với việc giám sát và chỉ đạo các nhân viên tại TriReme trong nỗ lực phát triển Chocolate, Konstantino đảm nhận vai trò doanh nhân, phác thảo chiến lược tiếp thị Chocolate và chào mời các nhà đầu tư dưới danh nghĩa một thực thể doanh nghiệp có tên "Proteus." Trong nửa cuối năm 2009, Konstantino đã gặp gỡ từ hai mươi đến ba mươi nhà đầu tư, trao cho họ cơ hội đầu tư vào Chocolate. Trong những buổi chào mời này, Konstantino trình bày rằng Chocolate đang được phát triển bởi "Proteus," và rằng tài sản trí tuệ, thiết kế, nguyên mẫu, mô hình kinh doanh, đội ngũ và các mối quan hệ đối tác của Chocolate đều đã hoàn tất. Với những tuyên bố kiểu này, ông đã giành được một khoản tài trợ từ Ban Phát triển Kinh tế Singapore (Singapore Economic Development Board) và tiếp tục thu hút thêm các nhà đầu tư.</w:t>
      </w:r>
    </w:p>
    <w:p>
      <w:pPr>
        <w:spacing w:after="80"/>
      </w:pPr>
      <w:r>
        <w:rPr>
          <w:b w:val="0"/>
          <w:i w:val="0"/>
        </w:rPr>
        <w:t>Những điểm tương đồng giữa AngioSculpt và Chocolate là hiển nhiên. Cả hai đều là ống thông bóng nong mạch chuyên dụng (specialty angioplasty balloon catheter). Cả hai đều bao gồm một bóng nylon được bao quanh bởi một cấu trúc nitinol. Cả hai đều được dùng để điều trị bệnh động mạch ngoại vi và động mạch vành bằng cách bơm căng để mở các mạch máu bị tắc. Cả hai đều không để lại kim loại nào trong mạch máu sau khi sử dụng, không giống như stent. Cả hai đều được bán cho cùng một nhóm khách hàng và đưa ra những tuyên bố tiếp thị chồng chéo nhau. Cả hai đều được bán với giá cao cấp với giá niêm yết gần như giống hệt nhau. Với những điểm tương đồng giữa các thiết bị này, chính Konstantino đã xác định AngioScore là đối tác cho cơ hội Chocolate trong các bài thuyết trình với nhà đầu tư vào năm 2009 và 2010.</w:t>
      </w:r>
    </w:p>
    <w:p>
      <w:pPr>
        <w:spacing w:after="80"/>
      </w:pPr>
      <w:r>
        <w:rPr>
          <w:b w:val="0"/>
          <w:i w:val="0"/>
        </w:rPr>
        <w:t>Konstantino biết rằng các thiết bị này sẽ cạnh tranh với nhau và các tài liệu cùng thời cho thấy không chỉ ông có ý định như vậy, mà thông tin này còn được dùng như một phần trong bài chào mời đầu tư của ông. Khi định giá Chocolate, Konstantino và các nhân viên tại TriReme đã cố ý định giá Chocolate thấp hơn đúng $25 so với giá niêm yết của AngioSculpt và nhắm vào cùng nhóm khách hàng. Các liên lạc giữa Konstantino, Feld, cùng các nhân viên và lãnh đạo của TriReme từ cuối năm 2009 đến năm 2010 xác nhận rằng tất cả những người liên quan đến việc phát triển Chocolate—Konstantino, TriReme và Quattro—đều cố ý tìm cách cạnh tranh với AngioSculpt trên thị trường ống thông bóng chuyên dụng. Điều này bao gồm việc quảng bá Chocolate với tất cả các lợi thế cạnh tranh của nó, kể cả tiềm năng trở thành bóng phủ thuốc (drug-eluting balloon).</w:t>
      </w:r>
    </w:p>
    <w:p>
      <w:pPr>
        <w:spacing w:after="80"/>
      </w:pPr>
      <w:r>
        <w:rPr>
          <w:b w:val="0"/>
          <w:i w:val="0"/>
        </w:rPr>
        <w:t>Trong khi chỉ đạo phát triển Chocolate với tư cách vừa là thiết bị y tế vừa là cơ hội kinh doanh, Konstantino vẫn tiếp tục giữ ghế trong ban giám đốc của AngioScore. Theo đó, ông được tiếp cận mọi loại thông tin tài chính mật, thông tin thị trường và thông tin cạnh tranh liên quan đến hiệu suất của thiết bị AngioSculpt cũng như các đánh giá rủi ro cực kỳ nhạy cảm của AngioScore. Ông biết rằng tính đến tháng 7 năm 2009, AngioScore đang gặp khó khăn trong việc phát triển phiên bản 100mm của AngioSculpt. Và ông biết rằng công ty đang muốn theo đuổi một loại bóng chuyên dụng phủ thuốc. Ngoài ra, Konstantino biết rằng tình hình tài chính của AngioScore vào cuối năm 2009 đến đầu năm 2010 tương đối mạnh. AngioScore đang ở vị thế thuận lợi để huy động thêm vốn, có dự trữ tiền mặt đáng kể, và đang trong quá trình dành nguồn lực để cải thiện sự hiện diện của mình trên thị trường ống thông bóng chuyên dụng, dù vừa mới thoát khỏi khoản chi phí của một cuộc điều tra không đáng có. Thật vậy, Báo cáo Hàng tháng tháng 12 năm 2009 của AngioScore, được phân phát cho cuộc họp ban giám đốc, phản ánh rằng tiền mặt hiện có tổng cộng $15.3 triệu. Báo cáo mô tả con số này là một "[k]ết quả xuất sắc." Việc AngioScore lẽ ra có thể khai thác cơ hội Chocolate, nếu được trao cho, là điều không thể tranh cãi một cách hợp lý.</w:t>
      </w:r>
    </w:p>
    <w:p>
      <w:pPr>
        <w:spacing w:after="80"/>
      </w:pPr>
      <w:r>
        <w:rPr>
          <w:b w:val="0"/>
          <w:i w:val="0"/>
        </w:rPr>
        <w:t>Đáng chú ý, vào tháng 12 năm 2009, Konstantino đã có một cuộc trò chuyện với CEO của AngioScore, Trotter, về việc TriReme phát triển một thiết bị nong mạch bóng thông thường ("POBA") có tên "Glider." Tại phiên tòa, cả Trotter và Konstantino đều xác nhận rằng cuộc trò chuyện này đã diễn ra. Konstantino nói với Trotter rằng TriReme quá nhỏ để thương mại hóa sản phẩm Glider, và rằng ông đang tìm kiếm một nhà tài trợ vốn. Ông đề nghị giao Glider cho AngioScore với mục đích phân phối. Trong lời khai tại phiên lấy cung (deposition), Konstantino giải thích cuộc trò chuyện đó như sau:</w:t>
      </w:r>
    </w:p>
    <w:p>
      <w:pPr>
        <w:spacing w:after="80"/>
      </w:pPr>
      <w:r>
        <w:rPr>
          <w:b w:val="0"/>
          <w:i w:val="0"/>
        </w:rPr>
        <w:t>Tôi đã chia sẻ với ông ấy những chi tiết cụ thể của sản phẩm, các đặc tính kỹ thuật của sản phẩm này. Tôi đã chia sẻ với ông ấy cách chúng tôi nghĩ sản phẩm này có thể phù hợp với thị trường như thế nào, những gì chúng tôi coi là các đặc tính hay lợi thế của sản phẩm này. Và tôi đề nghị ông ấy thực hiện một kiểu hợp tác nào đó. Cụ thể, chúng tôi đã thảo luận—hoặc tôi đã đề nghị hai kiểu hợp tác hay hai cơ hội. Tôi không có ý nói cơ hội theo nghĩa pháp lý. Một là phân phối những sản phẩm này. Tôi nói với ông ấy, Tom, chúng tôi là một công ty nhỏ. Chúng tôi không có năng lực thương mại. Ông có. Đây không phải là sản phẩm mà ông bỏ vào túi. Chúng tôi không có năng lực thương mại. Ông có. Đây là một sản phẩm khác ông có thể bỏ vào túi. Ông có thể giảm chi phí chung hoặc vị trí chi phí chung trên các phiếu bán hàng. Có nhiều lợi ích được nhận thấy. Và tôi cũng nói với ông ấy về cái mà ông có thể gọi là thực tế, có lẽ, rằng AngioSculpt không phải là một sản phẩm có khả năng đưa vào cơ thể cao, ít nhất là theo nhận thức của các bác sĩ đang sử dụng sản phẩm này.</w:t>
      </w:r>
    </w:p>
    <w:p>
      <w:pPr>
        <w:spacing w:after="80"/>
      </w:pPr>
      <w:r>
        <w:rPr>
          <w:b w:val="0"/>
          <w:i w:val="0"/>
        </w:rPr>
        <w:t>Trotter xác nhận rằng khi Konstantino tiết lộ rằng TriReme đã làm việc trên Glider, ông bày tỏ lo ngại rằng TriReme đang dấn thân vào lĩnh vực bóng nong mạch. Tuy nhiên, vì Konstantino đã trình bày Glider của TriReme như một POBA thông thường, nên Glider sẽ không cạnh tranh gay gắt với AngioSculpt. Điều đáng chú ý là thiếu vắng trong cuộc trò chuyện này là bất kỳ đề cập nào đến Chocolate, sản phẩm đã được phát triển trong nhiều tháng, được chào mời cho người khác như một cơ hội doanh nghiệp, và sắp trải qua thử nghiệm trên lợn.</w:t>
      </w:r>
    </w:p>
    <w:p>
      <w:pPr>
        <w:spacing w:after="80"/>
      </w:pPr>
      <w:r>
        <w:rPr>
          <w:b w:val="0"/>
          <w:i w:val="0"/>
        </w:rPr>
        <w:t>Sau khi ngồi dự suốt cuộc họp ban giám đốc AngioScore ngày 3 tháng 2 năm 2010, Konstantino đến gần Trotter và xin gặp riêng. Nhắc lại cuộc trò chuyện tháng 12 năm 2009, trong đó ông đã đề nghị AngioScore nhận bóng POBA Glider, Konstantino nói với Trotter rằng TriReme đang "cân nhắc phát triển một ống thông bóng chuyên dụng cho các chỉ định ngoại vi," và rằng TriReme đã tích cực làm việc trên "một thứ gì đó cho tương lai" trong lĩnh vực ống thông bóng chuyên dụng. Nói rằng Konstantino đã "nói giảm nói tránh" các sự thật xung quanh Chocolate là còn nhẹ. Konstantino đã không thông báo cho Trotter rằng việc phát triển bóng chuyên dụng của TriReme, thứ mà đến thời điểm đó đã được gọi là Chocolate trong nhiều tháng, đang tiến triển tốt. Ông không tiết lộ vai trò cá nhân của mình trong việc phát triển và phác thảo thiết bị, cũng không tiết lộ rằng một nguyên mẫu đã được tạo ra, một đơn xin cấp bằng sáng chế đã được nộp, thử nghiệm trên động vật đã diễn ra, hay rằng ông đã thu hút các nhà đầu tư và nguồn tài trợ tiềm năng. Tuy nhiên, Trotter vẫn bị sốc trước tin này. Bóng chuyên dụng là trọng tâm của AngioScore. Ông tin rằng trước thời điểm đó, TriReme đã tập trung vào stent chạc ba (bifurcation stent) và chỉ mới gần đây bắt đầu cân nhắc các thiết bị POBA, và ngay cả khi đó cũng chỉ là POBA Glider. Trotter nói với Konstantino rằng ông không nghĩ việc thảo luận thêm là phù hợp và yêu cầu ông rời đi.</w:t>
      </w:r>
    </w:p>
    <w:p>
      <w:pPr>
        <w:spacing w:after="80"/>
      </w:pPr>
      <w:r>
        <w:rPr>
          <w:b w:val="0"/>
          <w:i w:val="0"/>
        </w:rPr>
        <w:t>Ngay sau cuộc gặp đó, Trotter thuật lại cuộc trò chuyện với Konstantino cho các thành viên ban giám đốc AngioScore. Ban giám đốc bày tỏ niềm tin đồng nhất rằng Konstantino nên từ chức càng sớm càng tốt. Nếu TriReme phát triển một bóng chuyên dụng, Konstantino sẽ có xung đột lợi ích trực tiếp. Ban giám đốc lo ngại rằng TriReme đang cân nhắc khả năng cạnh tranh với AngioScore. Vào thời điểm đó, không ai tại AngioScore biết rằng một thiết bị bóng chuyên dụng mang tính cạnh tranh đã được phát triển dưới sự chỉ đạo và kiểm soát của Konstantino.</w:t>
      </w:r>
    </w:p>
    <w:p>
      <w:pPr>
        <w:spacing w:after="80"/>
      </w:pPr>
      <w:r>
        <w:rPr>
          <w:b w:val="0"/>
          <w:i w:val="0"/>
        </w:rPr>
        <w:t>Ngày hôm sau, Trotter gửi cho Konstantino một email có tiêu đề "Vị trí trong Ban Giám đốc," đồng gửi cho luật sư của AngioScore, John Sellers. Trong đó, Trotter nhắc lại những lo ngại của mình về việc TriReme tiến vào thị trường bóng chuyên dụng, và nói rằng các thành viên ban giám đốc mà ông đã trao đổi coi đây là một "xung đột lợi ích rõ ràng." "Ý kiến đồng thuận" là Konstantino "cần từ chức khỏi Ban Giám đốc ngay lập tức [và] có lẽ lẽ ra không nên tham gia cuộc họp Ban Giám đốc ngày hôm qua." Trotter nói với Konstantino rằng Sellers sẽ liên hệ để thu xếp việc từ chức của ông.</w:t>
      </w:r>
    </w:p>
    <w:p>
      <w:pPr>
        <w:spacing w:after="80"/>
      </w:pPr>
      <w:r>
        <w:rPr>
          <w:b w:val="0"/>
          <w:i w:val="0"/>
        </w:rPr>
        <w:t xml:space="preserve">Phản hồi của Konstantino rất ngắn gọn. Một lần nữa, ông không tiết lộ sự tồn tại hay tình trạng phát triển của thiết bị Chocolate, cũng không tiết lộ sự tham gia sâu sát của mình vào dự án. Thay vào đó, và quan trọng hơn, ông bắt đầu chiến dịch chủ động đánh lạc hướng. Do đó, ông trả lời: "TriReme chưa đưa ra bất kỳ quyết định nào để thực hiện [một] thay đổi như vậy và tôi chỉ đang báo trước cho ông rất sớm về </w:t>
      </w:r>
      <w:r>
        <w:rPr>
          <w:b w:val="0"/>
          <w:i/>
        </w:rPr>
        <w:t>một điều gì đó có thể xảy ra trong tương lai, hoặc có thể không bao giờ xảy ra</w:t>
      </w:r>
      <w:r>
        <w:rPr>
          <w:b w:val="0"/>
          <w:i w:val="0"/>
        </w:rPr>
        <w:t xml:space="preserve"> [.]" (phần nhấn mạnh được thêm vào).</w:t>
      </w:r>
    </w:p>
    <w:p>
      <w:pPr>
        <w:spacing w:after="80"/>
      </w:pPr>
      <w:r>
        <w:rPr>
          <w:b w:val="0"/>
          <w:i w:val="0"/>
        </w:rPr>
        <w:t>Vào ngày 4 tháng 2 năm 2010, John Sellers trả lời Konstantino trong một email. Sellers thông báo cho Konstantino rằng "n[g]ay cả khi ông chỉ đang cân nhắc . . . ông vẫn có những nghĩa vụ ủy thác quan trọng [và] các nghĩa vụ bảo mật đang tiếp diễn." Cuối ngày hôm đó, hai người nói chuyện qua điện thoại trong năm đến mười phút. Sellers một lần nữa nhấn mạnh các nghĩa vụ ủy thác của Konstantino đối với AngioScore với tư cách là giám đốc, bao gồm việc sẽ tồn tại xung đột lợi ích nếu TriReme phát triển một công nghệ có khả năng cạnh tranh. Họ cũng thảo luận về các thủ tục cho việc Konstantino từ chức khỏi Ban Giám đốc.</w:t>
      </w:r>
    </w:p>
    <w:p>
      <w:pPr>
        <w:spacing w:after="80"/>
      </w:pPr>
      <w:r>
        <w:rPr>
          <w:b w:val="0"/>
          <w:i w:val="0"/>
        </w:rPr>
        <w:t>Ngày hôm sau, 5 tháng 2 năm 2010, Konstantino trả lời Sellers, đồng gửi cho Trotter, Suennen và Raffin:</w:t>
      </w:r>
    </w:p>
    <w:p>
      <w:pPr>
        <w:spacing w:after="80"/>
      </w:pPr>
      <w:r>
        <w:rPr>
          <w:b w:val="0"/>
          <w:i w:val="0"/>
        </w:rPr>
        <w:t xml:space="preserve">Như chúng ta đã thảo luận, tôi ngạc nhiên và thất vọng rằng ông và công ty đã vội vàng đi đến kết luận rằng tôi nên từ chức khỏi ban giám đốc dựa trên những giả định sau khi nhận được những mẩu thông tin rời rạc. Tôi </w:t>
      </w:r>
      <w:r>
        <w:rPr>
          <w:b w:val="0"/>
          <w:i/>
        </w:rPr>
        <w:t>ý thức sâu sắc về các nghĩa vụ của mình</w:t>
      </w:r>
      <w:r>
        <w:rPr>
          <w:b w:val="0"/>
          <w:i w:val="0"/>
        </w:rPr>
        <w:t xml:space="preserve"> với tư cách là một thành viên ban giám đốc và đây chính xác là lý do tại sao tôi đến gặp AngioScore [lúc này]; </w:t>
      </w:r>
      <w:r>
        <w:rPr>
          <w:b w:val="0"/>
          <w:i/>
        </w:rPr>
        <w:t>trước khi bất kỳ dự án mới nào được bắt đầu</w:t>
      </w:r>
      <w:r>
        <w:rPr>
          <w:b w:val="0"/>
          <w:i w:val="0"/>
        </w:rPr>
        <w:t xml:space="preserve"> .</w:t>
      </w:r>
    </w:p>
    <w:p>
      <w:pPr>
        <w:spacing w:after="80"/>
      </w:pPr>
      <w:r>
        <w:rPr>
          <w:b w:val="0"/>
          <w:i w:val="0"/>
        </w:rPr>
        <w:t>AngioScore chỉ biết đến sự tồn tại của Chocolate một năm rưỡi sau đó, vào nửa cuối năm 2011, khi một đại diện bán hàng gọi đến Trung tâm Bệnh viện Washington và nghe nói rằng một bài thuyết trình đã được thực hiện về một thiết bị mới có tên "Chocolate."</w:t>
      </w:r>
    </w:p>
    <w:p>
      <w:pPr>
        <w:spacing w:after="80"/>
      </w:pPr>
      <w:r>
        <w:rPr>
          <w:b w:val="0"/>
          <w:i/>
        </w:rPr>
        <w:t>Kết luận về Pháp lý</w:t>
      </w:r>
    </w:p>
    <w:p>
      <w:pPr>
        <w:spacing w:after="80"/>
      </w:pPr>
      <w:r>
        <w:rPr>
          <w:b w:val="0"/>
          <w:i w:val="0"/>
        </w:rPr>
        <w:t>Khung Học Thuyết Cơ Hội Doanh Nghiệp</w:t>
      </w:r>
    </w:p>
    <w:p>
      <w:pPr>
        <w:spacing w:after="80"/>
      </w:pPr>
      <w:r>
        <w:rPr>
          <w:b w:val="0"/>
          <w:i w:val="0"/>
        </w:rPr>
        <w:t xml:space="preserve">Theo luật Delaware, “[c]ác yếu tố cấu thành hành vi chiếm đoạt cơ hội doanh nghiệp là: (1) cơ hội đó nằm trong ngành kinh doanh của công ty; (2) công ty có quyền lợi hoặc kỳ vọng đối với cơ hội đó; (3) công ty có khả năng tài chính để khai thác cơ hội đó; và (4) bằng việc nắm lấy cơ hội cho riêng mình, người có nghĩa vụ ủy thác của công ty bị đặt vào vị thế đối nghịch với các nghĩa vụ của mình đối với công ty.” Một khi nguyên đơn đã chứng minh được hành vi vi phạm nghĩa vụ trung thành của giám đốc, gánh nặng chứng minh chuyển sang cho người có nghĩa vụ ủy thác để chứng minh rằng người đó đã không chiếm đoạt cơ hội doanh nghiệp “bởi vì hoặc là công ty đã được trao cơ hội đó và đã từ chối nó, hoặc là vì công ty không ở trong vị thế có thể nắm lấy cơ hội đó.” Các tòa án Delaware còn công nhận thêm rằng “một giám đốc hoặc viên chức có thể nắm lấy một cơ hội doanh nghiệp nếu: (1) cơ hội đó được trao cho giám đốc hoặc viên chức với tư cách cá nhân chứ không phải với tư cách công ty; (2) cơ hội đó không thiết yếu đối với công ty; (3) công ty không nắm giữ quyền lợi hoặc kỳ vọng nào đối với cơ hội đó; và (4) giám đốc hoặc viên chức đã không sử dụng một cách sai trái các nguồn lực của công ty để theo đuổi hoặc khai thác cơ hội đó.” </w:t>
      </w:r>
      <w:r>
        <w:rPr>
          <w:b w:val="0"/>
          <w:i/>
        </w:rPr>
        <w:t>Broz,</w:t>
      </w:r>
      <w:r>
        <w:rPr>
          <w:b w:val="0"/>
          <w:i w:val="0"/>
        </w:rPr>
        <w:t xml:space="preserve"> 673 A.2d at 155</w:t>
      </w:r>
    </w:p>
    <w:p>
      <w:pPr>
        <w:spacing w:after="80"/>
      </w:pPr>
      <w:r>
        <w:rPr>
          <w:b w:val="0"/>
          <w:i w:val="0"/>
        </w:rPr>
        <w:t xml:space="preserve">Quy tắc được nêu trong các án lệ Delaware phù hợp với kinh tế, chính sách công và trách nhiệm công dân. Nói đơn giản, con người không phải là thiên thần. Chúng ta cần các cấu trúc để điều chỉnh hành vi. </w:t>
      </w:r>
      <w:r>
        <w:rPr>
          <w:b w:val="0"/>
          <w:i/>
        </w:rPr>
        <w:t>Xem</w:t>
      </w:r>
      <w:r>
        <w:rPr>
          <w:b w:val="0"/>
          <w:i w:val="0"/>
        </w:rPr>
        <w:t xml:space="preserve"> FEDERALIST NO. 51. Cấu trúc doanh nghiệp tất yếu đòi hỏi sự tách biệt giữa quyền sở hữu và quyền kiểm soát, điều này tạo ra một xung đột: các cổ đông là những người chịu rủi ro chính, nhưng hội đồng quản trị lại được trao quyền đưa ra các quyết định quản lý. Việc tập trung thẩm quyền ra quyết định vào một hội đồng quản trị mang lại hiệu quả ở chỗ các cổ đông có thể đa dạng hóa lợi ích của mình, và điều này đến lượt nó đã đóng góp vào sự tăng trưởng và phát triển kinh tế đáng kể. Tuy nhiên, việc tập trung quyền ra quyết định vào những cá nhân không nhất thiết phải chịu rủi ro lại tạo ra sự lệch pha về lợi ích. Mục đích chung của các nguyên tắc quản trị doanh nghiệp, cụ thể là các nghĩa vụ cẩn trọng và trung thành, là để kiểm soát những rủi ro đạo đức phát sinh khi các giám đốc hoặc né tránh trách nhiệm của mình hoặc mưu lợi cho bản thân. Nếu không có các nguyên tắc quản trị doanh nghiệp mạnh mẽ, niềm tin làm nền tảng cho quyết định đầu tư của cổ đông sẽ tan biến, kéo theo những hệ quả kinh tế rộng lớn hơn.</w:t>
      </w:r>
    </w:p>
    <w:p>
      <w:pPr>
        <w:spacing w:after="80"/>
      </w:pPr>
      <w:r>
        <w:rPr>
          <w:b w:val="0"/>
          <w:i w:val="0"/>
        </w:rPr>
        <w:t xml:space="preserve">Việc liệu một cơ hội doanh nghiệp có bị chiếm đoạt hay không là “một câu hỏi thực tế cần được quyết định bằng những suy luận hợp lý từ các sự kiện khách quan.” </w:t>
      </w:r>
      <w:r>
        <w:rPr>
          <w:b w:val="0"/>
          <w:i/>
        </w:rPr>
        <w:t>Guth,</w:t>
      </w:r>
      <w:r>
        <w:rPr>
          <w:b w:val="0"/>
          <w:i w:val="0"/>
        </w:rPr>
        <w:t xml:space="preserve"> 5 A.2d at 513.</w:t>
      </w:r>
    </w:p>
    <w:p>
      <w:pPr>
        <w:spacing w:after="80"/>
      </w:pPr>
      <w:r>
        <w:rPr>
          <w:b w:val="0"/>
          <w:i w:val="0"/>
        </w:rPr>
        <w:t>Học Thuyết Cơ Hội Doanh Nghiệp Áp Dụng Cho Một Giám Đốc Đồng Thời Là Nhà Phát Minh</w:t>
      </w:r>
    </w:p>
    <w:p>
      <w:pPr>
        <w:spacing w:after="80"/>
      </w:pPr>
      <w:r>
        <w:rPr>
          <w:b w:val="0"/>
          <w:i w:val="0"/>
        </w:rPr>
        <w:t>Xuyên suốt vụ án này, các bị đơn đã lập luận rằng học thuyết cơ hội doanh nghiệp không thể áp dụng trong trường hợp, như ở đây, một giám đốc phát minh ra một công nghệ, ngay cả khi công nghệ đó cạnh tranh trực tiếp với công nghệ của công ty mà ông ta phục vụ. Các bị đơn cho rằng vì Chocolate là tài sản trí tuệ thuộc về Konstantino và là sản phẩm của sự đổi mới do chính ông tạo ra, điều này tất yếu loại bỏ mọi nghĩa vụ ủy thác phải trao Chocolate cho AngioScore. Tòa án không đồng ý.</w:t>
      </w:r>
    </w:p>
    <w:p>
      <w:pPr>
        <w:spacing w:after="80"/>
      </w:pPr>
      <w:r>
        <w:rPr>
          <w:b w:val="0"/>
          <w:i w:val="0"/>
        </w:rPr>
        <w:t xml:space="preserve">Việc là nhà phát minh không miễn trừ một giám đốc khỏi các nghĩa vụ ủy thác của mình đối với những phát minh mà ông ta có thể phát triển để cạnh tranh với công ty mà ông ta phục vụ. Nếu phán quyết ngược lại sẽ tạo ra một điều vô lý. Các giám đốc công ty sẽ được tự do phát minh và phát triển các công nghệ cạnh tranh vì lợi ích riêng của họ, che giấu điều đó với các công ty mà họ phục vụ, ngay cả khi các yếu tố của những phát minh đó có khả năng mang lại lợi ích cho các công ty. Kịch bản này hoàn toàn đối lập với các nguyên tắc nền tảng của quản trị doanh nghiệp, vốn đòi hỏi các giám đốc phải đặt lợi ích của các công ty mà họ phục vụ lên trên lợi ích của chính mình. </w:t>
      </w:r>
      <w:r>
        <w:rPr>
          <w:b w:val="0"/>
          <w:i/>
        </w:rPr>
        <w:t>Guth,</w:t>
      </w:r>
      <w:r>
        <w:rPr>
          <w:b w:val="0"/>
          <w:i w:val="0"/>
        </w:rPr>
        <w:t xml:space="preserve"> 5 A.2d at 510 (“quy tắc . . . đòi hỏi ở một viên chức hoặc giám đốc công ty, một cách dứt khoát và không lay chuyển, sự tuân thủ tận tâm nhất đối với nghĩa vụ của mình, không chỉ chủ động bảo vệ lợi ích của công ty được giao phó cho mình, mà còn phải kiềm chế không làm bất cứ điều gì gây tổn hại cho công ty, hoặc tước đi lợi nhuận hay lợi thế mà kỹ năng và khả năng của mình có thể mang lại một cách chính đáng cho công ty, hoặc để giúp công ty đạt được điều đó trong việc thực thi các quyền hạn của mình một cách hợp lý và hợp pháp.”). Nghiêm trọng nhất, việc mở rộng quy tắc mà các bị đơn ưa thích sẽ khiến các giám đốc phải mang lòng trung thành bị chia rẽ. Lập trường đó là không thể chấp nhận được. </w:t>
      </w:r>
      <w:r>
        <w:rPr>
          <w:b w:val="0"/>
          <w:i/>
        </w:rPr>
        <w:t>Xem id.</w:t>
      </w:r>
      <w:r>
        <w:rPr>
          <w:b w:val="0"/>
          <w:i w:val="0"/>
        </w:rPr>
        <w:t xml:space="preserve"> (“quy tắc . . . đòi hỏi rằng không được có xung đột giữa nghĩa vụ và tư lợi”). Quy tắc này hợp lý về mặt logic. Một giám đốc có thể rời khỏi công ty, qua đó giải tán các nghĩa vụ mà mình mang. Một công ty thì không thể, và do đó phải dựa vào lòng trung thành không tì vết. . . .</w:t>
      </w:r>
    </w:p>
    <w:p>
      <w:pPr>
        <w:spacing w:after="80"/>
      </w:pPr>
      <w:r>
        <w:rPr>
          <w:b w:val="0"/>
          <w:i w:val="0"/>
        </w:rPr>
        <w:t xml:space="preserve">Đồng thời, lập trường của AngioScore cũng không thể chấp nhận được. AngioScore cho rằng nhờ vào vị trí giám đốc của Konstantino, AngioScore có quyền đối với Chocolate một cách hoàn toàn, và do đó Konstantino có nghĩa vụ </w:t>
      </w:r>
      <w:r>
        <w:rPr>
          <w:b w:val="0"/>
          <w:i/>
        </w:rPr>
        <w:t>trao</w:t>
      </w:r>
      <w:r>
        <w:rPr>
          <w:b w:val="0"/>
          <w:i w:val="0"/>
        </w:rPr>
        <w:t xml:space="preserve"> cơ hội đó cho AngioScore. Việc mở rộng logic của lập trường này cho thấy tính bất hợp lý của nó. Nếu đúng như vậy, thỏa thuận chuyển nhượng phát minh của Konstantino lẽ ra đã là thừa ngay từ đầu, và tất cả các thỏa thuận chuyển nhượng phát minh giữa các giám đốc và các công ty mà họ phục vụ cũng vậy. Tòa án không thể bỏ qua tác động mà một quy tắc như vậy sẽ gây ra trong bối cảnh tài sản trí tuệ và các công nghệ mới nổi. Điều quan trọng là, việc phán quyết rằng các giám đốc đồng thời là nhà đổi mới phải nhượng lại cho các công ty mà họ phục vụ những công nghệ thuộc ngành kinh doanh của công ty đó, mà công ty có quyền lợi hoặc kỳ vọng, hoặc phù hợp với mục đích và mục tiêu kinh doanh của công ty, sẽ làm suy yếu sự đổi mới. Thật vậy, phán quyết theo yêu cầu của AngioScore sẽ lật ngược các nguyên tắc nền tảng của tài sản trí tuệ liên quan đến quyền của nhà phát minh, vốn được thiết kế để khuyến khích, chứ không phải làm nản lòng, sự khéo léo và đổi mới. Việc vụ án này liên quan đến một thiết bị y tế, hiện đang được sử dụng trong các thủ thuật y tế tại đất nước này, chỉ càng nhấn mạnh thêm lợi ích công cộng đối với sự đổi mới.</w:t>
      </w:r>
    </w:p>
    <w:p>
      <w:pPr>
        <w:spacing w:after="80"/>
      </w:pPr>
      <w:r>
        <w:rPr>
          <w:b w:val="0"/>
          <w:i w:val="0"/>
        </w:rPr>
        <w:t xml:space="preserve">Với những lập trường này, các bên đặt ra một sự căng thẳng: liệu các nghĩa vụ ủy thác có mở rộng đến mức thỏa hiệp, thậm chí có thể gây chết người, đối với sự đổi mới; hay ngược lại, liệu sự khéo léo và đổi mới của một giám đốc có tạo ra một lối thoát khỏi các nghĩa vụ ủy thác của mình hay không? Không thái cực nào thắng thế. Tòa án phải áp dụng các nguyên tắc của pháp luật theo cách cân bằng giữa chính sách công khôn ngoan đằng sau quy tắc </w:t>
      </w:r>
      <w:r>
        <w:rPr>
          <w:b w:val="0"/>
          <w:i/>
        </w:rPr>
        <w:t>Guth</w:t>
      </w:r>
      <w:r>
        <w:rPr>
          <w:b w:val="0"/>
          <w:i w:val="0"/>
        </w:rPr>
        <w:t xml:space="preserve">, với chính sách công khuyến khích đổi mới. Vì lý do này, Tòa án nhận thấy rằng mặc dù AngioScore được Konstantino mang các nghĩa vụ ủy thác, những nghĩa vụ đó không cho AngioScore quyền sở hữu hoàn toàn đối với cơ hội Chocolate tại bất kỳ thời điểm nào. Thay vào đó, điều mà nghĩa vụ ủy thác của Konstantino đòi hỏi là ông phải trao cho AngioScore </w:t>
      </w:r>
      <w:r>
        <w:rPr>
          <w:b w:val="0"/>
          <w:i/>
        </w:rPr>
        <w:t>cơ hội để có được</w:t>
      </w:r>
      <w:r>
        <w:rPr>
          <w:b w:val="0"/>
          <w:i w:val="0"/>
        </w:rPr>
        <w:t xml:space="preserve"> các quyền đối với Chocolate. Tòa án không cần phải đi sâu vào chi tiết của một giao dịch như vậy, nhưng vì đã chọn ở lại trong hội đồng quản trị của AngioScore, việc trao cơ hội đó phải diễn ra để thỏa mãn cả luật về nghĩa vụ ủy thác lẫn lợi ích công cộng đối với sự đổi mới. Việc trao cơ hội cho AngioScore đáp ứng yêu cầu của Delaware rằng các giám đốc không được tiến hành bất kỳ hoạt động nào gây tổn hại cho công ty mà họ phục vụ và phải đặt lợi ích của các công ty đó lên trên lợi ích của chính mình. Điều đó cũng phù hợp với nghĩa vụ của các giám đốc là không “làm bất cứ điều gì” gây “tước đi” lợi nhuận hay lợi thế mà “kỹ năng và khả năng của [họ] có thể mang lại một cách chính đáng” cho các công ty mà họ phục vụ. </w:t>
      </w:r>
      <w:r>
        <w:rPr>
          <w:b w:val="0"/>
          <w:i/>
        </w:rPr>
        <w:t>Guth,</w:t>
      </w:r>
      <w:r>
        <w:rPr>
          <w:b w:val="0"/>
          <w:i w:val="0"/>
        </w:rPr>
        <w:t xml:space="preserve"> 5 A.2d at 510. Và điều đó vẫn trung thành với nguyên tắc chung rằng một giám đốc có thể chứng minh một cách dứt khoát rằng mình không vi phạm nghĩa vụ ủy thác khi, với việc đặt lợi ích của công ty mà mình phục vụ lên hàng đầu, công ty được trao cơ hội đó và từ chối nó. Bằng việc đảm bảo rằng tính minh bạch và thiện chí chiếm ưu thế, việc áp dụng quy tắc theo cách này đảm bảo rằng mọi xung đột đều có thể được giải quyết.</w:t>
      </w:r>
    </w:p>
    <w:p>
      <w:pPr>
        <w:spacing w:after="80"/>
      </w:pPr>
      <w:r>
        <w:rPr>
          <w:b w:val="0"/>
          <w:i w:val="0"/>
        </w:rPr>
        <w:t>Áp Dụng Học Thuyết Cơ Hội Doanh Nghiệp</w:t>
      </w:r>
    </w:p>
    <w:p>
      <w:pPr>
        <w:spacing w:after="80"/>
      </w:pPr>
      <w:r>
        <w:rPr>
          <w:b w:val="0"/>
          <w:i w:val="0"/>
        </w:rPr>
        <w:t xml:space="preserve">Pháp luật lâu đời đòi hỏi rằng một số “cơ hội” nhất định phải được trao cho công ty. Định nghĩa của một “cơ hội” là “một thời điểm thuận lợi của các hoàn cảnh” hoặc “một cơ may tốt để tiến bộ hoặc phát triển.” Merriam-Webster, </w:t>
      </w:r>
      <w:r>
        <w:rPr>
          <w:b w:val="0"/>
          <w:i/>
        </w:rPr>
        <w:t>New Collegiate Dictionary</w:t>
      </w:r>
      <w:r>
        <w:rPr>
          <w:b w:val="0"/>
          <w:i w:val="0"/>
        </w:rPr>
        <w:t xml:space="preserve"> (9th ed. 1988). Các bằng chứng được đưa ra trong vụ án này chứng minh một cách dứt khoát rằng tính đến ngày Konstantino từ chức khỏi hội đồng quản trị của AngioScore, Chocolate là một cơ hội kinh doanh cụ thể. Đến thời điểm đó, Chocolate đã phát triển từ một ý tưởng đơn thuần thành một cơ hội cụ thể. Nó đã được phát triển trong khoảng năm tháng. Các cuộc thảo luận “động não” ban đầu trong nửa cuối năm 2009 đã dẫn đến việc tạo ra nhiều mô hình thiết kế kỹ thuật, tiếp theo là các mô hình vật lý và nguyên mẫu. Đến tháng 1 năm 2010, thiết kế Chocolate đã hoàn thiện đến mức các nguyên mẫu phù hợp để thử nghiệm, và thực tế, nó đã là đối tượng của một nghiên cứu trên lợn tại Stanford, mà các nhân viên TriReme và Konstantino đã tham dự.</w:t>
      </w:r>
    </w:p>
    <w:p>
      <w:pPr>
        <w:spacing w:after="80"/>
      </w:pPr>
      <w:r>
        <w:rPr>
          <w:b w:val="0"/>
          <w:i w:val="0"/>
        </w:rPr>
        <w:t>Chocolate không chỉ được phát triển đủ để có thể thử nghiệm, mà sự phát triển của Chocolate đã tiến xa đến mức Konstantino cảm thấy phù hợp để tiếp thị nó như một cơ hội cho các nhà đầu tư.</w:t>
      </w:r>
    </w:p>
    <w:p>
      <w:pPr>
        <w:spacing w:after="80"/>
      </w:pPr>
      <w:r>
        <w:rPr>
          <w:b w:val="0"/>
          <w:i w:val="0"/>
        </w:rPr>
        <w:t>Nếu cơ hội Chocolate đủ cụ thể đối với hai mươi đến ba mươi nhà đầu tư, thì nó cũng đủ phát triển để được trao cho AngioScore. Tòa án nhận thấy như vậy.</w:t>
      </w:r>
    </w:p>
    <w:p>
      <w:pPr>
        <w:spacing w:after="80"/>
      </w:pPr>
      <w:r>
        <w:rPr>
          <w:b w:val="0"/>
          <w:i w:val="0"/>
        </w:rPr>
        <w:t>* * *</w:t>
      </w:r>
    </w:p>
    <w:p>
      <w:pPr>
        <w:spacing w:after="80"/>
      </w:pPr>
      <w:r>
        <w:rPr>
          <w:b w:val="0"/>
          <w:i w:val="0"/>
        </w:rPr>
        <w:t>Một cơ hội nằm trong ngành kinh doanh của một công ty nếu nó là “một hoạt động mà [công ty] có kiến thức nền tảng, kinh nghiệm thực tiễn và khả năng theo đuổi, mà về mặt logic và tự nhiên, có thể thích ứng với hoạt động kinh doanh của công ty khi xét đến vị thế tài chính của công ty, và là một hoạt động phù hợp với các nhu cầu và khát vọng mở rộng hợp lý của công ty.” Yếu tố này phải được giải thích theo nghĩa rộng.</w:t>
      </w:r>
    </w:p>
    <w:p>
      <w:pPr>
        <w:spacing w:after="80"/>
      </w:pPr>
      <w:r>
        <w:rPr>
          <w:b w:val="0"/>
          <w:i w:val="0"/>
        </w:rPr>
        <w:t>Tòa án nhận thấy rằng Chocolate thuộc ngành kinh doanh của AngioScore. Kể từ khi thành lập vào năm 2003, AngioScore đã thiết kế, sản xuất và tiếp thị các ống thông bóng nong mạch được bao quanh bởi một cấu trúc nitinol, được sử dụng để điều trị bệnh tim mạch và được bán dưới tên thương hiệu AngioSculpt. Các bằng chứng chứng minh một cách dứt khoát rằng AngioSculpt và Chocolate tương tự nhau cả về mục đích lẫn chức năng.</w:t>
      </w:r>
    </w:p>
    <w:p>
      <w:pPr>
        <w:spacing w:after="80"/>
      </w:pPr>
      <w:r>
        <w:rPr>
          <w:b w:val="0"/>
          <w:i w:val="0"/>
        </w:rPr>
        <w:t>Theo luật Delaware, yếu tố “lĩnh vực kinh doanh” (line of business) phải được giải thích theo nghĩa rộng. Tòa án nhận thấy yếu tố này đã được thỏa mãn trong trường hợp này. Những điểm tương đồng về mục đích và chức năng đã chứng minh rằng AngioScore có “kiến thức nền tảng và kinh nghiệm thực tiễn” (fundamental knowledge and practical experience) để theo đuổi Chocolate. Việc AngioScore trước nay tập trung vào các sản phẩm “cạo” (scored) mảng xơ vữa không phải là vấn đề quan trọng, bởi vì các thiết bị này về cơ bản là tương tự nhau và những khác biệt của chúng chỉ là các biến thể trên cùng một chủ đề chung. Hơn nữa, với các tính năng và thiết kế chồng lấn, quy trình sản xuất và phân phối của AngioScore hoàn toàn có thể được điều chỉnh một cách dễ dàng để phù hợp với Chocolate. Tất cả các bộ phận cấu thành của Chocolate về cơ bản đều giống với các bộ phận của AngioSculpt.</w:t>
      </w:r>
    </w:p>
    <w:p>
      <w:pPr>
        <w:spacing w:after="80"/>
      </w:pPr>
      <w:r>
        <w:rPr>
          <w:b w:val="0"/>
          <w:i w:val="0"/>
        </w:rPr>
        <w:t>Dựa trên những phát hiện nêu trên, kết luận là không thể tránh khỏi rằng Chocolate “về mặt logic và tự nhiên . . . thích ứng với hoạt động kinh doanh của [AngioScore].”</w:t>
      </w:r>
    </w:p>
    <w:p>
      <w:pPr>
        <w:spacing w:after="80"/>
      </w:pPr>
      <w:r>
        <w:rPr>
          <w:b w:val="0"/>
          <w:i w:val="0"/>
        </w:rPr>
        <w:t>* * *</w:t>
      </w:r>
    </w:p>
    <w:p>
      <w:pPr>
        <w:spacing w:after="80"/>
      </w:pPr>
      <w:r>
        <w:rPr>
          <w:b w:val="0"/>
          <w:i w:val="0"/>
        </w:rPr>
        <w:t xml:space="preserve">“[Đ]ể một công ty có lợi ích kỳ vọng (expectant interest) đối với bất kỳ tài sản cụ thể nào, phải có một mối liên hệ nào đó giữa tài sản đó và bản chất hoạt động kinh doanh của công ty.” Bằng cách yêu cầu phải có mối liên hệ với ‘bản chất hoạt động kinh doanh của công ty’, yếu tố này “liên quan đến nhiều vấn đề” đã được thảo luận ở trên liên quan đến lĩnh vực kinh doanh của AngioScore. Tuy nhiên, ngay cả khi có một “mối liên hệ” giữa lĩnh vực kinh doanh của một công ty và cơ hội tiềm năng, Tòa án vẫn có thể từ chối tìm ra lợi ích hoặc kỳ vọng khi các sự kiện chứng minh rằng công ty đang chuyển dịch khỏi lĩnh vực kinh doanh truyền thống của mình, khi công ty từ chối lợi ích đó, và khi công ty thiếu khả năng tận dụng lợi ích đó. Trong </w:t>
      </w:r>
      <w:r>
        <w:rPr>
          <w:b w:val="0"/>
          <w:i/>
        </w:rPr>
        <w:t>Broz,</w:t>
      </w:r>
      <w:r>
        <w:rPr>
          <w:b w:val="0"/>
          <w:i w:val="0"/>
        </w:rPr>
        <w:t xml:space="preserve"> chẳng hạn, Tòa án Tối cao Delaware đã phát hiện rằng không có lợi ích hay kỳ vọng nào khi một công ty đang thoái vốn trong lĩnh vực mà cơ hội tiềm năng phát sinh, và khi kế hoạch kinh doanh của công ty không dự tính bất kỳ thương vụ mua lại mới nào. </w:t>
      </w:r>
      <w:r>
        <w:rPr>
          <w:b w:val="0"/>
          <w:i/>
        </w:rPr>
        <w:t>Broz,</w:t>
      </w:r>
      <w:r>
        <w:rPr>
          <w:b w:val="0"/>
          <w:i w:val="0"/>
        </w:rPr>
        <w:t xml:space="preserve"> 673 A.2d at 156. Việc điều tra đòi hỏi tòa án phải sử dụng phán đoán của mình để nhận định liệu, dựa trên bối cảnh thực tế của từng vụ việc cụ thể, công ty có lợi ích “</w:t>
      </w:r>
      <w:r>
        <w:rPr>
          <w:b w:val="0"/>
          <w:i/>
        </w:rPr>
        <w:t>thực tế hoặc kỳ vọng,</w:t>
      </w:r>
      <w:r>
        <w:rPr>
          <w:b w:val="0"/>
          <w:i w:val="0"/>
        </w:rPr>
        <w:t xml:space="preserve"> ” hay liệu việc mua lại tài sản cho mục đích sử dụng riêng của một giám đốc “có thể cản trở hoặc phá hỏng các kế hoạch và mục đích của công ty trong việc tiến hành hoặc phát triển hoạt động kinh doanh hợp pháp mà công ty được thành lập vì mục đích đó.”</w:t>
      </w:r>
    </w:p>
    <w:p>
      <w:pPr>
        <w:spacing w:after="80"/>
      </w:pPr>
      <w:r>
        <w:rPr>
          <w:b w:val="0"/>
          <w:i w:val="0"/>
        </w:rPr>
        <w:t>Như đã trình bày chi tiết trong phần thảo luận trước, Tòa án nhận thấy rằng tồn tại “một mối liên hệ nào đó” giữa Chocolate và bản chất hoạt động kinh doanh của AngioScore. Cả hai thiết bị đều là ống thông bóng nong mạch (angioplasty balloon catheters) phục vụ các mục đích tương tự nhau và được chế tạo từ cùng một loại vật liệu. Tuy nhiên, vượt xa mối liên hệ lỏng lẻo mà tiêu chuẩn “một mối liên hệ nào đó” gợi ra, Tòa án nhận thấy rằng vào năm 2009 và đầu năm 2010, AngioScore có lợi ích thực tế và kỳ vọng đối với Chocolate nhờ vào các nhu cầu và mục đích kinh doanh hiện hữu của mình vào thời điểm đó, cũng như các tính năng độc đáo và lợi ích tiềm năng của Chocolate đối với AngioScore. Tòa án đưa ra phát hiện này vì ba lý do chính: (1) cấu hình thiết kế của Chocolate có thể đã tỏ ra hữu ích, và ít nhất, sẽ được xem xét một cách nghiêm túc trong việc giải quyết vấn đề hiện hữu của AngioScore về việc tạo ra các thiết bị AngioSculpt có chiều dài 100mm; (2) tiềm năng của Chocolate như một công nghệ bóng nong chuyên dụng phóng thích thuốc (drug-eluting specialty balloon technology) phù hợp với mục tiêu kinh doanh của AngioScore là đưa một thiết bị như vậy ra thị trường; và (3) AngioScore có lợi ích trong việc ngăn chặn một đối thủ cạnh tranh trực tiếp tham gia vào thị trường bóng nong chuyên dụng tương đối nhỏ này. Tổng hợp lại, những kết luận này buộc phải đưa ra phát hiện rằng AngioScore có lợi ích và kỳ vọng đối với Chocolate tính đến, muộn nhất là, ngày Konstantino từ chức khỏi hội đồng quản trị của công ty.</w:t>
      </w:r>
    </w:p>
    <w:p>
      <w:pPr>
        <w:spacing w:after="80"/>
      </w:pPr>
      <w:r>
        <w:rPr>
          <w:b w:val="0"/>
          <w:i w:val="0"/>
        </w:rPr>
        <w:t>Theo đó, Tòa án nhận thấy rằng AngioScore có lợi ích và kỳ vọng đối với cơ hội Chocolate.</w:t>
      </w:r>
    </w:p>
    <w:p>
      <w:pPr>
        <w:spacing w:after="80"/>
      </w:pPr>
      <w:r>
        <w:rPr>
          <w:b w:val="0"/>
          <w:i w:val="0"/>
        </w:rPr>
        <w:t>AngioScore Có Năng Lực Tài Chính Để Khai Thác Cơ Hội Chocolate</w:t>
      </w:r>
    </w:p>
    <w:p>
      <w:pPr>
        <w:spacing w:after="80"/>
      </w:pPr>
      <w:r>
        <w:rPr>
          <w:b w:val="0"/>
          <w:i w:val="0"/>
        </w:rPr>
        <w:t xml:space="preserve">Tòa án nhận thấy rằng AngioScore có khả năng tài chính để khai thác Chocolate. Khi đưa ra phát hiện này, Tòa án lưu tâm rằng theo luật Delaware, nhánh lập luận này liên quan đến những mối quan tâm chính sách rộng hơn có lợi hơn cho công ty. Những mối quan tâm như vậy xuất phát từ xung đột cố hữu giữa một bên là một giám đốc có quyền kiểm soát và trách nhiệm đối với sự an toàn tài chính của công ty mà ông ta phục vụ, và một bên là lợi ích cá nhân tiềm tàng của giám đốc đó trong việc đảm bảo rằng công ty không có nền tảng tài chính vững chắc để cho phép chiếm đoạt những gì lẽ ra có thể là một cơ hội của công ty. Do đó, một khi nguyên đơn đã đưa ra được chứng cứ </w:t>
      </w:r>
      <w:r>
        <w:rPr>
          <w:b w:val="0"/>
          <w:i/>
        </w:rPr>
        <w:t>sơ bộ</w:t>
      </w:r>
      <w:r>
        <w:rPr>
          <w:b w:val="0"/>
          <w:i w:val="0"/>
        </w:rPr>
        <w:t xml:space="preserve"> (prima facie) về khả năng tài chính như vậy, người có nghĩa vụ ủy thác (fiduciary) “phải đối mặt với một gánh nặng đáng kể trong việc chứng minh rằng công ty không có khả năng tài chính để tận dụng một cơ hội của công ty.” Các bị đơn đã không chứng minh được rằng AngioScore không có khả năng tận dụng cơ hội Chocolate. Ngược lại, AngioScore đã chứng minh rằng họ có thể đã tận dụng Chocolate nếu Konstantino đã đề nghị cơ hội đó.</w:t>
      </w:r>
    </w:p>
    <w:p>
      <w:pPr>
        <w:spacing w:after="80"/>
      </w:pPr>
      <w:r>
        <w:rPr>
          <w:b w:val="0"/>
          <w:i w:val="0"/>
        </w:rPr>
        <w:t xml:space="preserve">Bằng chứng về chi phí để phát triển Chocolate có khác nhau, nhưng trong mọi trường hợp, đều phản ánh một số tiền ban đầu </w:t>
      </w:r>
      <w:r>
        <w:rPr>
          <w:b w:val="0"/>
          <w:i/>
        </w:rPr>
        <w:t>thấp hơn</w:t>
      </w:r>
      <w:r>
        <w:rPr>
          <w:b w:val="0"/>
          <w:i w:val="0"/>
        </w:rPr>
        <w:t xml:space="preserve"> số tiền mặt mà AngioScore có trong tay vào cuối năm 2009 và đầu năm 2010. Theo một email ngày 17 tháng 11 năm 2009, Konstantino ước tính nhu cầu vốn khoảng 3 triệu đô la. Đến tháng 5 năm 2010, Konstantino đã huy động đủ vốn để theo đuổi Chocolate “cho đến tận lần bán thương mại đầu tiên”; tổng số tiền huy động được tính đến thời điểm đó là 4,5 đến 5 triệu đô la. Cuối cùng, đối với số tiền cần thiết để mua lại việc chuyển nhượng quyền sở hữu trí tuệ đối với Chocolate, hồ sơ cho thấy giá trị đó là 370.000 đô la tiền mặt và mức phí bản quyền (royalty) 5%. Tuy nhiên, trong trường hợp quyền đó được mua lại, không có gì cho thấy rằng AngioScore sẽ có nghĩa vụ phải phát triển Chocolate.</w:t>
      </w:r>
    </w:p>
    <w:p>
      <w:pPr>
        <w:spacing w:after="80"/>
      </w:pPr>
      <w:r>
        <w:rPr>
          <w:b w:val="0"/>
          <w:i w:val="0"/>
        </w:rPr>
        <w:t>Dựa trên những con số nêu trên, ngay cả khi giả định rằng Chocolate sẽ tốn 5 triệu đô la để phát triển, Tòa án nhận thấy rằng AngioScore có thể khai thác cơ hội này thông qua một số con đường. Thứ nhất, AngioScore có khoảng 17 triệu đô la tiền mặt trong tay vào tháng 10 năm 2009, và hơn 15 triệu đô la tiền mặt trong tay vào cuối năm 2009. Thứ hai, với tư cách là một doanh nghiệp đang hoạt động với các mối quan hệ hiện hữu, AngioScore có thể đã huy động được vốn từ các nhà đầu tư bên ngoài, chẳng hạn như Oxford Finance, hoặc các quỹ đầu tư mạo hiểm khác. Vào tháng 12 năm 2009, chẳng hạn, Oxford Capital đã bày tỏ sẵn sàng cho AngioScore vay từ 10 đến 20 triệu đô la. Thứ ba, AngioScore có thể đã chuyển hướng số tiền nghiên cứu và phát triển mà họ đang sử dụng để khắc phục các vấn đề thiết kế cho sản phẩm AngioSculpt 100mm của mình. Vị thế tài chính này tồn tại bất chấp việc cắt giảm nhân sự và các nguồn lực đã chi ra để đối phó với một cuộc điều tra của Bộ Tư pháp.</w:t>
      </w:r>
    </w:p>
    <w:p>
      <w:pPr>
        <w:spacing w:after="80"/>
      </w:pPr>
      <w:r>
        <w:rPr>
          <w:b w:val="0"/>
          <w:i w:val="0"/>
        </w:rPr>
        <w:t>Thực tế hoạt động của các công ty công nghệ mới càng củng cố thêm kết luận của Tòa án. Bản thân Konstantino đã thừa nhận rằng các công ty khởi nghiệp ở Thung lũng Silicon, chẳng hạn như AngioScore và TriReme, thường xuyên thiếu tiền mặt và đối mặt với nguy cơ cạn kiệt tiền. Ông còn nói thêm rằng việc một công ty như vậy không “có lợi nhuận” không có nghĩa là công ty đó “không thành công.” Ví dụ, TriReme không thể bán sản phẩm Antares của mình, một loại stent, tại Hoa Kỳ, và Antares chỉ có doanh số không đáng kể ở nước ngoài. Bất chấp vị thế tài chính hạn chế của TriReme, TriReme vẫn có thể phát triển Chocolate.</w:t>
      </w:r>
    </w:p>
    <w:p>
      <w:pPr>
        <w:spacing w:after="80"/>
      </w:pPr>
      <w:r>
        <w:rPr>
          <w:b w:val="0"/>
          <w:i w:val="0"/>
        </w:rPr>
        <w:t>Dựa trên những điều đã nêu ở trên, Tòa án nhận thấy rằng AngioScore có thể khai thác cơ hội Chocolate. Mặc dù đã được biết đến các tài liệu tài chính mật của AngioScore với tư cách là thành viên hội đồng quản trị của AngioScore, Konstantino chưa bao giờ đề cập đến chủ đề Chocolate với AngioScore.</w:t>
      </w:r>
    </w:p>
    <w:p>
      <w:pPr>
        <w:spacing w:after="80"/>
      </w:pPr>
      <w:r>
        <w:rPr>
          <w:b w:val="0"/>
          <w:i w:val="0"/>
        </w:rPr>
        <w:t>Bằng Việc Chiếm Đoạt Chocolate Cho Bản Thân, Konstantino Đã Đặt Mình Vào Vị Thế Đối Nghịch Với Các Nghĩa Vụ Ủy Thác Của Mình Đối Với AngioScore.</w:t>
      </w:r>
    </w:p>
    <w:p>
      <w:pPr>
        <w:spacing w:after="80"/>
      </w:pPr>
      <w:r>
        <w:rPr>
          <w:b w:val="0"/>
          <w:i w:val="0"/>
        </w:rPr>
        <w:t xml:space="preserve">Kết quả của những phát hiện nêu trên buộc phải đi đến kết luận rằng bằng việc chiếm đoạt cơ hội Chocolate cho bản thân và cho các công ty mà ông ta ưa thích, loại trừ AngioScore, Konstantino đã đặt mình vào một “vị thế đối nghịch với các nghĩa vụ của mình đối với công ty.” </w:t>
      </w:r>
      <w:r>
        <w:rPr>
          <w:b w:val="0"/>
          <w:i/>
        </w:rPr>
        <w:t>Broz,</w:t>
      </w:r>
      <w:r>
        <w:rPr>
          <w:b w:val="0"/>
          <w:i w:val="0"/>
        </w:rPr>
        <w:t xml:space="preserve"> 673 A.2d at 155. Về bản chất, ông ta đã trở thành một đối thủ cạnh tranh của AngioScore. Hiển nhiên rằng với tư cách đó, nếu không có sự miễn trừ được biết rõ nào từ AngioScore, Konstantino không bao giờ có thể hoàn thành nghĩa vụ trung thành (duty of loyalty) của mình đối với AngioScore. Bất kỳ khoản lợi nhuận tài chính nào mà Konstantino hưởng được đều xuất phát từ sự thành công của Chocolate trên thị trường bóng nong chuyên dụng hạn chế, nơi AngioScore là một nhân tố chủ chốt. Thật vậy, trong khi đang ngồi trong hội đồng quản trị của AngioScore, Konstantino đã tham gia vào một chiến lược mà theo thiết kế, Chocolate sẽ cạnh tranh với AngioScore. Giá của Chocolate được gắn một cách rõ ràng với giá của AngioSculpt, </w:t>
      </w:r>
      <w:r>
        <w:rPr>
          <w:b w:val="0"/>
          <w:i/>
        </w:rPr>
        <w:t>tức là chính xác</w:t>
      </w:r>
      <w:r>
        <w:rPr>
          <w:b w:val="0"/>
          <w:i w:val="0"/>
        </w:rPr>
        <w:t xml:space="preserve"> thấp hơn 25 đô la so với các sản phẩm của AngioScore. Việc Chocolate được định giá chỉ thấp hơn AngioSculpt một chút là nhằm mục đích “thúc đẩy việc chấp nhận nhanh chóng” và “đạt được mức tăng trưởng nhanh hơn” trên thị trường ống thông bóng nong chuyên dụng. Hơn nữa, bản thân Konstantino đã ca ngợi những ưu điểm của Chocolate so với các bóng nong cạo mảng xơ vữa, bao gồm cả các thiết bị của AngioScore, khi ông ta tìm cách huy động vốn cho Chocolate.</w:t>
      </w:r>
    </w:p>
    <w:p>
      <w:pPr>
        <w:spacing w:after="80"/>
      </w:pPr>
      <w:r>
        <w:rPr>
          <w:b w:val="0"/>
          <w:i w:val="0"/>
        </w:rPr>
        <w:t>Do đó, yếu tố này đã được thỏa mãn, cũng như mọi yếu tố khác trong khiếu nại của AngioScore về việc vi phạm nghĩa vụ ủy thác.</w:t>
      </w:r>
    </w:p>
    <w:p>
      <w:pPr>
        <w:spacing w:after="80"/>
      </w:pPr>
      <w:r>
        <w:rPr>
          <w:b w:val="0"/>
          <w:i/>
        </w:rPr>
        <w:t>Biện pháp khắc phục</w:t>
      </w:r>
    </w:p>
    <w:p>
      <w:pPr>
        <w:spacing w:after="80"/>
      </w:pPr>
      <w:r>
        <w:rPr>
          <w:b w:val="0"/>
          <w:i w:val="0"/>
        </w:rPr>
        <w:t>Khung pháp lý</w:t>
      </w:r>
    </w:p>
    <w:p>
      <w:pPr>
        <w:spacing w:after="80"/>
      </w:pPr>
      <w:r>
        <w:rPr>
          <w:b w:val="0"/>
          <w:i w:val="0"/>
        </w:rPr>
        <w:t xml:space="preserve">Pháp luật căm ghét kẻ phản bội nghĩa vụ tín thác (fiduciary duty) của mình. Do đó, “[n]ếu một viên chức hoặc giám đốc của một công ty, vi phạm nghĩa vụ của mình với tư cách đó, giành lợi ích hoặc lợi thế cho bản thân, pháp luật buộc lợi ích thu được đó phải chịu một tín thác (trust) vì lợi ích của công ty, theo sự lựa chọn của công ty, đồng thời pháp luật từ chối trao cho kẻ phản bội mọi lợi ích và lợi nhuận.” </w:t>
      </w:r>
      <w:r>
        <w:rPr>
          <w:b w:val="0"/>
          <w:i/>
        </w:rPr>
        <w:t>Guth,</w:t>
      </w:r>
      <w:r>
        <w:rPr>
          <w:b w:val="0"/>
          <w:i w:val="0"/>
        </w:rPr>
        <w:t xml:space="preserve"> 5 A.2d at 510. Phạm vi của quy tắc này khá rộng lớn, bởi nó dựa trên “nền tảng rộng hơn của một chính sách công khôn ngoan rằng, nhằm mục đích </w:t>
      </w:r>
      <w:r>
        <w:rPr>
          <w:b w:val="0"/>
          <w:i/>
        </w:rPr>
        <w:t>loại bỏ mọi cám dỗ</w:t>
      </w:r>
      <w:r>
        <w:rPr>
          <w:b w:val="0"/>
          <w:i w:val="0"/>
        </w:rPr>
        <w:t xml:space="preserve"> , </w:t>
      </w:r>
      <w:r>
        <w:rPr>
          <w:b w:val="0"/>
          <w:i/>
        </w:rPr>
        <w:t>triệt tiêu mọi khả năng</w:t>
      </w:r>
      <w:r>
        <w:rPr>
          <w:b w:val="0"/>
          <w:i w:val="0"/>
        </w:rPr>
        <w:t xml:space="preserve"> sinh lợi từ việc vi phạm sự tín nhiệm do quan hệ tín thác áp đặt. Với mối quan hệ giữa các bên như vậy, một kết quả nhất định sẽ theo sau; và tín thác suy đoán (constructive trust) là phương tiện khắc phục mà qua đó sự đặt bản thân lên trước buộc phải nhường bước trước những đòi hỏi nghiêm khắc của lòng trung thành.” Khi nguyên đơn đã chứng minh rằng lợi ích của mình bị một người tín thác bất trung lật đổ, “công ty có thể chọn yêu cầu toàn bộ lợi ích của giao dịch cho chính mình, và pháp luật sẽ thiết lập một tín thác vì lợi ích của công ty đối với tài sản, lợi ích và lợi nhuận đã thu được như vậy.”</w:t>
      </w:r>
    </w:p>
    <w:p>
      <w:pPr>
        <w:spacing w:after="80"/>
      </w:pPr>
      <w:r>
        <w:rPr>
          <w:b w:val="0"/>
          <w:i w:val="0"/>
        </w:rPr>
        <w:t>Mặc dù đúng là thiệt hại phát sinh từ việc vi phạm nghĩa vụ tín thác phải được tính toán một cách rộng rãi, Tòa án Tối cao Delaware đã phán quyết rằng khi một số thiệt hại được yêu cầu không phải do vi phạm gây ra một cách trực tiếp (proximately caused), thì những thiệt hại đó không thể được bồi thường. Do đó, quan hệ nhân quả vẫn là một yếu tố cần xem xét đối với thiệt hại ngay cả trong bối cảnh vi phạm nghĩa vụ tín thác.</w:t>
      </w:r>
    </w:p>
    <w:p>
      <w:pPr>
        <w:spacing w:after="80"/>
      </w:pPr>
      <w:r>
        <w:rPr>
          <w:b w:val="0"/>
          <w:i w:val="0"/>
        </w:rPr>
        <w:t>Biện hộ về quan hệ nhân quả</w:t>
      </w:r>
    </w:p>
    <w:p>
      <w:pPr>
        <w:spacing w:after="80"/>
      </w:pPr>
      <w:r>
        <w:rPr>
          <w:b w:val="0"/>
          <w:i w:val="0"/>
        </w:rPr>
        <w:t>Các bị đơn đã lập luận xuyên suốt vụ án này rằng AngioScore đã không chứng minh được hành vi của các bị đơn gây thiệt hại cho AngioScore, hoặc vì (i) các thiết bị không cạnh tranh với nhau, hoặc (ii) Feld có quyền độc lập để phát triển Chocolate. Tòa án không bị thuyết phục.</w:t>
      </w:r>
    </w:p>
    <w:p>
      <w:pPr>
        <w:spacing w:after="80"/>
      </w:pPr>
      <w:r>
        <w:rPr>
          <w:b w:val="0"/>
          <w:i w:val="0"/>
        </w:rPr>
        <w:t>Thứ nhất, Chocolate và AngioSculpt cạnh tranh với nhau. Hồ sơ vụ án có nhiều bằng chứng hơn mức đủ để hỗ trợ kết luận rằng sự hiện diện của Chocolate trên thị trường đã gây thiệt hại cho AngioScore.</w:t>
      </w:r>
    </w:p>
    <w:p>
      <w:pPr>
        <w:spacing w:after="80"/>
      </w:pPr>
      <w:r>
        <w:rPr>
          <w:b w:val="0"/>
          <w:i w:val="0"/>
        </w:rPr>
        <w:t>Lập luận thứ hai của các bị đơn là do Feld có quyền độc lập để chuyển nhượng phần lợi ích của mình trong Chocolate, nên các bị đơn có quyền độc lập để phát triển Chocolate. Từ đó, họ lý luận rằng AngioScore không thể chứng minh hành vi của họ đã gây ra thiệt hại cho AngioScore, và AngioScore cũng không thể chứng minh rằng nếu cơ hội đó được Konstantino đưa ra, thì AngioScore đã có thể giành được quyền độc quyền đối với Chocolate. Tòa án bác bỏ kết luận này vì nó trái với các sự kiện trong hồ sơ và những suy luận hợp lý rút ra từ đó.</w:t>
      </w:r>
    </w:p>
    <w:p>
      <w:pPr>
        <w:spacing w:after="80"/>
      </w:pPr>
      <w:r>
        <w:rPr>
          <w:b w:val="0"/>
          <w:i w:val="0"/>
        </w:rPr>
        <w:t>Biện pháp khắc phục được tuyên</w:t>
      </w:r>
    </w:p>
    <w:p>
      <w:pPr>
        <w:spacing w:after="80"/>
      </w:pPr>
      <w:r>
        <w:rPr>
          <w:b w:val="0"/>
          <w:i w:val="0"/>
        </w:rPr>
        <w:t>Konstantino không được giữ lại bất kỳ lợi ích nào mà ông ta nhận được do hậu quả của việc vi phạm của mình.</w:t>
      </w:r>
    </w:p>
    <w:p>
      <w:pPr>
        <w:spacing w:after="80"/>
      </w:pPr>
      <w:r>
        <w:rPr>
          <w:b w:val="0"/>
          <w:i w:val="0"/>
        </w:rPr>
        <w:t xml:space="preserve">Theo </w:t>
      </w:r>
      <w:r>
        <w:rPr>
          <w:b w:val="0"/>
          <w:i/>
        </w:rPr>
        <w:t>Guth,</w:t>
      </w:r>
      <w:r>
        <w:rPr>
          <w:b w:val="0"/>
          <w:i w:val="0"/>
        </w:rPr>
        <w:t xml:space="preserve"> các biện pháp khắc phục sẵn có trong một vụ vi phạm nghĩa vụ được thiết kế để “từ chối trao cho kẻ phản bội mọi lợi ích và lợi nhuận.” </w:t>
      </w:r>
      <w:r>
        <w:rPr>
          <w:b w:val="0"/>
          <w:i/>
        </w:rPr>
        <w:t>Guth,</w:t>
      </w:r>
      <w:r>
        <w:rPr>
          <w:b w:val="0"/>
          <w:i w:val="0"/>
        </w:rPr>
        <w:t xml:space="preserve"> 5 A.2d at 510. AngioScore đã chứng minh rằng lợi ích của mình bị một người tín thác bất trung lật đổ, và giờ đây có thể “chọn yêu cầu toàn bộ lợi ích của giao dịch cho chính mình.”</w:t>
      </w:r>
    </w:p>
    <w:p>
      <w:pPr>
        <w:spacing w:after="80"/>
      </w:pPr>
      <w:r>
        <w:rPr>
          <w:b w:val="0"/>
          <w:i w:val="0"/>
        </w:rPr>
        <w:t>Theo đó, Konstantino không được giữ lại bất kỳ lợi ích nào từ việc vi phạm của mình. Kết quả này, dù có thể bị coi là khắc nghiệt, được thiết kế để ngăn chặn hành vi như vậy ngay từ đầu. Nó khác với các biện pháp khắc phục theo hợp đồng và làm nhiều hơn việc chỉ đưa AngioScore trở lại vị trí mà nó lẽ ra đã có nếu vi phạm chưa từng xảy ra. Nó có tác dụng ngăn chặn những vi phạm trong tương lai.</w:t>
      </w:r>
    </w:p>
    <w:p>
      <w:pPr>
        <w:spacing w:after="80"/>
      </w:pPr>
      <w:r>
        <w:rPr>
          <w:b w:val="0"/>
          <w:i w:val="0"/>
        </w:rPr>
        <w:t>Tòa án tuyên cho AngioScore khoản lợi nhuận bị mất trong quá khứ và tương lai như là biện pháp khắc phục công bằng (equitable remedy) thích hợp nhất.</w:t>
      </w:r>
    </w:p>
    <w:p>
      <w:pPr>
        <w:spacing w:after="80"/>
      </w:pPr>
      <w:r>
        <w:rPr>
          <w:b w:val="0"/>
          <w:i w:val="0"/>
        </w:rPr>
        <w:t>Xét rằng khiếu nại cơ bản mang tính chất công bằng, Tòa án có quyền tùy nghi rộng rãi để giải quyết sự bất công. Ngoài việc buộc phải hoàn trả (disgorgement) những lợi ích mà Konstantino đích thân nhận được do hậu quả của việc vi phạm, Tòa án thấy rằng, xét toàn bộ hoàn cảnh, việc đưa ra một biện pháp khắc phục là thích hợp để các bị đơn có thể bị ngăn chặn khỏi những vi phạm trong tương lai và để bồi thường cho AngioScore, vì “người thụ hưởng không được bị tổn hại bởi hành vi như vậy.”</w:t>
      </w:r>
    </w:p>
    <w:p>
      <w:pPr>
        <w:spacing w:after="80"/>
      </w:pPr>
      <w:r>
        <w:rPr>
          <w:b w:val="0"/>
          <w:i w:val="0"/>
        </w:rPr>
        <w:t>Như đã trình bày ở trên, AngioScore đã chứng minh rằng sự hiện diện trên thị trường của Chocolate đã khiến nó mất thị phần và dẫn đến lợi nhuận thấp hơn; yếu tố quan hệ nhân quả đã được thỏa mãn. Nhưng cần lưu ý rằng những thiệt hại phát sinh từ hành vi sai trái của các bị đơn rất khó định lượng, đặc biệt là xét đến ngành công nghiệp này và sự non trẻ của Chocolate. Tòa án, “may mắn thay, có quyền tùy nghi rộng rãi để điều chỉnh các biện pháp khắc phục sao cho phù hợp với tình hình hiện tại.”</w:t>
      </w:r>
    </w:p>
    <w:p>
      <w:pPr>
        <w:spacing w:after="80"/>
      </w:pPr>
      <w:r>
        <w:rPr>
          <w:b w:val="0"/>
          <w:i w:val="0"/>
        </w:rPr>
        <w:t>Tòa án thấy rằng khoản lợi nhuận bị mất được tính toán của AngioScore, phản ánh cả thiệt hại của nó cho đến thời điểm này lẫn trong tương lai, đã được xác lập đủ vững chắc để khắc phục thiệt hại cho AngioScore, và thể hiện một mức độ khiển trách thích đáng đối với hành vi sai trái của các bị đơn. Do đó, Tòa án tuyên cho AngioScore (i) khoản lợi nhuận bị mất hiện tại là 2,97 triệu đô la, đại diện cho khoản lợi nhuận mà nó lẽ ra đã tạo ra nếu hoạt động kinh doanh không bị chuyển hướng sang các bị đơn, và (ii) khoản lợi nhuận bị mất trong tương lai khi, như trong trường hợp này, Tòa án từ chối ban hành lệnh cấm (injunction) và cho phép Chocolate tiếp tục tồn tại trên thị trường. Giá trị đó là 17,064 triệu đô la, đại diện cho khoản lợi nhuận bị mất của AngioScore từ các đợt bán hàng trong tương lai từ năm 2014 đến quý hai năm 2019.</w:t>
      </w:r>
    </w:p>
    <w:p>
      <w:pPr>
        <w:spacing w:after="80"/>
      </w:pPr>
      <w:r>
        <w:rPr>
          <w:b w:val="0"/>
          <w:i/>
        </w:rPr>
        <w:t>Kết luận</w:t>
      </w:r>
    </w:p>
    <w:p>
      <w:pPr>
        <w:spacing w:after="80"/>
      </w:pPr>
      <w:r>
        <w:rPr>
          <w:b w:val="0"/>
          <w:i w:val="0"/>
        </w:rPr>
        <w:t>Tóm lại, Tòa án nhận thấy Konstantino không chỉ vi phạm nghĩa vụ ủy thác của mình, mà còn chủ động che giấu những sai phạm để tránh bị phát hiện. Kết quả là, ông đã lợi dụng cơ hội Chocolate vì lợi ích cá nhân thay vì trao cơ hội đó cho AngioScore, như nghĩa vụ mà ông phải thực hiện. Mặc dù nghĩa vụ đó sẽ không tồn tại nếu ông đã từ chức trước khi Chocolate trở thành một cơ hội, nhưng việc vi phạm của Konstantino đã gây ra thiệt hại có thể đo lường được cho AngioScore.</w:t>
      </w:r>
    </w:p>
    <w:p>
      <w:pPr>
        <w:spacing w:after="80"/>
      </w:pPr>
      <w:r>
        <w:rPr>
          <w:b w:val="0"/>
          <w:i w:val="0"/>
        </w:rPr>
        <w:t>Nghĩa vụ của một giám đốc đối với công ty mà ông phục vụ không thể bị bỏ qua dưới chiêu bài đổi mới. Nếu một giám đốc đi theo con đường đó, sự đổi mới phải được đề nghị, hành vi phải minh bạch, và lòng trung thành với nghĩa vụ của mình là tối quan trọng. Mặc dù xung đột giữa mong muốn đổi mới và nghĩa vụ thành viên hội đồng quản trị có thể phát sinh, một giám đốc luôn có lựa chọn từ chức. Ở đây, Konstantino đã không làm cả hai, và do đó, một biện pháp khắc phục phải được đưa ra để giải quyết vi phạm.</w:t>
      </w:r>
    </w:p>
    <w:p>
      <w:pPr>
        <w:spacing w:after="80"/>
      </w:pPr>
      <w:r>
        <w:rPr>
          <w:b w:val="0"/>
          <w:i w:val="0"/>
        </w:rPr>
        <w:t xml:space="preserve">Theo đó, Tòa án </w:t>
      </w:r>
      <w:r>
        <w:rPr>
          <w:b/>
          <w:i w:val="0"/>
        </w:rPr>
        <w:t>RA LỆNH</w:t>
      </w:r>
      <w:r>
        <w:rPr>
          <w:b w:val="0"/>
          <w:i w:val="0"/>
        </w:rPr>
        <w:t xml:space="preserve"> các biện pháp bồi thường thiệt hại sau:</w:t>
      </w:r>
    </w:p>
    <w:p>
      <w:pPr>
        <w:spacing w:after="80"/>
      </w:pPr>
      <w:r>
        <w:rPr>
          <w:b w:val="0"/>
          <w:i w:val="0"/>
        </w:rPr>
        <w:t>1. Konstantino phải hoàn trả những lợi ích mà ông có được thông qua việc vi phạm của mình; và</w:t>
      </w:r>
    </w:p>
    <w:p>
      <w:pPr>
        <w:spacing w:after="80"/>
      </w:pPr>
      <w:r>
        <w:rPr>
          <w:b w:val="0"/>
          <w:i w:val="0"/>
        </w:rPr>
        <w:t>2. Các bị đơn phải chịu trách nhiệm về lợi nhuận bị mất trong quá khứ và tương lai của AngioScore, tổng cộng lần lượt là 2,97 triệu đô la và 17,064 triệu đô la, tổng cộng là 20,034 triệu đô la. . . .</w:t>
      </w:r>
    </w:p>
    <w:p>
      <w:pPr>
        <w:pStyle w:val="Heading5"/>
      </w:pPr>
      <w:r>
        <w:rPr>
          <w:rFonts w:ascii="Calibri" w:hAnsi="Calibri"/>
          <w:b/>
          <w:i/>
          <w:sz w:val="22"/>
        </w:rPr>
        <w:t>Bình luận và Câu hỏi</w:t>
      </w:r>
    </w:p>
    <w:p>
      <w:pPr>
        <w:spacing w:after="80"/>
      </w:pPr>
      <w:r>
        <w:rPr>
          <w:b w:val="0"/>
          <w:i w:val="0"/>
        </w:rPr>
        <w:t>1. Tại sao tòa án quyết định rằng, ít nhất trong trường hợp này, nghĩa vụ ủy thác lấn át quyền đổi mới? Làm sao tòa án biết rằng các chính sách chung khuyến khích đổi mới phải nhường bước cho nghĩa vụ của Kostantino với tư cách là thành viên hội đồng quản trị?</w:t>
      </w:r>
    </w:p>
    <w:p>
      <w:pPr>
        <w:spacing w:after="80"/>
      </w:pPr>
      <w:r>
        <w:rPr>
          <w:b w:val="0"/>
          <w:i w:val="0"/>
        </w:rPr>
        <w:t>2. Hội đồng quản trị của AngioScore đã đặc biệt từ chối quan tâm đến stent phân nhánh khi Kostantino yêu cầu, và hội đồng đã chấp thuận cho phép ông thành lập một công ty mới, TriReme. Tại sao sự từ chối đó, được thực hiện theo Del. Gen. Corp. L. § 122(17), lại không có hiệu lực để bảo vệ Kostantino khỏi trách nhiệm pháp lý trong trường hợp này?</w:t>
      </w:r>
    </w:p>
    <w:p>
      <w:pPr>
        <w:spacing w:after="80"/>
      </w:pPr>
      <w:r>
        <w:rPr>
          <w:b w:val="0"/>
          <w:i w:val="0"/>
        </w:rPr>
        <w:t>3. Trong phạm vi tòa án cho rằng Chocolate là một cơ hội của công ty, tại sao tòa án lại bác bỏ tuyên bố của AngioScore rằng họ sở hữu quyền đối với công nghệ này?</w:t>
      </w:r>
    </w:p>
    <w:p>
      <w:pPr>
        <w:spacing w:after="80"/>
      </w:pPr>
      <w:r>
        <w:rPr>
          <w:b w:val="0"/>
          <w:i w:val="0"/>
        </w:rPr>
        <w:t>—————</w:t>
      </w:r>
    </w:p>
    <w:p>
      <w:pPr>
        <w:spacing w:after="80"/>
      </w:pPr>
      <w:r>
        <w:rPr>
          <w:b w:val="0"/>
          <w:i w:val="0"/>
        </w:rPr>
        <w:t>Việc xem xét và phê duyệt bởi các giám đốc độc lập đóng vai trò thay thế cho quy định bên ngoài, đặc biệt là đối với một số giao dịch nhất định. Hãy chú ý theo dõi trong khi đọc trường hợp sau đây về cách tòa án xử lý các khiếu nại ủy thác khác nhau cũng như các yêu cầu về lập luận và biện pháp bảo vệ áp dụng cho từng thách thức đối với cùng một giao dịch.</w:t>
      </w:r>
    </w:p>
    <w:p>
      <w:pPr>
        <w:pStyle w:val="Heading4"/>
      </w:pPr>
      <w:r>
        <w:rPr>
          <w:rFonts w:ascii="Calibri" w:hAnsi="Calibri"/>
          <w:b/>
          <w:i w:val="0"/>
          <w:sz w:val="23"/>
        </w:rPr>
        <w:t>Orman v. Cullman</w:t>
      </w:r>
    </w:p>
    <w:p>
      <w:pPr>
        <w:spacing w:after="80"/>
      </w:pPr>
      <w:r>
        <w:rPr>
          <w:b w:val="0"/>
          <w:i w:val="0"/>
        </w:rPr>
        <w:t>Tòa án Chancery Delaware</w:t>
      </w:r>
      <w:r>
        <w:br/>
      </w:r>
      <w:r>
        <w:rPr>
          <w:b w:val="0"/>
          <w:i w:val="0"/>
        </w:rPr>
        <w:t xml:space="preserve"> 794 A.2d 5 (2002)</w:t>
      </w:r>
    </w:p>
    <w:p>
      <w:pPr>
        <w:spacing w:after="80"/>
      </w:pPr>
      <w:r>
        <w:rPr>
          <w:b w:val="0"/>
          <w:i w:val="0"/>
        </w:rPr>
        <w:t>CHANDLER , CHANCELLOR :</w:t>
      </w:r>
    </w:p>
    <w:p>
      <w:pPr>
        <w:spacing w:after="80"/>
      </w:pPr>
      <w:r>
        <w:rPr>
          <w:b w:val="0"/>
          <w:i w:val="0"/>
        </w:rPr>
        <w:t>Vụ kiện tập thể được cho là này liên quan đến các cáo buộc vi phạm nghĩa vụ ủy thác liên quan đến việc sáp nhập thu tiền mặt của các cổ đông công chúng (“Cổ đông không liên kết” hoặc “Cổ đông công chúng”) của General Cigar Holdings, Inc. (“General Cigar” hoặc “Công ty”). Theo đơn khiếu nại, nguyên đơn Joseph Orman, là và đã là chủ sở hữu cổ phiếu phổ thông loại A của General Cigar trong mọi thời điểm liên quan đến vụ kiện này. Orman đệ đơn kiện này thay mặt cho bản thân và các Cổ đông công chúng của cổ phiếu phổ thông loại A của General Cigar chống lại General Cigar và hội đồng quản trị mười một thành viên của nó.</w:t>
      </w:r>
    </w:p>
    <w:p>
      <w:pPr>
        <w:spacing w:after="80"/>
      </w:pPr>
      <w:r>
        <w:rPr>
          <w:b w:val="0"/>
          <w:i w:val="0"/>
        </w:rPr>
        <w:t>Vào ngày 19 tháng 1 năm 2000, Hội đồng quản trị đã nhất trí phê duyệt một thỏa thuận sáp nhập theo đó một công ty con của một bên thứ ba không liên kết, Swedish Match AB, sẽ mua cổ phần thuộc sở hữu của các Cổ đông không liên kết của General Cigar. Vào ngày 10 tháng 4 năm 2000, Công ty đã nộp cho Ủy ban Chứng khoán và Giao dịch một tuyên bố ủy quyền sửa đổi liên quan đến đề xuất sáp nhập này.</w:t>
      </w:r>
    </w:p>
    <w:p>
      <w:pPr>
        <w:spacing w:after="80"/>
      </w:pPr>
      <w:r>
        <w:rPr>
          <w:b w:val="0"/>
          <w:i w:val="0"/>
        </w:rPr>
        <w:t>Đơn khiếu nại trước tiên cáo buộc vi phạm nghĩa vụ tín thác (fiduciary duty) liên quan đến việc Hội đồng quản trị phê duyệt (và tính công bằng của) thương vụ sáp nhập được đề xuất. Orman cho rằng việc Hội đồng quản trị phê duyệt thương vụ sáp nhập là không hiệu lực và không thỏa đáng vì đa số các giám đốc bị đơn không độc lập và/hoặc không có lợi ích liên quan. Ông còn cáo buộc rằng các giám đốc bị đơn đã vi phạm nghĩa vụ trung thành (duty of loyalty) của mình khi tham gia vào một giao dịch không công bằng đối với các Cổ đông Công chúng (Public Shareholders) của General Cigar và chiếm đoạt cho bản thân những cơ hội kinh doanh (corporate opportunities) vốn thuộc về tất cả cổ đông của General Cigar.</w:t>
      </w:r>
    </w:p>
    <w:p>
      <w:pPr>
        <w:spacing w:after="80"/>
      </w:pPr>
      <w:r>
        <w:rPr>
          <w:b w:val="0"/>
          <w:i w:val="0"/>
        </w:rPr>
        <w:t>Orman cũng khẳng định rằng Hội đồng quản trị đã vi phạm nghĩa vụ công bố thông tin (duty of disclosure) của mình. Cụ thể, ông cáo buộc rằng Bản Tuyên bố Ủy quyền (Proxy Statement) dùng để xin cổ đông phê duyệt thương vụ sáp nhập được đề xuất đã bỏ sót những sự kiện trọng yếu cần thiết để các Cổ đông Công chúng có thể đưa ra quyết định hoàn toàn đầy đủ thông tin đối với lá phiếu tán thành hay phản đối thương vụ sáp nhập của họ.</w:t>
      </w:r>
    </w:p>
    <w:p>
      <w:pPr>
        <w:spacing w:after="80"/>
      </w:pPr>
      <w:r>
        <w:rPr>
          <w:b w:val="0"/>
          <w:i w:val="0"/>
        </w:rPr>
        <w:t>Các bị đơn đã đệ đơn theo Quy tắc 12(b)(6) của Tòa án Đại chúng (Court of Chancery Rule 12(b)(6)) để yêu cầu bác bỏ đơn khiếu nại với các lý do: 1) Orman đã không trình bày đủ sự kiện để vượt qua giả định của quy tắc phán đoán kinh doanh (business judgment rule) đối với việc Hội đồng quản trị phê duyệt giao dịch sáp nhập; 2) thương vụ sáp nhập đã được phê chuẩn bởi lá phiếu đa số được cung cấp đầy đủ thông tin của các Cổ đông Công chúng của General Cigar; và 3) Orman đã không trình bày được các khiếu nại về công bố thông tin có thể được xem xét (cognizable disclosure claims). Hơn nữa, ngay cả khi Orman đã trình bày thành công các khiếu nại về công bố thông tin có thể được xem xét (các bị đơn lập luận), thì bất kỳ trách nhiệm pháp lý nào có thể phát sinh từ những khiếu nại đó đều bị chặn bởi một điều khoản miễn trừ trách nhiệm (exculpatory provision) trong điều lệ thành lập Công ty (certificate of incorporation), được thông qua theo § 102(b)(7) của Luật Công ty Đại chúng Delaware (Delaware General Corporation Law), vì những khiếu nại về công bố thông tin đó chỉ liên quan đến vi phạm nghĩa vụ cẩn trọng (duty of care).</w:t>
      </w:r>
    </w:p>
    <w:p>
      <w:pPr>
        <w:spacing w:after="80"/>
      </w:pPr>
      <w:r>
        <w:rPr>
          <w:b w:val="0"/>
          <w:i w:val="0"/>
        </w:rPr>
        <w:t>Tôi kết luận rằng đơn yêu cầu bác bỏ của các bị đơn phải được chấp thuận một phần và bác bỏ một phần. Đơn yêu cầu bác bỏ các khiếu nại về nghĩa vụ trung thành phải bị bác bỏ, vì Orman đã trình bày các sự kiện mà từ đó có thể hợp lý để đặt câu hỏi về tính độc lập và tính không có lợi ích liên quan của đa số thành viên Hội đồng quản trị General Cigar. Đơn yêu cầu bác bỏ các khiếu nại về công bố thông tin của Orman được chấp thuận đối với tất cả trừ một khiếu nại mà, ở giai đoạn này của vụ kiện, tôi không thể nói là không trọng yếu như một vấn đề pháp lý. Bởi vì tôi kết luận rằng một trong các khiếu nại về công bố thông tin của Orman phải tồn tại như một vấn đề pháp lý, tôi không thể xác định rằng bất kỳ vi phạm nghĩa vụ tín thác nào có thể có liên quan đến giao dịch bị thách thức đã được phê chuẩn bởi lá phiếu được cung cấp đầy đủ thông tin của đa số cổ đông không có lợi ích liên quan của Công ty. Cuối cùng, vì tôi kết luận rằng đơn khiếu nại không chỉ nêu rõ ràng một khiếu nại về nghĩa vụ cẩn trọng, nên sẽ là quá sớm để tôi xem xét hiệu lực của điều khoản miễn trừ trách nhiệm trong điều lệ của Công ty.</w:t>
      </w:r>
    </w:p>
    <w:p>
      <w:pPr>
        <w:spacing w:after="80"/>
      </w:pPr>
      <w:r>
        <w:rPr>
          <w:b w:val="0"/>
          <w:i w:val="0"/>
        </w:rPr>
        <w:t>LỊCH SỬ SỰ KIỆN</w:t>
      </w:r>
    </w:p>
    <w:p>
      <w:pPr>
        <w:spacing w:after="80"/>
      </w:pPr>
      <w:r>
        <w:rPr>
          <w:b w:val="0"/>
          <w:i w:val="0"/>
        </w:rPr>
        <w:t>General Cigar, một Công ty Delaware có trụ sở chính đặt tại New York, New York, là nhà sản xuất và tiếp thị hàng đầu các loại xì gà cao cấp. Công ty có quyền nhãn hiệu độc quyền đối với nhiều thương hiệu xì gà nổi tiếng, bao gồm bảy trong số mười thương hiệu hàng đầu trước đây được sản xuất tại Cuba.</w:t>
      </w:r>
    </w:p>
    <w:p>
      <w:pPr>
        <w:spacing w:after="80"/>
      </w:pPr>
      <w:r>
        <w:rPr>
          <w:b w:val="0"/>
          <w:i w:val="0"/>
        </w:rPr>
        <w:t>Công ty đã niêm yết công khai trong đợt phát hành cổ phiếu lần đầu ra công chúng ("IPO") 6,9 triệu cổ phiếu loại A với giá $18.00 mỗi cổ phiếu vào ngày 28 tháng 2 năm 1997. Tính đến ngày 30 tháng 3 năm 2000, Công ty có khoảng 13,6 triệu cổ phiếu loại A và 13,4 triệu cổ phiếu phổ thông loại B đang lưu hành. Cổ phiếu loại A được giao dịch công khai và cổ phiếu loại B không được giao dịch công khai. Cổ phiếu loại A có một phiếu bầu mỗi cổ phiếu và loại B có mười phiếu bầu mỗi cổ phiếu. Mặc dù cổ phiếu loại B có quyền biểu quyết gấp mười lần cổ phiếu loại A, Điều lệ thành lập Công ty yêu cầu sự đối giá bằng nhau để đổi lấy cổ phiếu loại A và loại B trong trường hợp bán hoặc sáp nhập. Vào thời điểm thương vụ sáp nhập được đề xuất, Nhóm Cullman sở hữu khoảng 162 cổ phiếu loại A và 9,9 triệu cổ phiếu loại B. Mặc dù tổng cộng này chiếm khoảng 37% tổng số cổ phiếu đang lưu hành của Công ty, Nhóm Cullman có quyền kiểm soát biểu quyết đối với Công ty vì 9,9 triệu cổ phiếu loại B mà nhóm này sở hữu chiếm khoảng 74% của loại cổ phiếu đó, vốn được hưởng lợi thế biểu quyết 10:1 so với cổ phiếu loại A. Do đó, lợi ích vốn chủ sở hữu của Nhóm Cullman đã mang lại cho nhóm này khoảng 67% quyền biểu quyết trong công ty.</w:t>
      </w:r>
    </w:p>
    <w:p>
      <w:pPr>
        <w:spacing w:after="80"/>
      </w:pPr>
      <w:r>
        <w:rPr>
          <w:b w:val="0"/>
          <w:i w:val="0"/>
        </w:rPr>
        <w:t>Vào đầu mùa thu năm 1999, Swedish Match đã tiếp cận một số thành viên của Nhóm Cullman (gọi là "Cullmans") về việc mua lại phần lợi ích trong General Cigar do các Cổ đông Công chúng của công ty này sở hữu. Đây được xem là một sự kết hợp kinh doanh hợp lý vì General Cigar có sự hiện diện mạnh mẽ tại thị trường xì gà cao cấp Hoa Kỳ và Swedish Match có thế mạnh tại các thị trường xì gà và thuốc lá không khói quốc tế thông qua mạng lưới liên hệ và nguồn lực quốc tế đã được thiết lập của mình. Tại cuộc họp hội đồng quản trị General Cigar ngày 4 tháng 11 năm 1999, nhóm Cullmans đã thông báo cho Hội đồng quản trị về sự quan tâm của Swedish Match. Hội đồng quản trị sau đó đã ủy quyền cho nhóm Cullmans theo đuổi các cuộc thảo luận với Swedish Match với sự hỗ trợ của công ty tư vấn tài chính của giám đốc bị đơn Solomon, Peter J. Solomon &amp; Company ("PJSC").</w:t>
      </w:r>
    </w:p>
    <w:p>
      <w:pPr>
        <w:spacing w:after="80"/>
      </w:pPr>
      <w:r>
        <w:rPr>
          <w:b w:val="0"/>
          <w:i w:val="0"/>
        </w:rPr>
        <w:t>Các cuộc đàm phán giữa nhóm Cullmans và Swedish Match tiếp tục diễn ra trong suốt tháng 11 và tháng 12 năm 1999. Đến cuối tháng 12 năm 1999, cấu trúc cho một giao dịch được đề xuất đã được xác định. Cấu trúc đó bao gồm: 1) việc Nhóm Cullman bán khoảng một phần ba lợi ích vốn chủ sở hữu của mình trong Công ty cho Swedish Match với giá $15.00 mỗi cổ phiếu; 2) ngay sau thương vụ bán riêng lẻ của Nhóm Cullman, một thương vụ sáp nhập trong đó tất cả cổ phiếu trong Công ty do các Cổ đông Không liên kết (Unaffiliated Shareholders) nắm giữ sẽ được mua với giá $15.00 mỗi cổ phiếu; 3) Cullman Sr. và Cullman Jr. duy trì các vị trí tương ứng của mình là Chủ tịch và Tổng giám đốc/Giám đốc điều hành của công ty tồn tại sau sáp nhập và có quyền bổ nhiệm đa số thành viên hội đồng quản trị; 4) ba năm sau thương vụ sáp nhập, Nhóm Cullman có quyền bán phần lợi ích vốn chủ sở hữu còn lại của mình cho Công ty và Công ty có quyền mua lại phần lợi ích đó; và 5) một thỏa thuận của Nhóm Cullman rằng nếu giao dịch được đề xuất với Swedish Match không hoàn tất, nhóm này sẽ bỏ phiếu chống lại bất kỳ sự kết hợp kinh doanh nào khác trong khoảng thời gian một năm sau khi giao dịch được đề xuất chấm dứt.</w:t>
      </w:r>
    </w:p>
    <w:p>
      <w:pPr>
        <w:spacing w:after="80"/>
      </w:pPr>
      <w:r>
        <w:rPr>
          <w:b w:val="0"/>
          <w:i w:val="0"/>
        </w:rPr>
        <w:t>Sau khi các cuộc đàm phán đạt được thỏa thuận về các điểm nêu trên, Hội đồng quản trị đã thành lập một ủy ban đặc biệt ("Ủy ban Đặc biệt"), bao gồm các giám đốc bị đơn bên ngoài là Lufkin, Israel và Vincent, để xác định tính khả thi của việc tham gia vào giao dịch được đề xuất. Ủy ban Đặc biệt đã thuê các cố vấn pháp lý và tài chính độc lập—lần lượt là Wachtell, Lipton, Rosen &amp; Katz và Deutsche Bank Securities, Inc.—để hỗ trợ họ trong nỗ lực này. Vào đầu tháng 1 năm 2000, Ủy ban Đặc biệt đã nhận được bản sao của các thỏa thuận được đề xuất mà nhóm Cullmans và Swedish Match đã đạt được trước đó. Sau khi Ủy ban Đặc biệt và các cố vấn pháp lý và tài chính của mình xem xét các đề xuất này, Ủy ban Đặc biệt đã trực tiếp đàm phán với Swedish Match về các điều khoản của thỏa thuận. Những thay đổi thực chất trong các điều khoản của giao dịch do các cuộc đàm phán của Ủy ban Đặc biệt dường như là số tiền đối giá mà các Cổ đông Không liên kết sẽ nhận được cho mỗi cổ phiếu loại A của họ đã tăng từ $15.00 lên $15.25 và khoảng thời gian mà Nhóm Cullman sẽ không bỏ phiếu ủng hộ một sự kết hợp kinh doanh khác nếu thương vụ sáp nhập bị thách thức không hoàn tất đã tăng từ mười hai lên mười tám tháng. Vào ngày 19 tháng 1 năm 2000, Ủy ban Đặc biệt đã nhất trí đề xuất phê duyệt giao dịch đã được sửa đổi do kết quả các cuộc đàm phán của họ. Cùng ngày hôm đó, Hội đồng quản trị General Cigar đã nhất trí phê duyệt giao dịch.</w:t>
      </w:r>
    </w:p>
    <w:p>
      <w:pPr>
        <w:spacing w:after="80"/>
      </w:pPr>
      <w:r>
        <w:rPr>
          <w:b w:val="0"/>
          <w:i w:val="0"/>
        </w:rPr>
        <w:t>Các điều khoản liên quan của giao dịch cuối cùng được đề xuất với các cổ đông của Công ty, và phụ thuộc vào sự phê duyệt của các Cổ đông Không liên kết, bao gồm một thương vụ bán riêng lẻ ban đầu của Nhóm Cullman đối với 3,5 triệu cổ phiếu loại B của nhóm này, chiếm khoảng một phần ba lợi ích vốn chủ sở hữu của nhóm trong General Cigar, cho Swedish Match với giá $15.00 mỗi cổ phiếu. Nhóm Cullman sẽ giữ lại phần lợi ích vốn chủ sở hữu còn lại của mình, khi đó sẽ bao gồm khoảng 162 cổ phiếu loại A và 6,4 triệu cổ phiếu loại B. Sau thương vụ sáp nhập, phần lợi ích còn lại đó sẽ tổng cộng chiếm khoảng 36% tổng lợi ích vốn chủ sở hữu đang lưu hành của Công ty. Ngay sau thương vụ bán riêng lẻ này, một thương vụ sáp nhập sẽ diễn ra trong đó tất cả cổ phiếu loại A và loại B thuộc sở hữu công chúng (những cổ phiếu không thuộc sở hữu của Nhóm Cullman) sẽ được mua với giá $15.25 mỗi cổ phiếu.</w:t>
      </w:r>
    </w:p>
    <w:p>
      <w:pPr>
        <w:spacing w:after="80"/>
      </w:pPr>
      <w:r>
        <w:rPr>
          <w:b w:val="0"/>
          <w:i w:val="0"/>
        </w:rPr>
        <w:t>Ngoài vị thế vốn chủ sở hữu và quyền kiểm soát biểu quyết tiếp tục của Nhóm Cullman trong công ty tồn tại sau sáp nhập, một số điều khoản của giao dịch được đề xuất đã đảm bảo sự tham gia liên tục của Nhóm Cullman vào các hoạt động hàng ngày của công ty đó. Cullman Sr. sẽ giữ vị trí Chủ tịch Hội đồng quản trị của công ty tồn tại sau sáp nhập và Cullman Jr. sẽ tiếp tục giữ chức Tổng giám đốc và Giám đốc điều hành của công ty tồn tại sau sáp nhập. Nhóm Cullman sẽ có quyền bổ nhiệm đa số thành viên hội đồng quản trị của công ty tồn tại sau sáp nhập sau khi sáp nhập.</w:t>
      </w:r>
    </w:p>
    <w:p>
      <w:pPr>
        <w:spacing w:after="80"/>
      </w:pPr>
      <w:r>
        <w:rPr>
          <w:b w:val="0"/>
          <w:i w:val="0"/>
        </w:rPr>
        <w:t>Ngoài ra, bắt đầu từ ba năm kể từ ngày sáp nhập, Nhóm Cullman sẽ có quyền chọn bán một phần hoặc toàn bộ phần lợi ích vốn chủ sở hữu còn lại của mình cho công ty tồn tại sau sáp nhập và công ty tồn tại sau sáp nhập sẽ có quyền tương ứng để mua lại một phần hoặc toàn bộ cổ phiếu của công ty mà Nhóm Cullman giữ lại. Nhóm Cullman cũng đồng ý bỏ phiếu chống lại bất kỳ giao dịch sáp nhập được đề xuất nào trong mười tám tháng nếu giao dịch với Swedish Match không được hoàn tất.</w:t>
      </w:r>
    </w:p>
    <w:p>
      <w:pPr>
        <w:spacing w:after="80"/>
      </w:pPr>
      <w:r>
        <w:rPr>
          <w:b w:val="0"/>
          <w:i w:val="0"/>
        </w:rPr>
        <w:t>Cuối cùng, giao dịch được cấu trúc theo cách mà Nhóm Cullman không thể áp đặt sự phê duyệt của mình. Mặc dù thực tế là Nhóm Cullman nắm quyền kiểm soát biểu quyết đối với Công ty cả trước và sau giao dịch được đề xuất, việc phê duyệt thương vụ sáp nhập yêu cầu đa số các Cổ đông Không liên kết nắm giữ cổ phiếu loại A, bỏ phiếu riêng biệt như một loại cổ phiếu, phải bỏ phiếu ủng hộ giao dịch.</w:t>
      </w:r>
    </w:p>
    <w:p>
      <w:pPr>
        <w:spacing w:after="80"/>
      </w:pPr>
      <w:r>
        <w:rPr>
          <w:b w:val="0"/>
          <w:i w:val="0"/>
        </w:rPr>
        <w:t>PHÂN TÍCH</w:t>
      </w:r>
    </w:p>
    <w:p>
      <w:pPr>
        <w:spacing w:after="80"/>
      </w:pPr>
      <w:r>
        <w:rPr>
          <w:b w:val="0"/>
          <w:i/>
        </w:rPr>
        <w:t>Các Khiếu nại về Nghĩa vụ Tín thác</w:t>
      </w:r>
    </w:p>
    <w:p>
      <w:pPr>
        <w:spacing w:after="80"/>
      </w:pPr>
      <w:r>
        <w:rPr>
          <w:b w:val="0"/>
          <w:i w:val="0"/>
        </w:rPr>
        <w:t>Orman cáo buộc rằng việc Hội đồng quản trị phê duyệt thương vụ sáp nhập Công ty với Swedish Match là không hiệu lực và không thỏa đáng vì đa số thành viên Hội đồng quản trị không phải là người không có quyền lợi liên quan và độc lập, đồng thời các giám đốc đã vi phạm nghĩa vụ trung thành của mình khi phê duyệt một giao dịch bất công với các cổ đông đại chúng. Orman khẳng định rằng ông đã trình bày đủ các sự kiện để bác bỏ giả định của quy tắc phán đoán kinh doanh (business judgment rule) và rằng Tòa án này nên áp dụng phân tích "công bằng tuyệt đối" (entire fairness). Ông lập luận rằng việc xác định công bằng tuyệt đối là tiêu chuẩn phù hợp sẽ ngăn cản việc bác bỏ đơn kiện ở giai đoạn này của vụ kiện, bất kể cuối cùng Tòa án đặt nghĩa vụ chứng minh — hoặc phản bác — tính công bằng tuyệt đối của giao dịch lên ai. Các bị đơn lập luận rằng những khiếu nại này phải bị bác bỏ vì Orman đã không trình bày đủ các sự kiện để vượt qua giả định của quy tắc phán đoán kinh doanh, và trong trường hợp như vậy, hành động của hội đồng quản trị nên được tôn trọng.</w:t>
      </w:r>
    </w:p>
    <w:p>
      <w:pPr>
        <w:spacing w:after="80"/>
      </w:pPr>
      <w:r>
        <w:rPr>
          <w:b w:val="0"/>
          <w:i w:val="0"/>
        </w:rPr>
        <w:t>"Một nguyên tắc cốt lõi của Luật Công ty Tổng quát của Bang Delaware là các giám đốc, chứ không phải cổ đông, điều hành hoạt động kinh doanh và các vấn đề của công ty." Quy tắc phán đoán kinh doanh là sự công nhận nguyên tắc luật định đó. Quy tắc này "là một giả định rằng khi đưa ra một quyết định kinh doanh, các giám đốc của một công ty đã hành động trên cơ sở đầy đủ thông tin, với thiện chí và với niềm tin chân thành rằng hành động được thực hiện là vì lợi ích tốt nhất của công ty." Do đó, phán đoán của một hội đồng quản trị hoạt động đúng chức năng sẽ không bị phán xét lại, và "[n]ếu không có sự lạm dụng quyền tự quyết, phán đoán đó sẽ được tòa án tôn trọng." Vì hội đồng quản trị được giả định là đã hành động đúng đắn, "[n]ghĩa vụ chứng minh thuộc về bên phản đối quyết định đó, phải đưa ra các sự kiện để bác bỏ giả định này."</w:t>
      </w:r>
    </w:p>
    <w:p>
      <w:pPr>
        <w:spacing w:after="80"/>
      </w:pPr>
      <w:r>
        <w:rPr>
          <w:b w:val="0"/>
          <w:i w:val="0"/>
        </w:rPr>
        <w:t xml:space="preserve">Nói chung, giả định của quy tắc phán đoán kinh doanh rằng hội đồng quản trị đã hành động trung thành có thể bị bác bỏ bằng cách cáo buộc các sự kiện mà, nếu được chấp nhận là đúng, sẽ chứng minh rằng </w:t>
      </w:r>
      <w:r>
        <w:rPr>
          <w:b w:val="0"/>
          <w:i/>
        </w:rPr>
        <w:t>hội đồng quản trị</w:t>
      </w:r>
      <w:r>
        <w:rPr>
          <w:b w:val="0"/>
          <w:i w:val="0"/>
        </w:rPr>
        <w:t xml:space="preserve"> hoặc có quyền lợi liên quan đến kết quả của giao dịch, hoặc thiếu tính độc lập để xem xét một cách khách quan liệu giao dịch có vì lợi ích tốt nhất của công ty và tất cả cổ đông hay không. Để chứng minh rằng một </w:t>
      </w:r>
      <w:r>
        <w:rPr>
          <w:b w:val="0"/>
          <w:i/>
        </w:rPr>
        <w:t>hội đồng quản trị</w:t>
      </w:r>
      <w:r>
        <w:rPr>
          <w:b w:val="0"/>
          <w:i w:val="0"/>
        </w:rPr>
        <w:t xml:space="preserve"> có quyền lợi liên quan hoặc thiếu tính độc lập, nguyên đơn phải cáo buộc các sự kiện về quyền lợi và sự thiếu độc lập của </w:t>
      </w:r>
      <w:r>
        <w:rPr>
          <w:b w:val="0"/>
          <w:i/>
        </w:rPr>
        <w:t>từng thành viên riêng lẻ</w:t>
      </w:r>
      <w:r>
        <w:rPr>
          <w:b w:val="0"/>
          <w:i w:val="0"/>
        </w:rPr>
        <w:t xml:space="preserve"> của hội đồng đó. Để bác bỏ thành công các giả định của quy tắc phán đoán kinh doanh theo cách này, từ đó dẫn đến việc áp dụng tiêu chuẩn công bằng tuyệt đối, nguyên đơn thông thường phải trình bày các sự kiện chứng minh "rằng </w:t>
      </w:r>
      <w:r>
        <w:rPr>
          <w:b w:val="0"/>
          <w:i/>
        </w:rPr>
        <w:t>đa số</w:t>
      </w:r>
      <w:r>
        <w:rPr>
          <w:b w:val="0"/>
          <w:i w:val="0"/>
        </w:rPr>
        <w:t xml:space="preserve"> các bị đơn là giám đốc có lợi ích tài chính trong giao dịch hoặc bị chi phối hay kiểm soát bởi một giám đốc có quyền lợi liên quan trọng yếu." Tôi thừa nhận có thể tồn tại những tình huống mà quyền lợi trọng yếu của một số giám đốc </w:t>
      </w:r>
      <w:r>
        <w:rPr>
          <w:b w:val="0"/>
          <w:i/>
        </w:rPr>
        <w:t>ít hơn</w:t>
      </w:r>
      <w:r>
        <w:rPr>
          <w:b w:val="0"/>
          <w:i w:val="0"/>
        </w:rPr>
        <w:t xml:space="preserve"> đa số có thể bác bỏ giả định phán đoán kinh doanh và dẫn đến việc xem xét theo tiêu chuẩn công bằng tuyệt đối. Đó là khi một "'giám đốc có quyền lợi liên quan </w:t>
      </w:r>
      <w:r>
        <w:rPr>
          <w:b w:val="0"/>
          <w:i/>
        </w:rPr>
        <w:t>không tiết lộ quyền lợi của mình</w:t>
      </w:r>
      <w:r>
        <w:rPr>
          <w:b w:val="0"/>
          <w:i w:val="0"/>
        </w:rPr>
        <w:t xml:space="preserve"> trong giao dịch cho hội đồng quản trị </w:t>
      </w:r>
      <w:r>
        <w:rPr>
          <w:b w:val="0"/>
          <w:i/>
        </w:rPr>
        <w:t>và</w:t>
      </w:r>
      <w:r>
        <w:rPr>
          <w:b w:val="0"/>
          <w:i w:val="0"/>
        </w:rPr>
        <w:t xml:space="preserve"> một thành viên hội đồng quản trị hợp lý sẽ coi sự tồn tại của quyền lợi trọng yếu đó là một sự kiện quan trọng trong việc đánh giá giao dịch được đề xuất.'" Tuy nhiên, trong vụ án này, quyền lợi có thể được quy cho Nhóm Cullman hoặc các thành viên Hội đồng quản trị khác </w:t>
      </w:r>
      <w:r>
        <w:rPr>
          <w:b w:val="0"/>
          <w:i/>
        </w:rPr>
        <w:t>đã được</w:t>
      </w:r>
      <w:r>
        <w:rPr>
          <w:b w:val="0"/>
          <w:i w:val="0"/>
        </w:rPr>
        <w:t xml:space="preserve"> tiết lộ cho Hội đồng quản trị, và do đó Orman vẫn phải chứng minh rằng đa số thành viên Hội đồng quản trị có quyền lợi liên quan và/hoặc thiếu tính độc lập.</w:t>
      </w:r>
    </w:p>
    <w:p>
      <w:pPr>
        <w:spacing w:after="80"/>
      </w:pPr>
      <w:r>
        <w:rPr>
          <w:b w:val="0"/>
          <w:i w:val="0"/>
        </w:rPr>
        <w:t>Nếu một nguyên đơn cáo buộc vi phạm nghĩa vụ trung thành không thể trình bày các sự kiện chứng minh rằng đa số thành viên hội đồng quản trị đã phê duyệt giao dịch đang tranh chấp có quyền lợi liên quan và/hoặc thiếu tính độc lập, thì tiêu chuẩn xem xét công bằng tuyệt đối sẽ không được áp dụng và Tòa án tôn trọng phán đoán kinh doanh của hội đồng quản trị. Việc một giám đốc cụ thể có phải là người không có quyền lợi liên quan hay độc lập hay không là một chủ đề lặp đi lặp lại trong án lệ về công ty của Delaware. Chúng tôi chỉ đưa ra kết luận về tính đầy đủ của các cáo buộc liên quan đến quyền lợi và tính độc lập sau khi xem xét tất cả các sự kiện được cáo buộc trên cơ sở từng vụ việc cụ thể.</w:t>
      </w:r>
    </w:p>
    <w:p>
      <w:pPr>
        <w:spacing w:after="80"/>
      </w:pPr>
      <w:r>
        <w:rPr>
          <w:b w:val="0"/>
          <w:i w:val="0"/>
        </w:rPr>
        <w:t xml:space="preserve">Tòa án trong vụ </w:t>
      </w:r>
      <w:r>
        <w:rPr>
          <w:b w:val="0"/>
          <w:i/>
        </w:rPr>
        <w:t>Aronson</w:t>
      </w:r>
      <w:r>
        <w:rPr>
          <w:b w:val="0"/>
          <w:i w:val="0"/>
        </w:rPr>
        <w:t xml:space="preserve"> đã đưa ra ý nghĩa của "quyền lợi liên quan" và "tính độc lập" trong bối cảnh này. Tòa định nghĩa quyền lợi liên quan là "có nghĩa là các giám đốc không thể đứng ở cả hai phía của một giao dịch, cũng không thể mong đợi thu được bất kỳ lợi ích tài chính cá nhân nào từ giao dịch đó theo nghĩa tự giao dịch (self-dealing), trái ngược với một lợi ích thuộc về công ty hoặc tất cả cổ đông nói chung." Định nghĩa này được làm rõ thêm trong vụ </w:t>
      </w:r>
      <w:r>
        <w:rPr>
          <w:b w:val="0"/>
          <w:i/>
        </w:rPr>
        <w:t>Rales v. Blasband</w:t>
      </w:r>
      <w:r>
        <w:rPr>
          <w:b w:val="0"/>
          <w:i w:val="0"/>
        </w:rPr>
        <w:t xml:space="preserve"> khi Tòa án Tối cao của chúng ta công nhận rằng "[q]uyền lợi liên quan của giám đốc cũng tồn tại khi một quyết định của công ty sẽ có tác động bất lợi trọng yếu đối với một giám đốc, nhưng không đối với công ty và các cổ đông." Tuy nhiên, cần lưu ý rằng trong trường hợp không có tự giao dịch, việc chứng minh quyền lợi liên quan của một giám đốc bằng cách cáo buộc rằng ông ta nhận được </w:t>
      </w:r>
      <w:r>
        <w:rPr>
          <w:b w:val="0"/>
          <w:i/>
        </w:rPr>
        <w:t>bất kỳ</w:t>
      </w:r>
      <w:r>
        <w:rPr>
          <w:b w:val="0"/>
          <w:i w:val="0"/>
        </w:rPr>
        <w:t xml:space="preserve"> lợi ích nào không được chia sẻ công bằng với các cổ đông là không đủ. Lợi ích đó phải được cáo buộc là </w:t>
      </w:r>
      <w:r>
        <w:rPr>
          <w:b w:val="0"/>
          <w:i/>
        </w:rPr>
        <w:t>trọng yếu</w:t>
      </w:r>
      <w:r>
        <w:rPr>
          <w:b w:val="0"/>
          <w:i w:val="0"/>
        </w:rPr>
        <w:t xml:space="preserve"> đối với giám đốc đó. Tính trọng yếu có nghĩa là lợi ích được cáo buộc đủ quan trọng "</w:t>
      </w:r>
      <w:r>
        <w:rPr>
          <w:b w:val="0"/>
          <w:i/>
        </w:rPr>
        <w:t>trong bối cảnh hoàn cảnh kinh tế của giám đốc</w:t>
      </w:r>
      <w:r>
        <w:rPr>
          <w:b w:val="0"/>
          <w:i w:val="0"/>
        </w:rPr>
        <w:t>, đến mức khiến cho việc giám đốc đó có thể thực hiện nghĩa vụ ủy thác của mình đối với các cổ đông . . . mà không bị ảnh hưởng bởi lợi ích cá nhân chi phối của mình là điều khó có thể xảy ra."</w:t>
      </w:r>
    </w:p>
    <w:p>
      <w:pPr>
        <w:spacing w:after="80"/>
      </w:pPr>
      <w:r>
        <w:rPr>
          <w:b w:val="0"/>
          <w:i w:val="0"/>
        </w:rPr>
        <w:t xml:space="preserve">Về câu hỏi riêng biệt về tính độc lập, Tòa án trong vụ </w:t>
      </w:r>
      <w:r>
        <w:rPr>
          <w:b w:val="0"/>
          <w:i/>
        </w:rPr>
        <w:t>Aronson</w:t>
      </w:r>
      <w:r>
        <w:rPr>
          <w:b w:val="0"/>
          <w:i w:val="0"/>
        </w:rPr>
        <w:t xml:space="preserve"> tuyên bố rằng "[t]ính độc lập có nghĩa là quyết định của một giám đốc dựa trên các giá trị nội tại của công ty đối với vấn đề được đưa ra trước hội đồng quản trị, chứ không phải dựa trên những cân nhắc hay ảnh hưởng ngoại lai." Những cân nhắc hay ảnh hưởng ngoại lai như vậy có thể tồn tại khi giám đốc bị thách thức bị kiểm soát bởi một người khác. Để đặt ra câu hỏi về tính độc lập của một thành viên hội đồng quản trị cụ thể, nguyên đơn khẳng định "sự kiểm soát của một hoặc nhiều giám đốc phải cáo buộc các sự kiện cụ thể thể hiện 'một sự định hướng hành vi của công ty theo cách phù hợp với mong muốn hoặc lợi ích của công ty (hoặc cá nhân) đang kiểm soát.' Cách nói tắt 'các giám đốc bị chi phối và kiểm soát' là không đủ." Sự thiếu độc lập này có thể được chứng minh khi nguyên đơn trình bày các sự kiện chứng minh "rằng các giám đốc 'mắc nợ' [người kiểm soát] hoặc chịu ảnh hưởng của họ đến mức quyền tự quyết của họ bị vô hiệu hóa."</w:t>
      </w:r>
    </w:p>
    <w:p>
      <w:pPr>
        <w:spacing w:after="80"/>
      </w:pPr>
      <w:r>
        <w:rPr>
          <w:b w:val="0"/>
          <w:i w:val="0"/>
        </w:rPr>
        <w:t xml:space="preserve">Khi xác định tính đầy đủ của các cáo buộc sự kiện do nguyên đơn đưa ra về quyền lợi liên quan hoặc sự thiếu độc lập của một giám đốc, Tòa án Tối cao Delaware đã bác bỏ tiêu chuẩn khách quan "giám đốc hợp lý" và thay vào đó yêu cầu áp dụng tiêu chuẩn chủ quan "người thực tế" để xác định liệu quyền lợi của một giám đốc </w:t>
      </w:r>
      <w:r>
        <w:rPr>
          <w:b w:val="0"/>
          <w:i/>
        </w:rPr>
        <w:t>cụ thể</w:t>
      </w:r>
      <w:r>
        <w:rPr>
          <w:b w:val="0"/>
          <w:i w:val="0"/>
        </w:rPr>
        <w:t xml:space="preserve"> có trọng yếu và gây tê liệt hay không, hoặc liệu giám đốc đó có thiếu tính độc lập vì bị người khác kiểm soát hay không.</w:t>
      </w:r>
    </w:p>
    <w:p>
      <w:pPr>
        <w:spacing w:after="80"/>
      </w:pPr>
      <w:r>
        <w:rPr>
          <w:b w:val="0"/>
          <w:i w:val="0"/>
        </w:rPr>
        <w:t>General Cigar có một hội đồng quản trị gồm mười một thành viên. Để bác bỏ các giả định của quy tắc phán đoán kinh doanh, Orman phải cáo buộc các sự kiện hỗ trợ cho việc tìm thấy quyền lợi liên quan hoặc sự thiếu độc lập của đa số, tức ít nhất sáu, thành viên Hội đồng quản trị. Orman khẳng định, và các bị đơn dường như thừa nhận, rằng bốn thành viên của Nhóm Cullman có quyền lợi liên quan vì họ nhận được lợi ích từ giao dịch mà không được chia sẻ với các cổ đông còn lại. Do đó, Orman sẽ phải trình bày các sự kiện khiến cho việc đặt câu hỏi về quyền lợi liên quan hoặc tính độc lập của hai trong số bảy thành viên Hội đồng quản trị còn lại là hợp lý để tránh bị bác bỏ dựa trên giả định của quy tắc phán đoán kinh doanh. Với mức độ tin cậy khác nhau, đơn kiện của Orman cáo buộc rằng mỗi thành viên trong số bảy thành viên Hội đồng quản trị còn lại — Israel, Vincent, Lufkin, Barnet, Sherren, Bernbach và Solomon — đều có quyền lợi liên quan và/hoặc thiếu tính độc lập.</w:t>
      </w:r>
    </w:p>
    <w:p>
      <w:pPr>
        <w:spacing w:after="80"/>
      </w:pPr>
      <w:r>
        <w:rPr>
          <w:b w:val="0"/>
          <w:i/>
        </w:rPr>
        <w:t>Các giám đốc Israel và Vincent</w:t>
      </w:r>
    </w:p>
    <w:p>
      <w:pPr>
        <w:spacing w:after="80"/>
      </w:pPr>
      <w:r>
        <w:rPr>
          <w:b w:val="0"/>
          <w:i w:val="0"/>
        </w:rPr>
        <w:t>Có lẽ những cáo buộc yếu nhất về quyền lợi liên quan và/hoặc sự thiếu độc lập nhắm vào các giám đốc Israel và Vincent, cả hai đều là thành viên của Ủy ban Đặc biệt đã điều tra tính khả thi của thương vụ sáp nhập và đàm phán với Swedish Match. Đơn kiện nêu rằng hai bị đơn này "có các mối quan hệ kinh doanh lâu dài với các thành viên của Nhóm Cullman, điều này cản trở và làm suy yếu khả năng hoạt động độc lập và thoát khỏi ảnh hưởng của Nhóm Cullman của họ." Sự kiện duy nhất được trình bày để hỗ trợ cho khẳng định này chỉ là việc dẫn chiếu đơn thuần rằng Israel và Vincent đã giữ chức giám đốc của General Cigar lần lượt từ năm 1989 và 1992. Trong bản lập luận phản đối đề nghị bác bỏ đơn kiện của các bị đơn, Orman dường như thừa nhận rằng Israel và Vincent là độc lập bằng cách bỏ qua hai giám đốc này khỏi lập luận của mình rằng, ngoài Nhóm Cullman, "[n]guyên đơn đã trình bày đủ rằng Sherren, Bernbach, Solomon và Lufkin cũng có những xung đột lợi ích gây tê liệt và thiếu tính độc lập liên quan đến giao dịch."</w:t>
      </w:r>
    </w:p>
    <w:p>
      <w:pPr>
        <w:spacing w:after="80"/>
      </w:pPr>
      <w:r>
        <w:rPr>
          <w:b w:val="0"/>
          <w:i w:val="0"/>
        </w:rPr>
        <w:t>Tuy nhiên, ở giai đoạn này của vụ kiện, Tòa án phải tập trung vào các cáo buộc trong đơn kiện. Do đó, để làm rõ ý kiến của tôi về tính độc lập của các giám đốc Israel và Vincent, tôi kết luận rằng các cáo buộc trong đơn kiện liên quan đến sự thiếu độc lập của hai giám đốc này không đủ căn cứ pháp lý. Việc khẳng định trần trụi về một mối quan hệ kinh doanh trước đây là không đủ để vượt qua giả định về tính độc lập của một giám đốc.</w:t>
      </w:r>
    </w:p>
    <w:p>
      <w:pPr>
        <w:spacing w:after="80"/>
      </w:pPr>
      <w:r>
        <w:rPr>
          <w:b w:val="0"/>
          <w:i/>
        </w:rPr>
        <w:t>Giám đốc Lufkin</w:t>
      </w:r>
    </w:p>
    <w:p>
      <w:pPr>
        <w:spacing w:after="80"/>
      </w:pPr>
      <w:r>
        <w:rPr>
          <w:b w:val="0"/>
          <w:i w:val="0"/>
        </w:rPr>
        <w:t>Orman khẳng định rằng giám đốc Lufkin, thành viên thứ ba của Ủy ban Đặc biệt, thiếu tính độc lập và cũng có quyền lợi liên quan trong giao dịch sáp nhập. Về sự thiếu độc lập được cho là của Lufkin, Orman đưa ra các cáo buộc giống như đã nhắm vào Israel và Vincent, cụ thể là Lufkin "có các mối quan hệ kinh doanh lâu dài với các thành viên của Nhóm Cullman, điều này cản trở và làm suy yếu khả năng hoạt động độc lập và thoát khỏi ảnh hưởng của Nhóm Cullman của [ông]. Bị đơn Lufkin đã là thành viên Hội đồng quản trị của General Cigar hoặc công ty tiền nhiệm từ năm 1976." Vì những lý do đã nêu ở trên, cáo buộc trần trụi như vậy không đủ căn cứ pháp lý để khẳng định sự thiếu độc lập của giám đốc Lufkin.</w:t>
      </w:r>
    </w:p>
    <w:p>
      <w:pPr>
        <w:spacing w:after="80"/>
      </w:pPr>
      <w:r>
        <w:rPr>
          <w:b w:val="0"/>
          <w:i/>
        </w:rPr>
        <w:t>Giám đốc Barnet</w:t>
      </w:r>
    </w:p>
    <w:p>
      <w:pPr>
        <w:spacing w:after="80"/>
      </w:pPr>
      <w:r>
        <w:rPr>
          <w:b w:val="0"/>
          <w:i w:val="0"/>
        </w:rPr>
        <w:t xml:space="preserve">Sự kiện </w:t>
      </w:r>
      <w:r>
        <w:rPr>
          <w:b w:val="0"/>
          <w:i/>
        </w:rPr>
        <w:t>duy nhất</w:t>
      </w:r>
      <w:r>
        <w:rPr>
          <w:b w:val="0"/>
          <w:i w:val="0"/>
        </w:rPr>
        <w:t xml:space="preserve"> được cáo buộc để hỗ trợ cho cáo buộc của Orman về quyền lợi liên quan của giám đốc Barnet là ông "có quyền lợi liên quan trong giao dịch vì ông sẽ trở thành giám đốc của công ty còn tồn tại sau sáp nhập." Không có án lệ nào được dẫn ra cho tôi, và tôi cũng không tìm thấy án lệ nào, trong đó một giám đốc được xác định là có quyền lợi tài chính </w:t>
      </w:r>
      <w:r>
        <w:rPr>
          <w:b w:val="0"/>
          <w:i/>
        </w:rPr>
        <w:t>chỉ vì</w:t>
      </w:r>
      <w:r>
        <w:rPr>
          <w:b w:val="0"/>
          <w:i w:val="0"/>
        </w:rPr>
        <w:t xml:space="preserve"> ông sẽ là giám đốc trong công ty còn tồn tại sau sáp nhập. Ngược lại, án lệ của chúng ta đã phán quyết rằng quyền lợi như vậy không phải là quyền lợi gây mất tư cách. Ngay cả khi tôi suy đoán rằng Orman đang cáo buộc rằng khoản thù lao mà Barnet sẽ nhận được với tư cách giám đốc của công ty còn tồn tại sau sáp nhập tạo ra quyền lợi gây tê liệt, thì nếu không có gì thêm, khẳng định đó cũng sẽ không đủ căn cứ. Vì Orman không cáo buộc sự kiện nào ngoài khẳng định về việc tiếp tục giữ chức thành viên hội đồng quản trị của Barnett, nên khẳng định về quyền lợi liên quan của ông không đủ căn cứ pháp lý.</w:t>
      </w:r>
    </w:p>
    <w:p>
      <w:pPr>
        <w:spacing w:after="80"/>
      </w:pPr>
      <w:r>
        <w:rPr>
          <w:b w:val="0"/>
          <w:i/>
        </w:rPr>
        <w:t>Giám đốc Bernbach</w:t>
      </w:r>
    </w:p>
    <w:p>
      <w:pPr>
        <w:spacing w:after="80"/>
      </w:pPr>
      <w:r>
        <w:rPr>
          <w:b w:val="0"/>
          <w:i w:val="0"/>
        </w:rPr>
        <w:t>Orman cáo buộc rằng giám đốc Bernbach vừa quan tâm đến thương vụ sáp nhập vừa thiếu tính độc lập để đưa ra quyết định khách quan liên quan đến giao dịch đó, bởi vì ông có “một thỏa thuận bằng văn bản với Công ty để cung cấp dịch vụ tư vấn [và rằng] [v]ào năm 1998 . . . Bernbach đã được trả $75,000 cho các dịch vụ đó . . . và thêm các khoản tiền kể từ ngày đó.” Orman còn khẳng định rằng Bản Tuyên bố Ủy quyền (Proxy Statement) đã không tiết lộ sự tồn tại của hợp đồng tư vấn, vốn được ký kết vào năm 1997, hoặc “rằng công ty còn tồn tại sẽ thừa hưởng các nghĩa vụ hợp đồng của Công ty đối với Bị đơn Bernbach.” Trái ngược với khẳng định của các bị đơn rằng Orman đã không nêu được bất kỳ nghĩa vụ tiếp diễn nào của General Cigar đối với Bernbach, đơn kiện của ông đã nêu rõ ràng nghĩa vụ tiếp diễn như vậy.</w:t>
      </w:r>
    </w:p>
    <w:p>
      <w:pPr>
        <w:spacing w:after="80"/>
      </w:pPr>
      <w:r>
        <w:rPr>
          <w:b w:val="0"/>
          <w:i w:val="0"/>
        </w:rPr>
        <w:t xml:space="preserve">Orman khẳng định rằng Bernbach có một hợp đồng tư vấn bằng văn bản với General Cigar, và rằng ông đã nhận, và tiếp tục nhận, các khoản thanh toán theo hợp đồng này. Ông còn cáo buộc rằng công ty còn tồn tại sẽ có nghĩa vụ duy trì các hợp đồng của công ty hiện tại. Những sự kiện được nêu đầy đủ như vậy, được chấp nhận là đúng trong một kiến nghị bác bỏ đơn kiện (motion to dismiss), đã nêu rõ ràng một nghĩa vụ tiếp diễn. Tuy nhiên, thật không may cho Orman, cáo buộc được nêu rõ ràng này lại là điều chí mạng đối với khẳng định của ông rằng Bernbach có quyền lợi trong giao dịch. Như Tòa án này đã từng tuyên bố trước đây, “một giám đốc được coi là có quyền lợi khi ông sẽ nhận được một lợi ích tài chính cá nhân </w:t>
      </w:r>
      <w:r>
        <w:rPr>
          <w:b w:val="0"/>
          <w:i/>
        </w:rPr>
        <w:t>từ một giao dịch</w:t>
      </w:r>
      <w:r>
        <w:rPr>
          <w:b w:val="0"/>
          <w:i w:val="0"/>
        </w:rPr>
        <w:t xml:space="preserve"> mà không được chia sẻ công bằng bởi các cổ đông.” Chấp nhận các cáo buộc của Orman là đúng cho thấy Bernbach không đáp ứng định nghĩa “quyền lợi” này. Bernbach có một hợp đồng với General Cigar. Nếu thương vụ sáp nhập được hoàn tất, ông sẽ có một hợp đồng mà công ty còn tồn tại có nghĩa vụ tôn trọng. Nếu thương vụ sáp nhập không được hoàn tất, ông vẫn sẽ có hợp đồng với General Cigar hiện tại mà công ty này có nghĩa vụ tôn trọng. Do đó, giám đốc Bernbach sẽ không nhận được lợi ích nào </w:t>
      </w:r>
      <w:r>
        <w:rPr>
          <w:b w:val="0"/>
          <w:i/>
        </w:rPr>
        <w:t>từ giao dịch</w:t>
      </w:r>
      <w:r>
        <w:rPr>
          <w:b w:val="0"/>
          <w:i w:val="0"/>
        </w:rPr>
        <w:t xml:space="preserve"> đang bị thách thức mà không được chia sẻ bởi các cổ đông General Cigar khác. Kết quả của thương vụ sáp nhập, cổ đông Bernbach sẽ được thanh toán tiền mặt và nhận cùng khoản đối价 cho cổ phiếu General Cigar của mình như phần còn lại của các Cổ đông Không liên kết (Unaffiliated Shareholders). Vì ông sẽ nhận được cùng lợi ích như các cổ đông khác của Công ty, lợi ích của ông trong việc đạt được giá cao nhất có thể cho cổ phiếu Công ty từ giao dịch sáp nhập đã phù hợp với các Cổ đông Không liên kết. Do đó, đơn kiện của Orman đã không nêu đủ rằng giám đốc Bernbach có quyền lợi trong thương vụ sáp nhập. Kết luận này loại bỏ nhu cầu xem xét, nhằm mục đích xác định liệu có tồn tại một quyền lợi gây vô hiệu hóa hay không, khẳng định tiếp theo của các bị đơn rằng ngay cả khi một số quyền lợi được cáo buộc đầy đủ, Orman đã không nêu được tính trọng yếu của hợp đồng đó đối với Bernbach.</w:t>
      </w:r>
    </w:p>
    <w:p>
      <w:pPr>
        <w:spacing w:after="80"/>
      </w:pPr>
      <w:r>
        <w:rPr>
          <w:b w:val="0"/>
          <w:i w:val="0"/>
        </w:rPr>
        <w:t>Orman cũng lập luận rằng thỏa thuận tư vấn của Bernbach cho thấy sự thiếu độc lập. Ở giai đoạn này của vụ kiện, các sự kiện hỗ trợ cáo buộc này đủ để đưa ra một suy luận hợp lý rằng giám đốc Bernbach bị kiểm soát bởi Nhóm Cullman vì ông phụ thuộc vào các cổ đông kiểm soát cho việc gia hạn hợp đồng tư vấn của mình trong tương lai. Ngoài các sự kiện được nêu cụ thể trong đơn kiện, Bản Tuyên bố Ủy quyền tiết lộ rằng, vào thời điểm giao dịch bị thách thức, nghề nghiệp chính của Bernbach là “Chủ tịch và Giám đốc Điều hành của Bernbach Group, Inc.” Chấp nhận là đúng tất cả các cáo buộc được nêu đầy đủ và các suy luận được rút ra một cách hợp lý từ đó trong vụ án này, tôi tin rằng thật hợp lý khi đặt câu hỏi về tính khách quan của một giám đốc có hợp đồng tư vấn với công ty của mình và sẽ tiếp tục có hợp đồng tư vấn với công ty còn tồn tại. Điều này đặc biệt đúng khi, bất kể thương vụ sáp nhập có được chấp thuận hay không, giám đốc bị thách thức đều phụ thuộc vào cùng một nhóm cổ đông kiểm soát ủng hộ giao dịch bị thách thức. Nhóm Cullman sẽ tiếp tục ở vị trí có thể quyết định liệu các hợp đồng cụ thể có được gia hạn hay không cũng như mức độ mà công ty sẽ sử dụng các dịch vụ tư vấn đã được ký kết. Mặc dù không có một mức tiền đô-la rõ ràng nào mà tại đó phí tư vấn mà một giám đốc nhận được trở nên trọng yếu, ở giai đoạn kiến nghị bác bỏ đơn kiện và dựa trên các sự kiện trước tôi, tôi nghĩ thật hợp lý khi suy luận rằng $75,000 sẽ là trọng yếu đối với giám đốc Bernbach và rằng ông phụ thuộc vào Nhóm Cullman để tiếp tục nhận được các khoản phí như vậy. Mặc dù không mang tính quyết định, suy luận về tính trọng yếu được củng cố khi khoản phí được cho là gây vô hiệu hóa được trả cho chính các dịch vụ tạo nên nghề nghiệp chính của giám đốc bị thách thức.</w:t>
      </w:r>
    </w:p>
    <w:p>
      <w:pPr>
        <w:spacing w:after="80"/>
      </w:pPr>
      <w:r>
        <w:rPr>
          <w:b w:val="0"/>
          <w:i/>
        </w:rPr>
        <w:t>Giám đốc Solomon</w:t>
      </w:r>
    </w:p>
    <w:p>
      <w:pPr>
        <w:spacing w:after="80"/>
      </w:pPr>
      <w:r>
        <w:rPr>
          <w:b w:val="0"/>
          <w:i w:val="0"/>
        </w:rPr>
        <w:t xml:space="preserve">Orman cáo buộc rằng “Bị đơn Solomon có quyền lợi trong giao dịch vì công ty của ông, PJSC, sẽ thu được phí $3.3 triệu nếu giao dịch được thực hiện.” Suy luận hợp lý có thể được rút ra từ lập luận này là nếu thương vụ sáp nhập được hoàn tất, PJSC sẽ nhận được $3.3 triệu. Nếu thương vụ sáp nhập không được hoàn tất, PJSC sẽ không nhận được $3.3 triệu. Do đó, PJSC có quyền lợi trong giao dịch. Vì nghề nghiệp chính của giám đốc Solomon là “Chủ tịch của Peter J. Solomon Company Limited và Peter J. Solomon Securities Company Limited,” thật hợp lý khi giả định rằng giám đốc Solomon sẽ được hưởng lợi cá nhân từ $3.3 triệu mà </w:t>
      </w:r>
      <w:r>
        <w:rPr>
          <w:b w:val="0"/>
          <w:i/>
        </w:rPr>
        <w:t>công ty của ông</w:t>
      </w:r>
      <w:r>
        <w:rPr>
          <w:b w:val="0"/>
          <w:i w:val="0"/>
        </w:rPr>
        <w:t xml:space="preserve"> sẽ nhận được nếu giao dịch bị thách thức được hoàn tất. Tôi nghĩ sẽ là ngây thơ nếu nói, như một vấn đề pháp lý, rằng $3.3 triệu là không trọng yếu. Theo ý kiến của tôi, do đó, thật hợp lý khi suy luận rằng giám đốc Solomon đã chịu một quyền lợi gây vô hiệu hóa khi cân nhắc cách bỏ phiếu của mình liên quan đến thương vụ sáp nhập bị thách thức, khi quyết định của Hội đồng Quản trị về vấn đề đó có thể quyết định liệu công ty của ông có nhận được $3.3 triệu hay không.</w:t>
      </w:r>
    </w:p>
    <w:p>
      <w:pPr>
        <w:spacing w:after="80"/>
      </w:pPr>
      <w:r>
        <w:rPr>
          <w:b w:val="0"/>
          <w:i w:val="0"/>
        </w:rPr>
        <w:t>Các giám đốc Bernbach và Solomon, ở giai đoạn này, không thể được coi là độc lập và không có quyền lợi. Do đó, Orman đã nêu các sự kiện khiến cho việc đặt câu hỏi về tính độc lập và/hoặc sự không có quyền lợi của đa số Hội đồng Quản trị General Cigar trở nên hợp lý—bốn giám đốc thuộc Nhóm Cullman, cộng với Bernbach và Solomon, tức sáu trong số mười một giám đốc. Theo đó, tôi không thể nói, như một vấn đề pháp lý, rằng các hành động của Hội đồng Quản trị General Cigar được bảo vệ bởi giả định quy tắc phán đoán kinh doanh (business judgment rule). Kiến nghị của các bị đơn nhằm bác bỏ các khiếu nại về nghĩa vụ tín thác (fiduciary duty)—vốn dựa trên kết luận rằng giao dịch bị thách thức đã được chấp thuận bởi một hội đồng quản trị không có quyền lợi và độc lập—phải bị bác bỏ.</w:t>
      </w:r>
    </w:p>
    <w:p>
      <w:pPr>
        <w:spacing w:after="80"/>
      </w:pPr>
      <w:r>
        <w:rPr>
          <w:b w:val="0"/>
          <w:i w:val="0"/>
        </w:rPr>
        <w:t>Tuy nhiên, việc đưa ra quyết định này liên quan đến lòng trung thành của Hội đồng Quản trị đã chấp thuận thương vụ sáp nhập không bác bỏ giả định phán đoán kinh doanh ở giai đoạn này của vụ kiện. Nó chỉ có nghĩa là giả định phán đoán kinh doanh không thể được dùng làm cơ sở để bác bỏ các khiếu nại về nghĩa vụ tín thác của Orman vì không nêu được một khiếu nại có thể nhận diện được.</w:t>
      </w:r>
    </w:p>
    <w:p>
      <w:pPr>
        <w:pStyle w:val="Heading5"/>
      </w:pPr>
      <w:r>
        <w:rPr>
          <w:rFonts w:ascii="Calibri" w:hAnsi="Calibri"/>
          <w:b/>
          <w:i/>
          <w:sz w:val="22"/>
        </w:rPr>
        <w:t>Bình luận và Câu hỏi</w:t>
      </w:r>
    </w:p>
    <w:p>
      <w:pPr>
        <w:spacing w:after="80"/>
      </w:pPr>
      <w:r>
        <w:rPr>
          <w:b w:val="0"/>
          <w:i w:val="0"/>
        </w:rPr>
        <w:t>1. Kết quả thực chất từ việc Thẩm phán Chandler bác bỏ khiếu nại của nguyên đơn về vi phạm nghĩa vụ trung thành là gì? Liệu nghĩa vụ chứng minh có bị dịch chuyển do quyết định này không?</w:t>
      </w:r>
    </w:p>
    <w:p>
      <w:pPr>
        <w:spacing w:after="80"/>
      </w:pPr>
      <w:r>
        <w:rPr>
          <w:b w:val="0"/>
          <w:i w:val="0"/>
        </w:rPr>
        <w:t>2. Thẩm phán Chandler đưa ra một tiêu chuẩn hai nhánh cho việc tự động áp dụng tiêu chuẩn công bằng toàn diện (entire fairness standard): “một thực thể [phải] đứng ở cả hai phía của giao dịch và rằng thực thể đó là một cổ đông kiểm soát.” Nhánh nào đã ngăn cản việc áp dụng xem xét công bằng toàn diện trong vụ án này? Quyết định của Thẩm phán Chandler có thể đã khác như thế nào nếu công bằng toàn diện được coi là tiêu chuẩn xem xét phù hợp và nghĩa vụ chứng minh được dịch chuyển sang các bị đơn?</w:t>
      </w:r>
    </w:p>
    <w:p>
      <w:pPr>
        <w:spacing w:after="80"/>
      </w:pPr>
      <w:r>
        <w:rPr>
          <w:b w:val="0"/>
          <w:i w:val="0"/>
        </w:rPr>
        <w:t xml:space="preserve">3. Thẩm phán Chandler nhận xét rằng các tòa án Delaware áp dụng một bài kiểm tra chủ quan khi xem xét tính độc lập của các giám đốc thay vì một bài kiểm tra giám đốc hợp lý khách quan. Những lợi thế của cách tiếp cận như vậy là gì? Liệu các bị đơn nói chung có được lợi hơn dưới một tiêu chuẩn khách quan hơn không? Việc Thẩm phán Chandler áp dụng bài kiểm tra đối với Bernbach có hợp lý không? Liệu các gia hạn giả định của hợp đồng tư vấn có đủ để làm suy yếu sự không có quyền lợi của một giám đốc không, hay sẽ hợp lý hơn nếu Thẩm phán Chandler đặt nền tảng thảo luận của mình vào mối quan hệ hợp đồng hiện tại giữa Bernbach và General Cigar? So sánh thảo luận của Thẩm phán Chandler về các gia hạn tiềm năng của hợp đồng Bernbach với các lợi ích mà Solomon sẽ nhận được từ việc hoàn tất thương vụ sáp nhập. Việc Thẩm phán Chandler xem xét ngắn gọn tính trọng yếu của các quyền lợi tài chính tiềm năng của Bernbach và Solomon có phù hợp với tiêu chuẩn trọng yếu của </w:t>
      </w:r>
      <w:r>
        <w:rPr>
          <w:b w:val="0"/>
          <w:i/>
        </w:rPr>
        <w:t>Rales</w:t>
      </w:r>
      <w:r>
        <w:rPr>
          <w:b w:val="0"/>
          <w:i w:val="0"/>
        </w:rPr>
        <w:t xml:space="preserve"> được thiết lập trước đó trong vụ án không? Giám đốc nào ít có khả năng không có quyền lợi trong thương vụ sáp nhập nhất? Liệu hội đồng quản trị có nên dự đoán một cách hợp lý rằng tính độc lập của các giám đốc này sẽ bị đặt câu hỏi một cách nghiêm túc không?</w:t>
      </w:r>
    </w:p>
    <w:p>
      <w:pPr>
        <w:spacing w:after="80"/>
      </w:pPr>
      <w:r>
        <w:rPr>
          <w:b w:val="0"/>
          <w:i w:val="0"/>
        </w:rPr>
        <w:t xml:space="preserve">4. Hai năm sau quyết định này, Thẩm phán Chandler giáng đòn cuối cùng vào vụ án của Orman, chấp thuận kiến nghị cuối cùng của các bị đơn về phán quyết tóm tắt (summary judgment). </w:t>
      </w:r>
      <w:r>
        <w:rPr>
          <w:b w:val="0"/>
          <w:i/>
        </w:rPr>
        <w:t>Xem Orman v. Cullman</w:t>
      </w:r>
      <w:r>
        <w:rPr>
          <w:b w:val="0"/>
          <w:i w:val="0"/>
        </w:rPr>
        <w:t xml:space="preserve"> , 2004 Del. Ch. LEXIS 150 (Oct. 20, 2004). Đến lúc đó, các khiếu nại của Orman đã bị lược bỏ cho đến khi cơ sở duy nhất còn lại của ông cho một vi phạm nghĩa vụ tín thác là cáo buộc rằng điều khoản khóa 18 tháng chống lại Nhóm Cullman đã ép buộc các cổ đông không liên kết chấp thuận thương vụ sáp nhập. Điều khoản này thực sự có thể có tác động gì, nếu có, đối với các cổ đông Loại A khi họ bỏ phiếu về thương vụ sáp nhập được đề xuất? Bạn có thể tưởng tượng một bộ hoàn cảnh khác nơi một cơ chế bảo vệ thỏa thuận như vậy có thể mang tính ép buộc đối với toàn bộ nhóm cổ đông không? Những cơ chế nào khác cũng có thể có tác động như vậy? Các án lệ hàng đầu ở Delaware về các cơ chế bảo vệ thỏa thuận là </w:t>
      </w:r>
      <w:r>
        <w:rPr>
          <w:b w:val="0"/>
          <w:i/>
        </w:rPr>
        <w:t>Unocal Corp. v. Mesa Petroleum Co.</w:t>
      </w:r>
      <w:r>
        <w:rPr>
          <w:b w:val="0"/>
          <w:i w:val="0"/>
        </w:rPr>
        <w:t xml:space="preserve"> , 493 A.2d 946 (Del. 1985) và </w:t>
      </w:r>
      <w:r>
        <w:rPr>
          <w:b w:val="0"/>
          <w:i/>
        </w:rPr>
        <w:t>Omnicare, Inc. v. NCS Healthcare, Inc.</w:t>
      </w:r>
      <w:r>
        <w:rPr>
          <w:b w:val="0"/>
          <w:i w:val="0"/>
        </w:rPr>
        <w:t xml:space="preserve"> , 818 A.2d 914 (Del. 2003). Để thảo luận về các vụ án này cũng như tác động và giới hạn của các cơ chế bảo vệ thỏa thuận, </w:t>
      </w:r>
      <w:r>
        <w:rPr>
          <w:b w:val="0"/>
          <w:i/>
        </w:rPr>
        <w:t>xem</w:t>
      </w:r>
      <w:r>
        <w:rPr>
          <w:b w:val="0"/>
          <w:i w:val="0"/>
        </w:rPr>
        <w:t xml:space="preserve"> Christina M. Sautter, </w:t>
      </w:r>
      <w:r>
        <w:rPr>
          <w:b w:val="0"/>
          <w:i/>
        </w:rPr>
        <w:t>Rethinking Contractual Limits on Fiduciary Duties</w:t>
      </w:r>
      <w:r>
        <w:rPr>
          <w:b w:val="0"/>
          <w:i w:val="0"/>
        </w:rPr>
        <w:t xml:space="preserve"> , 38 Fl. St. U. L. Rev. 55 (2010).</w:t>
      </w:r>
    </w:p>
    <w:p>
      <w:pPr>
        <w:pStyle w:val="Heading2"/>
      </w:pPr>
      <w:r>
        <w:rPr>
          <w:rFonts w:ascii="Calibri" w:hAnsi="Calibri"/>
          <w:b/>
          <w:i w:val="0"/>
          <w:sz w:val="32"/>
        </w:rPr>
        <w:t>III. Cạnh tranh với Công ty</w:t>
      </w:r>
    </w:p>
    <w:p>
      <w:pPr>
        <w:spacing w:after="80"/>
      </w:pPr>
      <w:r>
        <w:rPr>
          <w:b w:val="0"/>
          <w:i w:val="0"/>
        </w:rPr>
        <w:t>Khiếu nại rằng một người có nghĩa vụ tín thác đã chiếm đoạt cơ hội của công ty có liên quan chặt chẽ đến một vi phạm tiềm năng khác của nghĩa vụ trung thành: cáo buộc rằng bị đơn đã cạnh tranh không công bằng với công ty. Giống như học thuyết cơ hội công ty (corporate opportunity doctrine), các tòa án xem xét kỹ lưỡng các khiếu nại về cạnh tranh không công bằng thông qua việc kiểm tra sự kiện chi tiết nhằm phân biệt hoạt động kinh tế được phép với các vi phạm nghĩa vụ tín thác. Tuy nhiên, trong các vụ án cạnh tranh không công bằng, vi phạm bị cáo buộc không phải là việc giành được một giao dịch thương mại hay khách hàng duy nhất mà là việc gia nhập thị trường với tư cách một đối thủ cạnh tranh trực tiếp của công ty. Như vụ án sau đây chứng minh, công ty thường chịu tổn thất do người có nghĩa vụ tín thác lấy đi thông tin, nhân viên có giá trị, và/hoặc khách hàng từ công ty. Khiếu nại về vi phạm nghĩa vụ trung thành của công ty được củng cố nếu công ty có thể chứng minh rằng người có nghĩa vụ tín thác đã biển thủ các tài sản của công ty này trước khi cô ấy từ chức khỏi hãng.</w:t>
      </w:r>
    </w:p>
    <w:p>
      <w:pPr>
        <w:pStyle w:val="Heading4"/>
      </w:pPr>
      <w:r>
        <w:rPr>
          <w:rFonts w:ascii="Calibri" w:hAnsi="Calibri"/>
          <w:b/>
          <w:i w:val="0"/>
          <w:sz w:val="23"/>
        </w:rPr>
        <w:t>Riggs Inv. Mgmt. Corp. v. Columbia Partners, L.L.C.</w:t>
      </w:r>
    </w:p>
    <w:p>
      <w:pPr>
        <w:spacing w:after="80"/>
      </w:pPr>
      <w:r>
        <w:rPr>
          <w:b w:val="0"/>
          <w:i w:val="0"/>
        </w:rPr>
        <w:t>Tòa án Quận Hoa Kỳ, Quận Columbia</w:t>
      </w:r>
      <w:r>
        <w:br/>
      </w:r>
      <w:r>
        <w:rPr>
          <w:b w:val="0"/>
          <w:i w:val="0"/>
        </w:rPr>
        <w:t xml:space="preserve"> 966 F. Supp. 1250 (1997)</w:t>
      </w:r>
    </w:p>
    <w:p>
      <w:pPr>
        <w:spacing w:after="80"/>
      </w:pPr>
      <w:r>
        <w:rPr>
          <w:b w:val="0"/>
          <w:i w:val="0"/>
        </w:rPr>
        <w:t>THẨM PHÁN QUẬN LAMBERTH:</w:t>
      </w:r>
    </w:p>
    <w:p>
      <w:pPr>
        <w:spacing w:after="80"/>
      </w:pPr>
      <w:r>
        <w:rPr>
          <w:b w:val="0"/>
          <w:i w:val="0"/>
        </w:rPr>
        <w:t>Nguyên đơn Riggs Investment Management Corporation (“RIMCO”) quản lý các quỹ đầu tư cho cá nhân, quỹ hưu trí, và các nhà đầu tư doanh nghiệp và tổ chức khác. RIMCO là công ty con sở hữu toàn phần của Nguyên đơn Riggs Bank, N.A. (“Riggs”).</w:t>
      </w:r>
    </w:p>
    <w:p>
      <w:pPr>
        <w:spacing w:after="80"/>
      </w:pPr>
      <w:r>
        <w:rPr>
          <w:b w:val="0"/>
          <w:i w:val="0"/>
        </w:rPr>
        <w:t>Vào tháng 6 năm 1989, bị đơn Robert von Pentz rời khỏi một đối thủ cạnh tranh, American Securities Bank Capital Management (“ASB”), để trở thành Giám đốc Điều hành Chiến lược và Quản lý Vốn cổ phần của RIMCO. Khi von Pentz trở thành CEO của RIMCO vào tháng 1 năm 1990, ông đã thuê Philip Tasho, một đồng nghiệp cũ ở ASB, làm người thay thế von Pentz đứng đầu bộ phận cổ phiếu tại RIMCO. Von Pentz giữ chức Giám đốc Điều hành, Giám đốc Đầu tư và Chủ tịch Hội đồng Quản trị của RIMCO từ cuối năm 1989 cho đến khi ông từ chức vào ngày 28 tháng 9 năm 1995.</w:t>
      </w:r>
    </w:p>
    <w:p>
      <w:pPr>
        <w:spacing w:after="80"/>
      </w:pPr>
      <w:r>
        <w:rPr>
          <w:b w:val="0"/>
          <w:i w:val="0"/>
        </w:rPr>
        <w:t>Von Pentz đã gia hạn hợp đồng lao động của mình với RIMCO [vào tháng 7 năm 1994]. Hợp đồng này, kéo dài đến ngày 31 tháng 12 năm 1995, cho phép von Pentz nhận mức lương hàng năm là $175,000, cùng với khoản thù lao khuyến khích bổ sung dựa trên lợi nhuận và hiệu suất của RIMCO. Vào tháng 7 năm 1995, Tim Coughlin và Henry Dudley—người kế nhiệm George Grosz, người đứng đầu bộ phận Dịch vụ Tài chính tại Riggs Bank—đã gặp von Pentz để thảo luận về khả năng gia hạn hợp đồng lao động của ông, hợp đồng sẽ hết hạn vào ngày 31 tháng 12 năm 1995. Von Pentz không háo hức ký kết hợp đồng mới, nhưng sẵn lòng lắng nghe đề xuất của Riggs. Ông muốn có quyền lợi cổ phần tại RIMCO như một động lực để ký kết bất kỳ hợp đồng mới nào, nhưng khi Dudley và Coughlin cuối cùng trình bày cho von Pentz một bản dự thảo thỏa thuận lao động vào cuối tháng 9, nó không có điều khoản nào về quyền lợi cổ phần tại RIMCO, và những thay đổi về điều khoản so với hợp đồng hiện tại không đặc biệt có lợi cho von Pentz. Von Pentz thấy các điều khoản trong bản dự thảo hợp đồng là không thể chấp nhận được, và nói với họ rằng ông sẽ không ký nó vì những cơ hội khác mà ông đang có.</w:t>
      </w:r>
    </w:p>
    <w:p>
      <w:pPr>
        <w:spacing w:after="80"/>
      </w:pPr>
      <w:r>
        <w:rPr>
          <w:b w:val="0"/>
          <w:i w:val="0"/>
        </w:rPr>
        <w:t>Vào ngày 28 tháng 9 năm 1995, hơn ba tháng trước khi hợp đồng của ông hết hạn, von Pentz từ chức mà không thông báo trước. Ông ngay lập tức đến làm việc cho bị đơn Columbia Partners, một công ty đầu tư mà ông nắm giữ mười phần trăm cổ phần. Trong vòng hai ngày, von Pentz đã thuê tám nhân viên của RIMCO để cùng ông gia nhập Columbia Partners, bao gồm tất cả những người liên quan đến tiếp thị, dịch vụ khách hàng, và đầu tư cổ phiếu.</w:t>
      </w:r>
    </w:p>
    <w:p>
      <w:pPr>
        <w:spacing w:after="80"/>
      </w:pPr>
      <w:r>
        <w:rPr>
          <w:b w:val="0"/>
          <w:i w:val="0"/>
        </w:rPr>
        <w:t>Vào thứ Hai, ngày 2 tháng 10 năm 1995, Columbia Partners chính thức mở cửa kinh doanh tại các văn phòng được trang bị đầy đủ trên Đại lộ Pennsylvania, và Columbia Partners đang tích cực chào mời các khách hàng đầu tư, bao gồm cả khách hàng của RIMCO. Do hành động của bị đơn von Pentz trong việc khởi động doanh nghiệp mới của mình và lôi kéo nhân viên RIMCO, các nguyên đơn đã cáo buộc von Pentz vi phạm nghĩa vụ ủy thác. Do những hành động bị cáo buộc của Columbia Partners, các nguyên đơn buộc tội vi phạm Lanham Act và cạnh tranh không lành mạnh.</w:t>
      </w:r>
    </w:p>
    <w:p>
      <w:pPr>
        <w:spacing w:after="80"/>
      </w:pPr>
      <w:r>
        <w:rPr>
          <w:b w:val="0"/>
          <w:i/>
        </w:rPr>
        <w:t>Sự thành lập Columbia Partners</w:t>
      </w:r>
    </w:p>
    <w:p>
      <w:pPr>
        <w:spacing w:after="80"/>
      </w:pPr>
      <w:r>
        <w:rPr>
          <w:b w:val="0"/>
          <w:i w:val="0"/>
        </w:rPr>
        <w:t>Bằng chứng xác lập rằng từ ít nhất tháng 2 năm 1995, von Pentz đã tham gia vào việc phát triển các dự báo cho Columbia Partners, và từ ít nhất tháng 4 năm 1995, đã chia sẻ thông tin về nhân viên và khách hàng của RIMCO để đưa vào các dự báo đó. Galway cần các dự báo để đảm bảo tính khả thi của dự án và để thu hút các nhà đầu tư.</w:t>
      </w:r>
    </w:p>
    <w:p>
      <w:pPr>
        <w:spacing w:after="80"/>
      </w:pPr>
      <w:r>
        <w:rPr>
          <w:b w:val="0"/>
          <w:i w:val="0"/>
        </w:rPr>
        <w:t>Để tạo ngân sách cho công ty mới nhằm biết cần bao nhiêu vốn khởi nghiệp, Fant đã yêu cầu Collins và von Pentz cung cấp ước tính về một số chi phí như lương nhân viên và doanh thu từ khách hàng tiềm năng cho công ty mới. Bắt đầu từ tháng 4 năm 1995, von Pentz đã gửi bảng tính cho Collins và sau đó là Pant, trong đó chứa ước tính của ông về doanh thu và chi phí tiềm năng cho công ty mới. Những bảng tính này chứa tên của một số khách hàng RIMCO và thông tin liên quan đến quy mô tài khoản của khách hàng, phí mà khách hàng đó trả, và ước tính của von Pentz về xác suất khách hàng sẽ chuyển tài khoản của họ sang công ty mới. Bảng tính của von Pentz cũng liệt kê tên và mức lương của các nhân viên RIMCO mà ông hy vọng sẽ chiêu mộ cho liên doanh mới.</w:t>
      </w:r>
    </w:p>
    <w:p>
      <w:pPr>
        <w:spacing w:after="80"/>
      </w:pPr>
      <w:r>
        <w:rPr>
          <w:b w:val="0"/>
          <w:i w:val="0"/>
        </w:rPr>
        <w:t>Các bị đơn thừa nhận rằng một số thông tin do von Pentz cung cấp cho Collins và Fant là thông tin mật của RIMCO, nhưng cho rằng đó không phải là loại thông tin mật đặc biệt hữu ích cho đối thủ cạnh tranh, hoặc sẽ gây tổn hại cạnh tranh cho RIMCO nếu bị tiết lộ. Ví dụ, tên của các khách hàng tổ chức của RIMCO được in trong tài liệu quảng cáo của công ty, và von Pentz đã làm chứng rằng nhiều khách hàng sẵn lòng tiết lộ số lượng tài sản họ có với các nhà quản lý tiền khác nhau. Tuy nhiên, von Pentz cũng tiết lộ thông tin về tài sản mà khách hàng RIMCO đang được quản lý và phí mà mỗi khách hàng tạo ra. Von Pentz thừa nhận rằng ông chưa bao giờ chia sẻ thông tin như vậy về khách hàng với bất kỳ đối thủ cạnh tranh nào trước đây, và rằng ông không có sự đồng ý của khách hàng để chia sẻ thông tin về tài khoản của họ. Von Pentz cũng thừa nhận rằng phí do các nhà quản lý đầu tư thu là “một yếu tố trong sự cân bằng cạnh tranh giữa các công ty,” mặc dù ông tin rằng đó là một trong những yếu tố ít quan trọng nhất khi chọn một nhà quản lý tiền.</w:t>
      </w:r>
    </w:p>
    <w:p>
      <w:pPr>
        <w:spacing w:after="80"/>
      </w:pPr>
      <w:r>
        <w:rPr>
          <w:b w:val="0"/>
          <w:i w:val="0"/>
        </w:rPr>
        <w:t>Các dự báo mà von Pentz và Collins cung cấp cho Galway liệt kê nhân viên RIMCO và khách hàng RIMCO mà von Pentz dự định chiêu mộ cho công ty mới, xác định nhân viên tiếp thị RIMCO nào có mối quan hệ với khách hàng RIMCO mục tiêu nào, và ước tính xác suất mỗi khách hàng có thể được chuyển sang liên doanh mới. Von Pentz cũng chia sẻ thông tin về mức lương và tiền thưởng cần thiết để chiêu mộ nhân viên RIMCO.</w:t>
      </w:r>
    </w:p>
    <w:p>
      <w:pPr>
        <w:spacing w:after="80"/>
      </w:pPr>
      <w:r>
        <w:rPr>
          <w:b w:val="0"/>
          <w:i w:val="0"/>
        </w:rPr>
        <w:t>Suốt mùa hè năm 1995, von Pentz và Collins đã cung cấp ý kiến đóng góp và phê duyệt liên quan đến “hầu như mọi chi tiết” của việc thành lập Columbia Partners. Ý kiến của von Pentz được tìm kiếm về mọi thứ từ việc tìm không gian văn phòng và đồ nội thất, mua phần mềm máy tính, và thiết kế bố cục văn phòng, đến việc đặt ổ cắm điện thoại, và thậm chí chọn cà phê cho văn phòng. Von Pentz cũng làm việc về việc thiết lập cơ cấu lương và hoa hồng.</w:t>
      </w:r>
    </w:p>
    <w:p>
      <w:pPr>
        <w:spacing w:after="80"/>
      </w:pPr>
      <w:r>
        <w:rPr>
          <w:b w:val="0"/>
          <w:i/>
        </w:rPr>
        <w:t>Nhân viên RIMCO</w:t>
      </w:r>
    </w:p>
    <w:p>
      <w:pPr>
        <w:spacing w:after="80"/>
      </w:pPr>
      <w:r>
        <w:rPr>
          <w:b w:val="0"/>
          <w:i w:val="0"/>
        </w:rPr>
        <w:t>Von Pentz thừa nhận rằng vào mùa hè năm 1994, khi ông và Collins đang tìm kiếm nhà đầu tư, ông đã tiết lộ cho nhân viên RIMCO rằng ông dự định thành lập doanh nghiệp riêng của mình, và rằng ông hy vọng sẽ đưa họ đi cùng. Vào tháng 7 năm 1995, von Pentz nói với Curt Winsor về “giấc mơ” điều hành công ty riêng của mình. Cuộc trò chuyện đó đã thúc đẩy Winsor thảo luận chủ đề này với Tom O'Neill. Vào khoảng cùng thời điểm, von Pentz có những cuộc trò chuyện tương tự với Louise Toler và Colleen Kelly.</w:t>
      </w:r>
    </w:p>
    <w:p>
      <w:pPr>
        <w:spacing w:after="80"/>
      </w:pPr>
      <w:r>
        <w:rPr>
          <w:b w:val="0"/>
          <w:i w:val="0"/>
        </w:rPr>
        <w:t>Suốt tháng 9 năm 1995, von Pentz đã thông báo cho nhân viên RIMCO về việc ông sắp rời khỏi RIMCO. Vào ngày 6 tháng 9 năm 1995, von Pentz nói với Lane rằng ông sẽ sớm rời đi để thành lập công ty riêng của mình, và yêu cầu Lane tham gia cùng ông. Cuộc trò chuyện này diễn ra khi hai người đang bay đến gặp Texas Scottish Rite Hospital, một khách hàng mà von Pentz đã xác định là một khách hàng mà Lane có thể mang sang Columbia Partners. Vào ngày 19 tháng 9 năm 1995, von Pentz đưa Lane đi tham quan văn phòng tương lai của Columbia Partners và thông báo cho Lane rằng ông sẽ từ chức vào ngày 28 tháng 9. Lane thừa nhận rằng mặc dù ông là một cán bộ của RIMCO, ông đã không tiết lộ cho ban quản lý của Riggs về việc von Pentz sắp rời đi vì lòng trung thành cá nhân với von Pentz.</w:t>
      </w:r>
    </w:p>
    <w:p>
      <w:pPr>
        <w:spacing w:after="80"/>
      </w:pPr>
      <w:r>
        <w:rPr>
          <w:b w:val="0"/>
          <w:i w:val="0"/>
        </w:rPr>
        <w:t>Vào ngày 14 tháng 9 năm 1995, von Pentz đã thảo luận về việc ông sắp rời đi với O'Neill trên chuyến bay trở về từ Kentucky, nơi họ đã tham dự một cuộc họp với Modern Welding và đã tiếp đãi một người được ủy thác của UIU Pension Trust (“UIU”). Von Pentz đã xác định Modern Welding và UIU là những khách hàng RIMCO có khả năng sẽ theo O'Neill và von Pentz, tương ứng, đến công ty mới. Von Pentz nói với O'Neill rằng ông sẽ rời RIMCO trong vài tuần tới; rằng ông sẽ hợp lực với một thực thể nổi tiếng khác; và rằng ông sẽ điều hành mảng cổ phiếu của liên doanh mới.</w:t>
      </w:r>
    </w:p>
    <w:p>
      <w:pPr>
        <w:spacing w:after="80"/>
      </w:pPr>
      <w:r>
        <w:rPr>
          <w:b w:val="0"/>
          <w:i w:val="0"/>
        </w:rPr>
        <w:t>Vào ngày 26 tháng 9 năm 1995, von Pentz và Winsor đã thảo luận về Columbia Partners trong bữa trưa. Von Pentz nói với Winsor rằng ông sẽ rời đi vào cuối tuần và bàn về việc Winsor gia nhập công ty mới với trách nhiệm trong lĩnh vực tiếp thị. Winsor hiểu rằng mình đã được nhận lời mời làm việc, và rằng mình đã chấp nhận nó, dù không nói rõ ràng.</w:t>
      </w:r>
    </w:p>
    <w:p>
      <w:pPr>
        <w:spacing w:after="80"/>
      </w:pPr>
      <w:r>
        <w:rPr>
          <w:b w:val="0"/>
          <w:i w:val="0"/>
        </w:rPr>
        <w:t>Vào ngày 27 tháng 9 năm 1995, von Pentz đưa Louise Toler đi tham quan văn phòng tương lai của Columbia Partners, nói với cô rằng ông đang hợp lực với Collins, và cho cô xem một lá thư ghi rõ các điều khoản trong lời mời làm việc của cô tại Columbia Partners.</w:t>
      </w:r>
    </w:p>
    <w:p>
      <w:pPr>
        <w:spacing w:after="80"/>
      </w:pPr>
      <w:r>
        <w:rPr>
          <w:b w:val="0"/>
          <w:i w:val="0"/>
        </w:rPr>
        <w:t>Mỗi nhân viên RIMCO này đều từ chức vào ngày 28 tháng 9 năm 1995. Mặc dù Winsor và O'Neill thường gặp từ 10 đến 20 khách hàng tiềm năng mỗi tháng, tính đến thời điểm họ từ chức khỏi RIMCO vào ngày 28 tháng 9 năm 1995, Winsor chỉ có một cuộc hẹn với RIMCO được lên lịch và O'Neill không có cuộc hẹn nào. Von Pentz từ chức, danh thiếp của O'Neill, Winsor và Lane đã được in xong và có sẵn tại Columbia Partners. Bốn nhân viên khác mà von Pentz nhắm đến cũng từ chức trong vòng vài ngày sau khi von Pentz từ chức. Một số người đề nghị ở lại RIMCO trong khi RIMCO thu xếp người thay thế, nhưng RIMCO thường từ chối.</w:t>
      </w:r>
    </w:p>
    <w:p>
      <w:pPr>
        <w:spacing w:after="80"/>
      </w:pPr>
      <w:r>
        <w:rPr>
          <w:b w:val="0"/>
          <w:i/>
        </w:rPr>
        <w:t>Khách hàng của RIMCO</w:t>
      </w:r>
    </w:p>
    <w:p>
      <w:pPr>
        <w:spacing w:after="80"/>
      </w:pPr>
      <w:r>
        <w:rPr>
          <w:b w:val="0"/>
          <w:i w:val="0"/>
        </w:rPr>
        <w:t>Vào tháng 9 năm 1995, von Pentz và Lane hoặc O'Neill đã gặp gỡ đại diện của các khách hàng RIMCO được nhắm đến cho Columbia Partners: Texas Scottish Rite, Modern Welding và UIU. Von Pentz đã xác định mỗi khách hàng là một triển vọng sẽ được đưa sang Columbia Partners bởi chính ông, Lane, hoặc O'Neill. Lane ban đầu phủ nhận rằng việc ông đi lại thường xuyên như vậy và đi cùng cả O'Neill lẫn von Pentz là điều bất thường, như như họ đã làm trong chuyến đi gặp Modern Welding và người được ủy thác của UIU, nhưng đã bị bác bỏ chính ở điểm này. Von Pentz thừa nhận rằng trước đây ông chưa từng đến thăm người được ủy thác của UIU tại nhà riêng của ông ấy ở Kentucky.</w:t>
      </w:r>
    </w:p>
    <w:p>
      <w:pPr>
        <w:spacing w:after="80"/>
      </w:pPr>
      <w:r>
        <w:rPr>
          <w:b w:val="0"/>
          <w:i w:val="0"/>
        </w:rPr>
        <w:t>Von Pentz nói với hai khách hàng của RIMCO rằng ông sẽ từ chức trước khi ông nói với ban quản lý Riggs: UIU, một trong những tài khoản lớn nhất của RIMCO, và National Electrical Contractors Association (NECA). Tuy nhiên, đối với NECA, thông báo này chỉ trước thông báo của Riggs vài giờ, và trong trường hợp của UIU, "thông báo" trước đó này diễn ra trong một cuộc trò chuyện cocktail với Howard Kluttz, một người bạn lâu năm của von Pentz và là cố vấn không chính thức cho UIU. Hơn nữa, Richard Hoffman, một giám đốc điều hành của UIU có liên quan quan trọng nhất đến việc chuyển tiền từ RIMCO sang Columbia Partners, đã làm chứng rằng ông lần đầu biết được von Pentz đang rời RIMCO sau khi ông ấy đã từ chức. Tin tức này là một bất ngờ đối với ông Hoffman. Cả UIU và NECA đều chuyển tài khoản của họ sang Columbia Partners trong vài ngày đầu tiên công ty tồn tại.</w:t>
      </w:r>
    </w:p>
    <w:p>
      <w:pPr>
        <w:spacing w:after="80"/>
      </w:pPr>
      <w:r>
        <w:rPr>
          <w:b w:val="0"/>
          <w:i/>
        </w:rPr>
        <w:t>Đàm phán với Ban quản lý Riggs</w:t>
      </w:r>
    </w:p>
    <w:p>
      <w:pPr>
        <w:spacing w:after="80"/>
      </w:pPr>
      <w:r>
        <w:rPr>
          <w:b w:val="0"/>
          <w:i w:val="0"/>
        </w:rPr>
        <w:t>Không có thời điểm nào trước ngày 28 tháng 9 mà von Pentz nói với ban quản lý Riggs về ý định từ chức trước khi hợp đồng của ông hết hạn. Von Pentz cũng không đảm bảo rằng RIMCO sẽ tiếp tục hoạt động sau khi ông từ chức. Nhưng những đám mây đen rõ ràng đã xuất hiện ở đường chân trời. Trên thực tế, Dudley đã làm chứng rằng ông tìm cách đàm phán hợp đồng mới với von Pentz vào mùa hè năm 1995 vì ông sợ von Pentz sẽ rời đi.</w:t>
      </w:r>
    </w:p>
    <w:p>
      <w:pPr>
        <w:spacing w:after="80"/>
      </w:pPr>
      <w:r>
        <w:rPr>
          <w:b w:val="0"/>
          <w:i w:val="0"/>
        </w:rPr>
        <w:t>Von Pentz làm chứng rằng ông đã nói với Dudley một tuần trước khi ra đi rằng ông không thấy lý do gì để ký hợp đồng mới vì RIMCO không mang lại cho ông điều gì mới mẻ hay có lợi. Tuy nhiên, ông có nói rằng ông sẽ xem lại hợp đồng một lần nữa. Von Pentz không chính thức nói với Dudley về ý định từ chức của mình cho đến tối ngày 27 tháng 9 năm 1997. Vào thời điểm đó, Dudley đang thăm một khách hàng của RIMCO ở phía bắc Pittsburgh, Pennsylvania. Mặc dù nguyên đơn muốn cho thấy việc von Pentz từ chức đã tàn phá tổ chức đến mức nào, đáng lưu ý rằng Dudley đã không bay trở lại Washington để thực hiện dù chỉ một chút kiểm soát thiệt hại, mặc dù von Pentz đã gọi cho ông vào đêm trước khi ông nghỉ việc để cảnh báo. Von Pentz thậm chí còn đề nghị đưa Dudley xuống Washington bằng máy bay riêng, nhưng Dudley thay vào đó ở lại Pennsylvania để chơi golf. Ngày hôm sau, von Pentz đệ đơn từ chức lên Tim Coughlin và Fred Bollerer. Ông từ chối yêu cầu hoàn thành nốt hợp đồng của mình.</w:t>
      </w:r>
    </w:p>
    <w:p>
      <w:pPr>
        <w:spacing w:after="80"/>
      </w:pPr>
      <w:r>
        <w:rPr>
          <w:b w:val="0"/>
          <w:i w:val="0"/>
        </w:rPr>
        <w:t>Một ngày sau khi Columbia Partners mở cửa kinh doanh, UIU, một trong những khách hàng lớn nhất của RIMCO, đã chuyển tài khoản của mình sang hoạt động mới của von Pentz. Richard Hoffman, cố vấn pháp lý cho UIU, lo ngại rằng một "thảm họa" có thể xảy ra trong khoảng thời gian RIMCO cần để thuê người kế nhiệm von Pentz. Nhưng Hoffman cũng nói, "[c]húng tôi thích hiệu quả công việc mà ông von Pentz đã mang lại cho chúng tôi. Và ông ấy biết danh mục đầu tư của chúng tôi. Ông ấy biết—ông ấy biết chúng tôi. Và cân nhắc tất cả các yếu tố này, chúng tôi quyết định chuyển tiền." Hoffman khuyến nghị UIU chuyển tiền ngay lập tức.</w:t>
      </w:r>
    </w:p>
    <w:p>
      <w:pPr>
        <w:spacing w:after="80"/>
      </w:pPr>
      <w:r>
        <w:rPr>
          <w:b w:val="0"/>
          <w:i w:val="0"/>
        </w:rPr>
        <w:t>Vấn đề bây giờ là những hậu quả pháp lý nào gắn liền với những hành động này.</w:t>
      </w:r>
    </w:p>
    <w:p>
      <w:pPr>
        <w:spacing w:after="80"/>
      </w:pPr>
      <w:r>
        <w:rPr>
          <w:b w:val="0"/>
          <w:i/>
        </w:rPr>
        <w:t>Vi phạm nghĩa vụ ủy thác</w:t>
      </w:r>
    </w:p>
    <w:p>
      <w:pPr>
        <w:spacing w:after="80"/>
      </w:pPr>
      <w:r>
        <w:rPr>
          <w:b w:val="0"/>
          <w:i w:val="0"/>
        </w:rPr>
        <w:t xml:space="preserve">Với tư cách là Chủ tịch Hội đồng quản trị và CEO của RIMCO từ giữa năm 1994 đến tháng 9 năm 1995, von Pentz có nghĩa vụ ủy thác đối với cả RIMCO và cổ đông duy nhất của nó, Riggs. Nghĩa vụ này bao gồm một bổn phận về "lòng trung thành không chia rẽ và không vụ lợi" đối với người sử dụng lao động của mình. </w:t>
      </w:r>
      <w:r>
        <w:rPr>
          <w:b w:val="0"/>
          <w:i/>
        </w:rPr>
        <w:t>Maryland Metals, Inc. v. Metzner</w:t>
      </w:r>
      <w:r>
        <w:rPr>
          <w:b w:val="0"/>
          <w:i w:val="0"/>
        </w:rPr>
        <w:t xml:space="preserve"> , 382 A.2d, 564, 568 (1978). Hơn nữa, với tư cách là một đại lý, von Pentz có bổn phận hành động chỉ vì lợi ích của người sử dụng lao động trong mọi vấn đề thuộc phạm vi công việc của mình và tránh xung đột lợi ích giữa bổn phận của ông với người sử dụng lao động và lợi ích cá nhân của chính ông. </w:t>
      </w:r>
      <w:r>
        <w:rPr>
          <w:b w:val="0"/>
          <w:i/>
        </w:rPr>
        <w:t>Id.</w:t>
      </w:r>
    </w:p>
    <w:p>
      <w:pPr>
        <w:spacing w:after="80"/>
      </w:pPr>
      <w:r>
        <w:rPr>
          <w:b w:val="0"/>
          <w:i w:val="0"/>
        </w:rPr>
        <w:t xml:space="preserve">Nhưng cũng như von Pentz có bổn phận trung thành với RIMCO, rõ ràng là một đại lý có thể thu xếp hoặc lên kế hoạch cạnh tranh với người ủy thác của mình trước khi chấm dứt quan hệ đại lý, "miễn là không có hành vi bất công nào được thực hiện hoặc gây tổn hại cho người ủy thác." </w:t>
      </w:r>
      <w:r>
        <w:rPr>
          <w:b w:val="0"/>
          <w:i/>
        </w:rPr>
        <w:t>Mercer Management Consulting v. Wilde</w:t>
      </w:r>
      <w:r>
        <w:rPr>
          <w:b w:val="0"/>
          <w:i w:val="0"/>
        </w:rPr>
        <w:t xml:space="preserve"> , 920 F. Supp. 219, 232 (D.D.C. 1996), dẫn </w:t>
      </w:r>
      <w:r>
        <w:rPr>
          <w:b w:val="0"/>
          <w:i/>
        </w:rPr>
        <w:t>Science Accessories Corp. v. Summagraphics Corp.</w:t>
      </w:r>
      <w:r>
        <w:rPr>
          <w:b w:val="0"/>
          <w:i w:val="0"/>
        </w:rPr>
        <w:t xml:space="preserve"> , 425 A.2d 957, 962 (Del. 1980). Do đó, đặc quyền cạnh tranh có giới hạn. Câu hỏi trong vụ án này là liệu von Pentz có vượt qua ranh giới giữa đặc quyền và sự bất trung hay không. Tòa án nhận thấy ông đã vượt qua.</w:t>
      </w:r>
    </w:p>
    <w:p>
      <w:pPr>
        <w:spacing w:after="80"/>
      </w:pPr>
      <w:r>
        <w:rPr>
          <w:b w:val="0"/>
          <w:i w:val="0"/>
        </w:rPr>
        <w:t>Von Pentz lập luận rằng các cuộc thảo luận của ông trong suốt năm 1994 và sang năm 1995 là hoàn toàn được đặc quyền và mang tính chuẩn bị. Việc von Pentz đang có hợp đồng với RIMCO vào thời điểm đó, hay việc ông có một số cuộc gặp cơ bản với Collins, hay thậm chí việc ông gửi "tín hiệu thăm dò" đến các nhà đầu tư tiềm năng không vi phạm nghĩa vụ trung thành ủy thác. Tuy nhiên, rõ ràng là von Pentz đã chia sẻ thông tin mật về tiền lương trả cho nhân viên RIMCO và phí do khách hàng của nó trả. Von Pentz thừa nhận rằng thông tin này là mật đối với RIMCO nhưng cố gắng tẩy trắng tình huống bằng cách gợi ý rằng, ít nhất là đối với phí khách hàng, khách hàng thường tự tiết lộ thông tin này, nên không có tổn hại nào xảy ra. Tòa án nghĩ khác. Việc tiết lộ loại thông tin này cho Collins—người vào thời điểm đó chỉ đơn thuần là một đối thủ cạnh tranh của RIMCO—rõ ràng vi phạm bổn phận trung thành của von Pentz với RIMCO. Nếu kế hoạch thành lập Columbia Partners thất bại, không có gì ngăn Collins sử dụng thông tin đó chống lại RIMCO. Đúng là thông tin về việc RIMCO quản lý tiền cho ai và thu phí bao nhiêu có thể đã được thu thập từ các nguồn bên thứ ba, nhưng không phải không có nỗ lực đáng kể. Việc von Pentz chỉ đơn giản trao nó đi vượt quá đặc quyền chuẩn bị cho cạnh tranh trong tương lai của ông—chưa kể rằng von Pentz đã cam kết với RIMCO rằng ông sẽ giữ bí mật đúng loại thông tin mà cuối cùng ông đã chia sẻ.</w:t>
      </w:r>
    </w:p>
    <w:p>
      <w:pPr>
        <w:spacing w:after="80"/>
      </w:pPr>
      <w:r>
        <w:rPr>
          <w:b w:val="0"/>
          <w:i w:val="0"/>
        </w:rPr>
        <w:t>Bằng chứng cũng cho thấy von Pentz đã tham gia sâu đến mức nào vào cả những chi tiết nhỏ nhất của hoạt động "chìa khóa trao tay" này—cho đến tận việc văn phòng của ai sẽ ở đâu và loại văn phòng phẩm nào sẽ được sử dụng.</w:t>
      </w:r>
    </w:p>
    <w:p>
      <w:pPr>
        <w:spacing w:after="80"/>
      </w:pPr>
      <w:r>
        <w:rPr>
          <w:b w:val="0"/>
          <w:i w:val="0"/>
        </w:rPr>
        <w:t>Cũng rõ ràng rằng von Pentz đã tiền chiêu mộ nhân viên, dù những lần tiền chiêu mộ này thường diễn ra gần thời điểm ông ta rời đi. Có lẽ von Pentz chỉ đơn giản là quá phấn khích về công việc sắp tới và muốn chia sẻ niềm vui của mình với đồng nghiệp bằng cách mời họ về làm việc cùng. Dù lý do là gì, bằng chứng cho thấy rõ ràng von Pentz đã bất cẩn (hoặc tinh ranh) trong việc để đồng nghiệp biết về việc ông sắp ra đi, khiến một số người hiểu rõ rằng ông đang mời họ làm việc tại Columbia Partners ngay cả khi von Pentz vẫn còn là Chủ tịch Hội đồng Quản trị tại RIMCO. Đáng chú ý nhất là hai nhân viên marketing tại RIMCO, Winsor và O'Neill, không có gì trong lịch của họ cho tháng Mười hoặc sau đó, dù họ khai rằng bình thường có thể có tới 20 cuộc hẹn. Việc họ không đưa ra được lời giải thích đáng tin cậy cho sự thiếu hụt này đã khiến tòa án thấy phản cảm và là bằng chứng rõ ràng cho thấy lời giải thích khả tín duy nhất cho việc họ không lên kế hoạch chỉ có thể là—rằng họ đã biết, từ rất lâu trước đó, rằng họ sẽ chuyển đến Columbia Partners vào tháng Mười năm 1995.</w:t>
      </w:r>
    </w:p>
    <w:p>
      <w:pPr>
        <w:spacing w:after="80"/>
      </w:pPr>
      <w:r>
        <w:rPr>
          <w:b w:val="0"/>
          <w:i w:val="0"/>
        </w:rPr>
        <w:t>Cũng đáng lưu ý rằng Ruff Fant của Galway Partners, nhà tài trợ vốn cho Columbia Partners, đã cảnh báo Collins trong một lá thư ngày 17 tháng 1 năm 1995 rằng cả ông ta lẫn bất kỳ ai khác liên quan đến công việc kinh doanh mới đều không được vi phạm bất kỳ nghĩa vụ nào đối với chủ lao động của họ. Fant thông báo với Collins rằng điều này sẽ làm chậm việc khai trương Columbia Partners, nhưng nói rằng việc tránh mọi hành vi bất hợp pháp là điều cốt lõi đối với hoạt động kinh doanh. Ông đặc biệt nhấn mạnh vào hành vi trước và sau khi từ chức, và kèm theo hai án lệ phác họa các vi phạm nghĩa vụ của các quan chức công ty. Dù đây có thể là cái thường được gọi là lá thư “CYA”, nó vẫn đặt Collins vào thế phải biết mình cần hành xử như thế nào. Collins đã chuyển tiếp những tài liệu này cho von Pentz kèm một ghi chú nói rằng lá thư khiến người ta đọc mà “quặn thắt ruột gan”. Việc von Pentz sau đó lại vi phạm đúng những kiểu hành vi mà chính nhà tài trợ của mình đã cảnh báo cho thấy von Pentz không chỉ mắc vài sai lầm, mà đã cố ý vi phạm nghĩa vụ của mình đối với RIMCO, dẫn đến đúng kiểu kiện tụng mà Fant đã cảnh báo ông ta.</w:t>
      </w:r>
    </w:p>
    <w:p>
      <w:pPr>
        <w:spacing w:after="80"/>
      </w:pPr>
      <w:r>
        <w:rPr>
          <w:b w:val="0"/>
          <w:i w:val="0"/>
        </w:rPr>
        <w:t>Như vậy, không còn nghi ngờ gì rằng von Pentz đã vi phạm nghĩa vụ trung thành của mình đối với RIMCO. Nhưng vì mục đích bồi thường thiệt hại, câu hỏi là vi phạm xảy ra khi nào. Nguyên đơn, đương nhiên, muốn đẩy mốc thời gian này lùi lại càng xa càng tốt. Tuy nhiên, tòa án xác định dựa trên sự vượt trội của bằng chứng rằng von Pentz bắt đầu vi phạm nghĩa vụ trung thành của mình vào tháng Tư năm 1995 khi ông chia sẻ thông tin lương với Collins. Vì von Pentz biết mức lương của các nhân viên RIMCO mà ông muốn mang theo, ông phải đảm bảo rằng Columbia Partners có thể làm ngọt thỏa thuận để dụ họ đào tẩu. Nhưng von Pentz không có quyền tiết lộ thông tin rõ ràng là mật này cho Collins, ngay cả vì mục đích lập ngân sách. Đúng là điều này gây khó khăn cho các giám đốc cấp cao muốn xây dựng hoạt động vận hành chìa khóa trao tay, nhưng đó là cái giá của việc trở thành một tâm phúc công ty được trả lương cao.</w:t>
      </w:r>
    </w:p>
    <w:p>
      <w:pPr>
        <w:spacing w:after="80"/>
      </w:pPr>
      <w:r>
        <w:rPr>
          <w:b w:val="0"/>
          <w:i w:val="0"/>
        </w:rPr>
        <w:t xml:space="preserve">Đúng là trong khi von Pentz vi phạm nghĩa vụ, RIMCO vẫn hoạt động đặc biệt tốt trên thị trường. Von Pentz rõ ràng là một nhà quản lý tiền tài năng. Nhưng điều này không bào chữa cho việc ông tiết lộ thông tin mật của RIMCO cho Collins. Khi chuẩn bị cạnh tranh, một nhân viên không được thực hiện các hành vi gian dối, bất công hoặc sai trái, chẳng hạn như lạm dụng thông tin mật, hoặc chiêu mộ dẫn đến việc hàng loạt nhân viên của công ty từ chức. </w:t>
      </w:r>
      <w:r>
        <w:rPr>
          <w:b w:val="0"/>
          <w:i/>
        </w:rPr>
        <w:t>Science Accessories</w:t>
      </w:r>
      <w:r>
        <w:rPr>
          <w:b w:val="0"/>
          <w:i w:val="0"/>
        </w:rPr>
        <w:t xml:space="preserve"> , 425 A.2d at 965. Von Pentz đã lạm dụng thông tin được bảo vệ như vậy, và ông cũng đã tiền chiêu mộ nhân viên khi vẫn còn là nhân viên của RIMCO. Việc toàn bộ đội ngũ cổ phần hiện tại của RIMCO đi theo von Pentz đến Columbia Partners là bằng chứng xác thực rằng kế hoạch của von Pentz đã thành công.</w:t>
      </w:r>
    </w:p>
    <w:p>
      <w:pPr>
        <w:spacing w:after="80"/>
      </w:pPr>
      <w:r>
        <w:rPr>
          <w:b w:val="0"/>
          <w:i w:val="0"/>
        </w:rPr>
        <w:t xml:space="preserve">Nguyên đơn yêu cầu thu hồi tiền thù lao của von Pentz trong khoảng thời gian ông vi phạm. Vì không có khoản thù lao nào được nợ cho một nhân viên đã vi phạm nghĩa vụ trung thành với chủ lao động của mình, nguyên đơn có quyền đòi lại khoản đó. </w:t>
      </w:r>
      <w:r>
        <w:rPr>
          <w:b w:val="0"/>
          <w:i/>
        </w:rPr>
        <w:t>Radio TV Reports, Inc. v. Ingersoll</w:t>
      </w:r>
      <w:r>
        <w:rPr>
          <w:b w:val="0"/>
          <w:i w:val="0"/>
        </w:rPr>
        <w:t xml:space="preserve"> , 742 F. Supp. 19, 23 (D.D.C. 1990). Với phán quyết của tòa rằng điều này xảy ra vào tháng Tư năm 1995, ông ta phải mất toàn bộ khoản thù lao kiếm được từ thời điểm đó cho đến khi từ chức vào ngày 28 tháng 9 năm 1995—một khoảng thời gian sáu tháng. Vì von Pentz kiếm được mức lương hàng năm là $175,000 trong thời gian này, ông ta phải nộp một nửa số đó cho nguyên đơn, cộng với bất kỳ khoản tiền thưởng nào kiếm được trong khoảng thời gian đó. Ông ta cũng phải nộp bất kỳ khoản thù lao nào khác kiếm được trong thời gian vi phạm.</w:t>
      </w:r>
    </w:p>
    <w:p>
      <w:pPr>
        <w:spacing w:after="80"/>
      </w:pPr>
      <w:r>
        <w:rPr>
          <w:b w:val="0"/>
          <w:i w:val="0"/>
        </w:rPr>
        <w:t xml:space="preserve">Nguyên đơn cũng yêu cầu thu hồi một phần phí cổ phần mà Columbia Partners kiếm được từ các khách hàng đã chuyển tài khoản của họ từ RIMCO, lập luận rằng việc truy hoàn lợi nhuận kiếm được do vi phạm nghĩa vụ ủy thác là một biện pháp khắc phục phù hợp. </w:t>
      </w:r>
      <w:r>
        <w:rPr>
          <w:b w:val="0"/>
          <w:i/>
        </w:rPr>
        <w:t>United States v. York</w:t>
      </w:r>
      <w:r>
        <w:rPr>
          <w:b w:val="0"/>
          <w:i w:val="0"/>
        </w:rPr>
        <w:t xml:space="preserve"> , 890 F. Supp. 1117, 1139 (D.D.C. 1995). RIMCO lập luận rằng phí mà Columbia Partners kiếm được trong ba tháng đầu tồn tại là một “thước đo thận trọng” cho thiệt hại mà von Pentz gây ra. Hoặc, họ yêu cầu khoản phí mà UIU, một trong những khách hàng lớn nhất của RIMCO, đã trả, tổng cộng hơn $100,000. Từ bằng chứng, rõ ràng rằng dù von Pentz có thể đã tiền chiêu mộ nhân viên, ông không thể bị coi là đã tiền chiêu mộ khách hàng—những người đã chuyển tài sản được quản lý của họ từ RIMCO sang Columbia Partners. Không có bằng chứng thực sự về việc tiền chiêu mộ bất kỳ khách hàng nào của RIMCO, ngoại trừ việc von Pentz đã thực hiện một chuyến đi bất thường đến nhà một người ủy thác ở Kentucky ngay trước khi từ chức, nhưng điều này có vẻ chủ yếu là để tiền chiêu mộ một nhân viên RIMCO, O'Neill, trên đường đi hơn là bất cứ điều gì khác. Tuy nhiên, không có bằng chứng rõ ràng rằng von Pentz đã thực hiện bất kỳ hành vi tiền chiêu mộ khách hàng thực sự nào vào thời điểm đó.</w:t>
      </w:r>
    </w:p>
    <w:p>
      <w:pPr>
        <w:spacing w:after="80"/>
      </w:pPr>
      <w:r>
        <w:rPr>
          <w:b w:val="0"/>
          <w:i w:val="0"/>
        </w:rPr>
        <w:t>Đối với UIU, chắc chắn rằng việc von Pentz vi phạm nghĩa vụ đối với RIMCO không liên quan gì đến việc chuyển tiền của họ. Columbia Partners không thể bị trừng phạt chỉ vì UIU thích Richard von Pentz và muốn ông tiếp tục quản lý tiền của họ. Hoffman, người đóng vai trò quan trọng trong việc chuyển tiền, khai rằng ông ngạc nhiên khi biết von Pentz sắp ra đi, và dù ông lo lắng rằng những điều tồi tệ có thể xảy ra tại RIMCO trong thời gian cần để thuê một Chủ tịch mới, UIU trên hết vẫn muốn von Pentz trong bức tranh. Columbia Partners không thể bị buộc phải truy hoàn khoản phí kiếm được như vậy.</w:t>
      </w:r>
    </w:p>
    <w:p>
      <w:pPr>
        <w:spacing w:after="80"/>
      </w:pPr>
      <w:r>
        <w:rPr>
          <w:b w:val="0"/>
          <w:i w:val="0"/>
        </w:rPr>
        <w:t>Do đó, về tội danh vi phạm nghĩa vụ ủy thác của nguyên đơn, von Pentz bị lệnh phải trả sáu tháng tiền lương cho nguyên đơn (từ ngày 1 tháng Tư đến ngày 28 tháng 9 năm 1995) với số tiền là $87,500.</w:t>
      </w:r>
    </w:p>
    <w:p>
      <w:pPr>
        <w:spacing w:after="80"/>
      </w:pPr>
      <w:r>
        <w:rPr>
          <w:b w:val="0"/>
          <w:i w:val="0"/>
        </w:rPr>
        <w:t>Dù tòa án này chỉ thấy được một góc nhỏ của nghề quản lý đầu tư, nếu có điều gì rõ ràng, thì đó là bản chất của nó chính là cuộc đua giành đồng tiền, và những ai không thể chộp lấy nó đủ nhanh sẽ bị bỏ lại phía sau. Điều đó không có nghĩa đây là một ngành kinh doanh xấu xa. Đầu tư thúc đẩy nền kinh tế của chúng ta, tạo việc làm cho người Mỹ, nuôi sống các gia đình. Nhưng vì người bình thường không biết cách đầu tư, nên có những chuyên gia chỉ cho chúng ta biết doanh nghiệp nào chúng ta có thể làm được nhiều nhất, và doanh nghiệp nào sẽ làm được nhiều nhất cho chúng ta. Vì vậy, chúng ta thưởng cho những chuyên gia đó, những nhà quản lý đầu tư, những người định hướng thành công số tiền vất vả kiếm được của chúng ta đến các công ty và tập đoàn có ích cho xã hội. Bằng cách trả thù lao thỏa đáng cho những cá nhân này, chúng ta khuyến khích họ cẩn thận hơn với tiền của chúng ta, và thu hút những người có tài năng lớn trong lĩnh vực này sử dụng tài năng đó trong đấu trường đầu tư, thay vì những nghề khác, có lẽ ít sinh lợi hơn.</w:t>
      </w:r>
    </w:p>
    <w:p>
      <w:pPr>
        <w:spacing w:after="80"/>
      </w:pPr>
      <w:r>
        <w:rPr>
          <w:b w:val="0"/>
          <w:i w:val="0"/>
        </w:rPr>
        <w:t>Trong vụ án này, tòa án được trình bày một người đàn ông có thể đã không được trả lương tương xứng với giá trị của mình. Tuy nhiên, vấn đề là một số bước ông ta thực hiện để tăng thù lao của mình—cùng với việc thành lập một công ty mới mà ở đó ông ta sẽ có phần chia lợi nhuận công bằng—đã bị pháp luật cấm. Và công ty mới đó, trong nỗ lực cạnh tranh trên một thị trường cực kỳ khốc liệt, cũng sẽ vi phạm pháp luật. Có lẽ một số hành vi này là hiệu quả về mặt kinh tế, nhưng thông luật của chúng ta và Quốc hội của chúng ta đã xác định rằng hiệu quả không phải lúc nào cũng là giá trị tối quan trọng. Lòng trung thành và sự chơi đẹp cũng là những giá trị được đề cao. Riggs và RIMCO không nhất thiết nắm giữ vị thế đạo đức cao hơn trong vụ kiện này. Họ cũng cạnh tranh gay gắt như Columbia Partners. Nhưng đây không phải là một cuộc thi đạo đức, mà là về việc ai đã vi phạm pháp luật. Ở điểm đó, von Pentz và Columbia Partners đã vượt quá giới hạn pháp lý của mình, và vì điều đó tòa án sẽ trừng phạt họ một cách thích đáng, đồng thời mang lại biện pháp khắc phục phù hợp cho nguyên đơn trong quá trình đó.</w:t>
      </w:r>
    </w:p>
    <w:p>
      <w:pPr>
        <w:spacing w:after="80"/>
      </w:pPr>
      <w:r>
        <w:rPr>
          <w:b w:val="0"/>
          <w:i w:val="0"/>
        </w:rPr>
        <w:t>Vì những lý do đã nêu ở trên, Robert von Pentz phải mất khoản tiền lương ông kiếm được từ RIMCO trong khoảng thời gian từ ngày 1 tháng Tư năm 1995 đến ngày 28 tháng 9 năm 1995 với số tiền là $87,500 vì những vi phạm nghĩa vụ trung thành của ông đối với chủ lao động của mình.</w:t>
      </w:r>
    </w:p>
    <w:p>
      <w:pPr>
        <w:pStyle w:val="Heading5"/>
      </w:pPr>
      <w:r>
        <w:rPr>
          <w:rFonts w:ascii="Calibri" w:hAnsi="Calibri"/>
          <w:b/>
          <w:i/>
          <w:sz w:val="22"/>
        </w:rPr>
        <w:t>Bình luận và Câu hỏi</w:t>
      </w:r>
    </w:p>
    <w:p>
      <w:pPr>
        <w:spacing w:after="80"/>
      </w:pPr>
      <w:r>
        <w:rPr>
          <w:b w:val="0"/>
          <w:i w:val="0"/>
        </w:rPr>
        <w:t xml:space="preserve">1. Án lệ kinh điển của Delaware về cạnh tranh không lành mạnh là </w:t>
      </w:r>
      <w:r>
        <w:rPr>
          <w:b w:val="0"/>
          <w:i/>
        </w:rPr>
        <w:t>Guth v. Loft, Inc.</w:t>
      </w:r>
      <w:r>
        <w:rPr>
          <w:b w:val="0"/>
          <w:i w:val="0"/>
        </w:rPr>
        <w:t xml:space="preserve"> , 5 A.2d 503 (Del. 1939). Ở đó, Tòa án Tối cao Delaware tuyên bố rằng “một quan chức hoặc giám đốc công ty hoàn toàn tự do tham gia vào một hoạt động kinh doanh độc lập, cạnh tranh, miễn là người đó không vi phạm bất kỳ nghĩa vụ pháp lý hay đạo đức nào liên quan đến mối quan hệ ủy thác tồn tại giữa công ty và bản thân người đó.” </w:t>
      </w:r>
      <w:r>
        <w:rPr>
          <w:b w:val="0"/>
          <w:i/>
        </w:rPr>
        <w:t>Id.</w:t>
      </w:r>
      <w:r>
        <w:rPr>
          <w:b w:val="0"/>
          <w:i w:val="0"/>
        </w:rPr>
        <w:t xml:space="preserve"> at 514. Tòa án trong </w:t>
      </w:r>
      <w:r>
        <w:rPr>
          <w:b w:val="0"/>
          <w:i/>
        </w:rPr>
        <w:t>Guth</w:t>
      </w:r>
      <w:r>
        <w:rPr>
          <w:b w:val="0"/>
          <w:i w:val="0"/>
        </w:rPr>
        <w:t xml:space="preserve"> cũng tham chiếu một đoạn nổi tiếng trong </w:t>
      </w:r>
      <w:r>
        <w:rPr>
          <w:b w:val="0"/>
          <w:i/>
        </w:rPr>
        <w:t>Meinhard v. Salmon</w:t>
      </w:r>
      <w:r>
        <w:rPr>
          <w:b w:val="0"/>
          <w:i w:val="0"/>
        </w:rPr>
        <w:t xml:space="preserve"> , khẳng định rằng “mối quan hệ ủy thác đòi hỏi nhiều hơn các chuẩn mực đạo đức của thị trường.” </w:t>
      </w:r>
      <w:r>
        <w:rPr>
          <w:b w:val="0"/>
          <w:i/>
        </w:rPr>
        <w:t>Id.</w:t>
      </w:r>
      <w:r>
        <w:rPr>
          <w:b w:val="0"/>
          <w:i w:val="0"/>
        </w:rPr>
        <w:t xml:space="preserve"> at 515. Với sự nhấn mạnh vào khía cạnh đạo đức trong phán quyết của tòa án xét xử, người ta có thể kỳ vọng việc giám đốc cạnh tranh sẽ là một nguồn kiện tụng thứ yếu. Tuy nhiên, trong hơn 70 năm, </w:t>
      </w:r>
      <w:r>
        <w:rPr>
          <w:b w:val="0"/>
          <w:i/>
        </w:rPr>
        <w:t>Guth</w:t>
      </w:r>
      <w:r>
        <w:rPr>
          <w:b w:val="0"/>
          <w:i w:val="0"/>
        </w:rPr>
        <w:t xml:space="preserve"> chỉ được trích dẫn trong khoảng 50 vụ án. Tại sao những người có tiềm năng kiện tụng có thể chọn không theo đuổi biện pháp khắc phục theo yêu cầu này? Những lựa chọn kiện tụng nào khác mà nguyên đơn tiềm năng có khi các giám đốc biển thủ thông tin và cạnh tranh không đúng đắn với công ty?</w:t>
      </w:r>
    </w:p>
    <w:p>
      <w:pPr>
        <w:spacing w:after="80"/>
      </w:pPr>
      <w:r>
        <w:rPr>
          <w:b w:val="0"/>
          <w:i w:val="0"/>
        </w:rPr>
        <w:t>2. Tại sao quyết định thành lập một công ty cạnh tranh của von Pentz không cấu thành hành vi phải chịu trách nhiệm? Hành vi nào thực sự làm phát sinh trách nhiệm của von Pentz trong vụ án này? Von Pentz có thể đã thực hiện những bước nào để giảm thiểu trách nhiệm tiềm tàng của mình? Biện pháp khắc phục của tòa án có đủ để đảo ngược thiệt hại do hành động của von Pentz gây ra không? Nếu không, tòa án có thể đã làm gì thay vào đó?</w:t>
      </w:r>
    </w:p>
    <w:p>
      <w:pPr>
        <w:spacing w:after="80"/>
      </w:pPr>
      <w:r>
        <w:rPr>
          <w:b w:val="0"/>
          <w:i w:val="0"/>
        </w:rPr>
        <w:t>3. Tòa án nhấn mạnh tính chất chìa khóa trao tay trong kế hoạch của von Pentz cho công ty mới của mình. Vụ án này có cho thấy rằng một giám đốc đang có kế hoạch cạnh tranh với chủ lao động hiện tại của mình không bao giờ có thể mang theo bất kỳ cộng sự hiện tại nào của mình không? Vụ án này có gợi ý những phương pháp phù hợp để một giám đốc có thể tuyển dụng và thuê nhân viên của công ty cho công ty mới mà không vi phạm nghĩa vụ trung thành của giám đốc đối với công ty không?</w:t>
      </w:r>
    </w:p>
    <w:p>
      <w:pPr>
        <w:spacing w:after="80"/>
      </w:pPr>
      <w:r>
        <w:rPr>
          <w:b w:val="0"/>
          <w:i w:val="0"/>
        </w:rPr>
        <w:t xml:space="preserve">1 . Blake Rohrbacher, John Mark Zeberkiewicz &amp; Thomas A. Uebler, </w:t>
      </w:r>
      <w:r>
        <w:rPr>
          <w:b w:val="0"/>
          <w:i/>
        </w:rPr>
        <w:t>Finding Safe Harbor: Clarifying the Limited Application of Section 144</w:t>
      </w:r>
      <w:r>
        <w:rPr>
          <w:b w:val="0"/>
          <w:i w:val="0"/>
        </w:rPr>
        <w:t xml:space="preserve"> , 33 Del. J. Corp. L. 719, 746–47 (2008).</w:t>
      </w:r>
    </w:p>
    <w:p>
      <w:pPr>
        <w:spacing w:after="80"/>
      </w:pPr>
      <w:r>
        <w:rPr>
          <w:b w:val="0"/>
          <w:i w:val="0"/>
        </w:rPr>
        <w:t>2 . Bản quyền © 2006 Kentucky Law Review. Được tái bản với sự cho phép.</w:t>
      </w:r>
    </w:p>
    <w:p>
      <w:pPr>
        <w:pStyle w:val="Heading1"/>
      </w:pPr>
      <w:r>
        <w:rPr>
          <w:rFonts w:ascii="Calibri" w:hAnsi="Calibri"/>
          <w:b/>
          <w:i w:val="0"/>
          <w:sz w:val="40"/>
        </w:rPr>
        <w:t>Chương 6</w:t>
      </w:r>
    </w:p>
    <w:p>
      <w:pPr>
        <w:pStyle w:val="Heading1"/>
      </w:pPr>
      <w:r>
        <w:rPr>
          <w:rFonts w:ascii="Calibri" w:hAnsi="Calibri"/>
          <w:b/>
          <w:i w:val="0"/>
          <w:sz w:val="40"/>
        </w:rPr>
        <w:t>Thù lao điều hành</w:t>
      </w:r>
    </w:p>
    <w:p>
      <w:pPr>
        <w:spacing w:after="80"/>
      </w:pPr>
      <w:r>
        <w:rPr>
          <w:b w:val="0"/>
          <w:i w:val="0"/>
        </w:rPr>
        <w:t>Thù lao trả cho các quan chức cấp cao, đặc biệt là Giám đốc điều hành (Chief Executive Officer), đã là một chủ đề gây tranh cãi nhiều. Thù lao giảm vào năm 2008, sau khi cuộc khủng hoảng tài chính bắt đầu. Tuy nhiên, sự sụt giảm này chỉ diễn ra trong thời gian ngắn. Thù lao trả cho 200 CEO được trả lương cao nhất đã tăng 9% từ năm 2013 đến năm 2014, so với mức tăng trưởng kinh tế là 2.4%.</w:t>
      </w:r>
    </w:p>
    <w:p>
      <w:pPr>
        <w:spacing w:after="80"/>
      </w:pPr>
      <w:r>
        <w:rPr>
          <w:b w:val="0"/>
          <w:i w:val="0"/>
        </w:rPr>
        <w:t>Mặc dù có nhiều bất đồng, thù lao CEO thường được dùng làm ví dụ điển hình nhất cho các vấn đề của hệ thống quản trị công ty (corporate governance). Thù lao cho các quan chức cấp cao thường được xác định bởi hội đồng quản trị. Do đó, hình thức và số tiền phải phù hợp với nghĩa vụ ủy thác (fiduciary obligations) của hội đồng quản trị.</w:t>
      </w:r>
    </w:p>
    <w:p>
      <w:pPr>
        <w:spacing w:after="80"/>
      </w:pPr>
      <w:r>
        <w:rPr>
          <w:b w:val="0"/>
          <w:i w:val="0"/>
        </w:rPr>
        <w:t>Các khoản thanh toán này theo truyền thống được xem xét dưới nghĩa vụ trung thành (duty of loyalty), ít nhất là trong trường hợp quan chức được trả thù lao cũng đồng thời là thành viên hội đồng quản trị. Trong những tình huống này, hội đồng quản trị có trách nhiệm chứng minh rằng số tiền được trả là "công bằng" đối với công ty. Công bằng có nghĩa là số tiền được trả tương xứng với lợi ích nhận được. Tóm lại, tính công bằng phụ thuộc vào việc xem xét các điều khoản của thù lao và phân tích các dịch vụ được cung cấp.</w:t>
      </w:r>
    </w:p>
    <w:p>
      <w:pPr>
        <w:spacing w:after="80"/>
      </w:pPr>
      <w:r>
        <w:rPr>
          <w:b w:val="0"/>
          <w:i w:val="0"/>
        </w:rPr>
        <w:t>Nhưng như chúng ta sẽ khám phá trong Chương này, vai trò của tính công bằng đã thay đổi. Phần lớn, nhu cầu đảm bảo tính công bằng thực chất trong lĩnh vực thù lao điều hành đã được thay thế bằng quy trình. Chỉ cần chứng minh rằng đa số hội đồng quản trị bao gồm các giám đốc độc lập là đủ. Trong những tình huống đó, nghĩa vụ chứng minh tính công bằng của các điều khoản hoặc số tiền về cơ bản bị loại bỏ và nghĩa vụ trung thành được thay thế bằng nghĩa vụ cẩn trọng (duty of care). Chúng ta sẽ khám phá cách luật pháp phát triển theo hướng này.</w:t>
      </w:r>
    </w:p>
    <w:p>
      <w:pPr>
        <w:spacing w:after="80"/>
      </w:pPr>
      <w:r>
        <w:rPr>
          <w:b w:val="0"/>
          <w:i w:val="0"/>
        </w:rPr>
        <w:t>Chúng ta cũng sẽ thảo luận về xu hướng liên bang hóa (federalization) ngày càng tăng trong quy trình thù lao điều hành. Ủy ban Chứng khoán và Giao dịch (Securities and Exchange Commission) từ lâu đã yêu cầu ít nhất một số công bố về thù lao điều hành trong bản tuyên bố ủy quyền (proxy statement). Tuy nhiên, Quốc hội đã tăng mức độ công bố thông tin, yêu cầu những thứ như tỷ lệ giữa thù lao CEO và nhân viên trung vị, và đã trao cho cổ đông của các công ty đại chúng quyền có ý kiến tư vấn về thù lao điều hành (say on pay).</w:t>
      </w:r>
    </w:p>
    <w:p>
      <w:pPr>
        <w:pStyle w:val="Heading2"/>
      </w:pPr>
      <w:r>
        <w:rPr>
          <w:rFonts w:ascii="Calibri" w:hAnsi="Calibri"/>
          <w:b/>
          <w:i w:val="0"/>
          <w:sz w:val="32"/>
        </w:rPr>
        <w:t>I. Vấn đề thù lao điều hành có phải là vấn đề mới?</w:t>
      </w:r>
    </w:p>
    <w:p>
      <w:pPr>
        <w:pStyle w:val="Heading3"/>
      </w:pPr>
      <w:r>
        <w:rPr>
          <w:rFonts w:ascii="Calibri" w:hAnsi="Calibri"/>
          <w:b/>
          <w:i w:val="0"/>
          <w:sz w:val="26"/>
        </w:rPr>
        <w:t>A. Một số lịch sử</w:t>
      </w:r>
    </w:p>
    <w:p>
      <w:pPr>
        <w:spacing w:after="80"/>
      </w:pPr>
      <w:r>
        <w:rPr>
          <w:b w:val="0"/>
          <w:i w:val="0"/>
        </w:rPr>
        <w:t>Phần lớn sự bùng nổ trong thù lao điều hành phần lớn đến từ việc sử dụng rộng rãi tiền thưởng và các hình thức thù lao khuyến khích khác. Tuy nhiên, đây có vẻ là một cách tiếp cận tương đối mới.</w:t>
      </w:r>
    </w:p>
    <w:p>
      <w:pPr>
        <w:pStyle w:val="Heading4"/>
      </w:pPr>
      <w:r>
        <w:rPr>
          <w:rFonts w:ascii="Calibri" w:hAnsi="Calibri"/>
          <w:b/>
          <w:i w:val="0"/>
          <w:sz w:val="23"/>
        </w:rPr>
        <w:t xml:space="preserve">Harwell Wells, </w:t>
      </w:r>
      <w:r>
        <w:rPr>
          <w:rFonts w:ascii="Calibri" w:hAnsi="Calibri"/>
          <w:b/>
          <w:i/>
          <w:sz w:val="23"/>
        </w:rPr>
        <w:t>"Không ai có thể đáng giá $1,000,000 một năm":</w:t>
      </w:r>
      <w:r>
        <w:br/>
      </w:r>
      <w:r>
        <w:rPr>
          <w:rFonts w:ascii="Calibri" w:hAnsi="Calibri"/>
          <w:b/>
          <w:i/>
          <w:sz w:val="23"/>
        </w:rPr>
        <w:t xml:space="preserve"> Cuộc chiến về thù lao điều hành ở nước Mỹ thập niên 1930</w:t>
      </w:r>
    </w:p>
    <w:p>
      <w:pPr>
        <w:spacing w:after="80"/>
      </w:pPr>
      <w:r>
        <w:rPr>
          <w:b w:val="0"/>
          <w:i w:val="0"/>
        </w:rPr>
        <w:t>44 U. Rich. L. Rev. 689, 697–702 (2010)</w:t>
      </w:r>
    </w:p>
    <w:p>
      <w:pPr>
        <w:spacing w:after="80"/>
      </w:pPr>
      <w:r>
        <w:rPr>
          <w:b w:val="0"/>
          <w:i w:val="0"/>
        </w:rPr>
        <w:t>Trước Thế chiến thứ nhất, có vẻ như người ta ít suy nghĩ về việc liệu các giám đốc điều hành cấp cao có cần được trả thù lao khác với các nhân viên khác hay không. Chỉ có một nghiên cứu hữu ích về thù lao điều hành trong thời kỳ trước Thế chiến thứ nhất: một cuộc khảo sát bốn trăm công ty sản xuất của các nhà kinh tế F.W. Taussig và W.S. Barker. Ở các công ty lớn nhất, những công ty có vốn trên $1.5 triệu, họ phát hiện mức lương trung bình của một giám đốc điều hành cấp cao chỉ là $9,958, tương đương $217,234 theo giá trị đồng tiền ngày nay, một con số mà tác giả cho là khiêm tốn. Trong khi một số giám đốc điều hành sở hữu đủ cổ phần trong công ty của họ để bù đắp cho mức lương tương đối thấp (tức là họ là chủ sở hữu-người quản lý), khá nhiều người thì không. Một nửa trong số các tập đoàn lớn nhất báo cáo rằng các giám đốc điều hành sở hữu ít hơn một phần năm cổ phiếu của họ, với hơn một phần mười trong số các tập đoàn lớn nhất báo cáo rằng các giám đốc điều hành không sở hữu cổ phiếu nào cả.</w:t>
      </w:r>
    </w:p>
    <w:p>
      <w:pPr>
        <w:spacing w:after="80"/>
      </w:pPr>
      <w:r>
        <w:rPr>
          <w:b w:val="0"/>
          <w:i w:val="0"/>
        </w:rPr>
        <w:t>Hầu hết các công ty cũng không cung cấp thêm ưu đãi cho giám đốc điều hành. Không quá năm phần trăm thường xuyên trả thù lao bổ sung cho giám đốc điều hành dựa trên hiệu suất công ty. Các tác giả thấy điều này đáng ngạc nhiên vì việc sử dụng rộng rãi các hệ thống tiền thưởng như vậy ở châu Âu, nơi các giám đốc điều hành thường nhận "không phải lương cố định, mà là các khoản tiền thay đổi theo thu nhập của doanh nghiệp mà họ quản lý." Taussig và Barker cho rằng việc thiếu các ưu đãi đặc biệt này một phần là do người Mỹ miễn cưỡng trộn lẫn hai thứ mà họ cho là rất khác nhau: tiền lương và lợi nhuận. Tiền lương trả cho giám đốc điều hành được xem không khác gì tiền lương trả cho các nhân viên khác và được phân biệt rõ ràng với lợi nhuận, vốn là tài sản hợp pháp của cổ đông: "Lợi nhuận kinh doanh của các tập đoàn được nhận bởi các cổ đông và chỉ họ mà thôi. Cổ tức của họ . . . là phần thưởng duy nhất của sự mạo hiểm, rủi ro, phán đoán."</w:t>
      </w:r>
    </w:p>
    <w:p>
      <w:pPr>
        <w:spacing w:after="80"/>
      </w:pPr>
      <w:r>
        <w:rPr>
          <w:b w:val="0"/>
          <w:i w:val="0"/>
        </w:rPr>
        <w:t>Tuy nhiên, ngay cả trong thời kỳ đầu của kỷ nguyên giám đốc điều hành hưởng lương này, một vài nhà lãnh đạo doanh nghiệp sắc sảo đã nhận ra những vấn đề do các nhà quản lý cấp cao điều hành công ty nhưng không có thêm lợi ích gì trong thành công kinh tế của chúng gây ra. Để đối phó, một số cổ đông có ảnh hưởng của các công ty đã tách quyền sở hữu và quyền quản lý đã triển khai các kế hoạch tiền thưởng trả cho nhân viên cấp cao các khoản tiền thưởng gắn với lợi nhuận công ty. Những kế hoạch này được thiết kế rõ ràng để tái tạo lại ưu đãi mà quyền sở hữu từng cung cấp và giảm thiểu các vấn đề người đại diện/người ủy quyền (principal/agency problems) do sự tách biệt giữa quyền sở hữu và quyền kiểm soát gây ra. Bethlehem Steel có một trong những kế hoạch tiền thưởng đầu tiên, được thông qua theo sự thúc đẩy của chủ tịch Charles Schwab, một người được Andrew Carnegie bảo trợ, người đã thấy cách "việc trao quyền hợp tác và cổ phần tài chính trong công ty [đã] đảm bảo sự cam kết của những người được chọn" cho các vị trí quản lý cấp cao tại Carnegie Steel. Chương trình tiền thưởng của Bethlehem bắt đầu vào năm 1902 và trả cho các giám đốc điều hành một tỷ lệ phần trăm lợi nhuận ròng của nhà sản xuất thép này. Nó phát triển cho đến khi, vào cuối thập niên 1920, một số giám đốc điều hành cấp cao nhận tiền thưởng gần bằng số cổ tức mà cổ đông nhận được. United States Steel đã thông qua một kế hoạch tương tự—dù ít hào phóng hơn—cùng năm đó. Tại công ty thuốc lá lớn nhất quốc gia, American Tobacco, một kế hoạch tiền thưởng nhằm tái tạo các ưu đãi của quyền sở hữu đã được James B. Duke triển khai vào đầu thế kỷ, người tin rằng các giám đốc điều hành cần "cảm nhận và nhận thức rằng họ là những người đồng sở hữu doanh nghiệp và rằng thành công và thịnh vượng cá nhân của họ được đo lường bằng thành công và thịnh vượng mà họ đạt được cho công ty." Sau khi gã khổng lồ thuốc lá tan rã vào năm 1911, các công ty kế thừa bao gồm một American Tobacco mới đã thông qua các kế hoạch tương tự như được thảo luận dưới đây.</w:t>
      </w:r>
    </w:p>
    <w:p>
      <w:pPr>
        <w:spacing w:after="80"/>
      </w:pPr>
      <w:r>
        <w:rPr>
          <w:b w:val="0"/>
          <w:i w:val="0"/>
        </w:rPr>
        <w:t>Các kế hoạch thưởng cho ban điều hành nở rộ vào những năm 1920. Trong khi trước chiến tranh có rất ít công ty báo cáo sử dụng kế hoạch thưởng, một cuộc khảo sát một trăm công ty công nghiệp lớn cho thấy vào năm 1928, 64% trả cho ban điều hành cả lương lẫn thưởng hằng năm gắn với hiệu quả hoạt động của công ty. Tại các công ty có trả thưởng, tiền thưởng chiếm 42% tổng thù lao ban điều hành vào năm 1929 (phải thừa nhận rằng đây là mức đỉnh cao của các khoản thưởng), dù có sự khác biệt rất lớn giữa các kế hoạch cụ thể. Trong số các công ty được khảo sát, tiền thưởng dao động từ 0–1% thù lao của một thành viên ban điều hành đến 96 hoặc 97%, và các công ty cũng khác nhau về việc những thành viên nào của ban lãnh đạo cấp cao được tham gia. Các công ty cũng tính thưởng theo những cách khác nhau, dù hầu hết dùng một công thức nào đó trích một tỷ lệ phần trăm lợi nhuận vào một quỹ thưởng để phân phối hằng năm cho ban lãnh đạo cấp cao, với tiền thưởng thường được trả bằng tiền mặt nhưng đôi khi bằng cổ phiếu công ty. Quyền chọn cổ phiếu ít được cung cấp hơn. Việc gắn thù lao ban điều hành với hiệu quả hoạt động rõ ràng được xem là xu hướng của tương lai. Năm 1925, tạp chí Forbes bình luận rằng “những công ty từ chối chia sẻ lợi nhuận với các nhà quản lý sẽ phải hài lòng với những thành viên ban điều hành hạng hai, vì số doanh nghiệp áp dụng chia sẻ lợi nhuận đang tăng chưa từng thấy.”</w:t>
      </w:r>
    </w:p>
    <w:p>
      <w:pPr>
        <w:spacing w:after="80"/>
      </w:pPr>
      <w:r>
        <w:rPr>
          <w:b w:val="0"/>
          <w:i w:val="0"/>
        </w:rPr>
        <w:t>Có nhiều lý do khiến các kế hoạch thưởng cho ban điều hành trở nên phổ biến đến vậy. Từ góc nhìn ngày nay, lý do hiển nhiên là các kế hoạch thưởng hứa hẹn gắn động cơ của ban điều hành với động cơ của cổ đông, để ban điều hành được khuyến khích đúng mức nhằm gia tăng giá trị cho cổ đông. Do đó, các kế hoạch này càng phổ biến khi tình trạng quản lý không còn thuộc sở hữu lan rộng. Những người ủng hộ kế hoạch thưởng cho nhà quản lý xác định cổ đông là những người hưởng lợi chính của kế hoạch, với một số người ủng hộ đặc biệt nêu mục tiêu tạo ra “sự tương đồng lợi ích” giữa nhà quản lý và cổ đông.</w:t>
      </w:r>
    </w:p>
    <w:p>
      <w:pPr>
        <w:spacing w:after="80"/>
      </w:pPr>
      <w:r>
        <w:rPr>
          <w:b w:val="0"/>
          <w:i w:val="0"/>
        </w:rPr>
        <w:t>Tuy nhiên, những lý do riêng của thập niên 1920 cũng khuyến khích sự lan rộng của chúng. Thứ nhất, trong thời kỳ vẫn còn đề cao những người chủ độc lập, kế hoạch thưởng là phương tiện thuyết phục các thành viên ban điều hành tài năng làm việc cho các tập đoàn lớn thay vì “tự lập công ty riêng hoặc mua một phần lớn cổ phần của một công ty hiện có.” Thứ hai, nhiều tập đoàn mà những thành viên ban điều hành này làm việc chỉ mới được tập hợp lại từ các công ty nhỏ hơn, và một hệ thống thưởng gắn với lợi nhuận toàn công ty nhằm thuyết phục ban điều hành đặt lợi ích của toàn công ty lên trên lợi ích của bộ phận riêng của họ. Cuối cùng, các kế hoạch thưởng cho ban điều hành rất hợp với luận điệu, và cả thực tiễn, của “nền kinh tế mới” thập niên 1920. Trong thập kỷ đó, các tập đoàn rầm rộ quảng bá các kế hoạch chia sẻ lợi nhuận và sở hữu cổ phần cho người lao động như một phương thuốc chữa lành sự chia rẽ giữa lao động và tư bản. Các kế hoạch chia sẻ lợi nhuận cho người lao động được bán như một cách biến những người lao động bình thường thành “nhà tư bản” và thành người tham gia vào doanh nghiệp—dù nhiều kế hoạch như vậy trả rất ít cho người lao động, những người vốn dĩ ghét sự bấp bênh mà các kế hoạch này gây ra và thích mức lương ổn định hơn. Trong khi bộ mặt công chúng của các kế hoạch thưởng thập niên 1920 là dành cho người lao động, thì phổ biến hơn là các kế hoạch dành cho ban điều hành.</w:t>
      </w:r>
    </w:p>
    <w:p>
      <w:pPr>
        <w:spacing w:after="80"/>
      </w:pPr>
      <w:r>
        <w:rPr>
          <w:b w:val="0"/>
          <w:i w:val="0"/>
        </w:rPr>
        <w:t>Đi kèm với các phương án thù lao mới cho ban điều hành là mức thù lao ban điều hành cao hơn. Ban điều hành kiếm được bao nhiêu? Dù việc so sánh là khó khăn trong thời kỳ trước khi có báo cáo chuẩn hóa, một nghiên cứu về một trăm công ty công nghiệp lớn cho thấy mức thù lao trung vị mà một chủ tịch kiếm được năm 1929 là $69,728, tương đương $880,648 theo giá trị đồng đô-la năm 2009. Nghiên cứu cũng cho thấy những khác biệt rõ rệt. Thù lao của các chủ tịch dao động từ $10,000 một năm đến $1,635,753. Dù ba mươi chủ tịch nhận thù lao trên $100,000, gói thù lao triệu đô là trường hợp ngoại lệ. Chủ tịch được trả cao thứ hai nhận $605,613, và chỉ bốn trong số một trăm người nhận thù lao trên $300,000.</w:t>
      </w:r>
    </w:p>
    <w:p>
      <w:pPr>
        <w:pStyle w:val="Heading5"/>
      </w:pPr>
      <w:r>
        <w:rPr>
          <w:rFonts w:ascii="Calibri" w:hAnsi="Calibri"/>
          <w:b/>
          <w:i/>
          <w:sz w:val="22"/>
        </w:rPr>
        <w:t>Bình luận và Câu hỏi</w:t>
      </w:r>
    </w:p>
    <w:p>
      <w:pPr>
        <w:spacing w:after="80"/>
      </w:pPr>
      <w:r>
        <w:rPr>
          <w:b w:val="0"/>
          <w:i w:val="0"/>
        </w:rPr>
        <w:t>1. Giáo sư Wells kết luận rằng trước Thế chiến I, thù lao ban điều hành, ngay cả khi tính theo giá trị đồng đô-la ngày nay, vẫn “khiêm tốn.” Điều gì đã xảy ra làm thay đổi những khoản khiêm tốn này?</w:t>
      </w:r>
    </w:p>
    <w:p>
      <w:pPr>
        <w:spacing w:after="80"/>
      </w:pPr>
      <w:r>
        <w:rPr>
          <w:b w:val="0"/>
          <w:i w:val="0"/>
        </w:rPr>
        <w:t>2. Việc tách bạch giữa sở hữu và quản lý có vai trò gì đối với các thực tiễn thù lao?</w:t>
      </w:r>
    </w:p>
    <w:p>
      <w:pPr>
        <w:spacing w:after="80"/>
      </w:pPr>
      <w:r>
        <w:rPr>
          <w:b w:val="0"/>
          <w:i w:val="0"/>
        </w:rPr>
        <w:t>3. Vào những ngày đầu của thế kỷ trước, thù lao dường như không có thành phần gắn với hiệu quả hoạt động đáng kể. Điều đó nghĩa là gì? Thù lao gắn với hiệu quả hoạt động là gì và nó có thể khiến thù lao leo thang như thế nào?</w:t>
      </w:r>
    </w:p>
    <w:p>
      <w:pPr>
        <w:spacing w:after="80"/>
      </w:pPr>
      <w:r>
        <w:rPr>
          <w:b w:val="0"/>
          <w:i w:val="0"/>
        </w:rPr>
        <w:t>4. Giáo sư Wells truy vết sự tăng trưởng của thù lao ban điều hành đến việc tách bạch giữa sở hữu và quản lý mà Berle và Means đã nhận diện. Điều này cho chúng ta biết gì về các động lực bên dưới vấn đề thù lao ban điều hành?</w:t>
      </w:r>
    </w:p>
    <w:p>
      <w:pPr>
        <w:spacing w:after="80"/>
      </w:pPr>
      <w:r>
        <w:rPr>
          <w:b w:val="0"/>
          <w:i w:val="0"/>
        </w:rPr>
        <w:t>5. Bài viết cũng nhận diện xu hướng ban đầu hướng tới các kế hoạch thưởng. Những loại lợi ích và tác hại nào có thể phát sinh từ một hệ thống thù lao mà ở đó các viên chức điều hành được trả phần lớn thông qua tiền thưởng?</w:t>
      </w:r>
    </w:p>
    <w:p>
      <w:pPr>
        <w:spacing w:after="80"/>
      </w:pPr>
      <w:r>
        <w:rPr>
          <w:b w:val="0"/>
          <w:i w:val="0"/>
        </w:rPr>
        <w:t xml:space="preserve">6. Vào thời điểm các luật chứng khoán liên bang được ban hành trong thập niên 1930, thù lao và tiền thưởng cho ban điều hành được xem là một vấn đề nghiêm trọng cần có sự can thiệp của lập pháp. </w:t>
      </w:r>
      <w:r>
        <w:rPr>
          <w:b w:val="0"/>
          <w:i/>
        </w:rPr>
        <w:t>Xem</w:t>
      </w:r>
      <w:r>
        <w:rPr>
          <w:b w:val="0"/>
          <w:i w:val="0"/>
        </w:rPr>
        <w:t xml:space="preserve"> 78 Cong. Rec. 7861 (1934) (phát biểu của Dân biểu Rayburn) (lưu ý việc sử dụng giấy ủy quyền để xin phê duyệt “những khoản thưởng khổng lồ hoàn toàn không tương xứng với những gì mà việc quản lý chính đáng có thể biện minh.”). Như chúng ta sẽ đến ở phần sau của chương này, Quốc hội tìm cách giải quyết vấn đề thông qua công bố thông tin. Với thông tin này, cổ đông có thể thực thi quyền kiểm soát đối với các khoản tiền được trả. Cách tiếp cận này có hiệu quả không?</w:t>
      </w:r>
    </w:p>
    <w:p>
      <w:pPr>
        <w:spacing w:after="80"/>
      </w:pPr>
      <w:r>
        <w:rPr>
          <w:b w:val="0"/>
          <w:i w:val="0"/>
        </w:rPr>
        <w:t xml:space="preserve">7. Theo một bài báo, thù lao CEO trước thập niên 1970 phản ánh “mức lương thấp, ít chênh lệch giữa các nhà quản lý cấp cao, và độ nhạy cảm giữa lương và hiệu quả hoạt động ở mức vừa phải.” Carola Frydman &amp; Dirk Jenter, </w:t>
      </w:r>
      <w:r>
        <w:rPr>
          <w:b w:val="0"/>
          <w:i/>
        </w:rPr>
        <w:t>CEO Compensation</w:t>
      </w:r>
      <w:r>
        <w:rPr>
          <w:b w:val="0"/>
          <w:i w:val="0"/>
        </w:rPr>
        <w:t xml:space="preserve"> , Working Paper No. 77, Rock Center for Corporate Governance, Stanford University, at 1 (Mar. 19, 2010). Điều gì có thể giải thích sự thay đổi này? Trên thực tế, các tác giả còn lưu ý rằng không có lý thuyết nào “đưa ra lời giải thích hoàn toàn thuyết phục cho sự thay đổi chế độ rõ rệt đã diễn ra vào thập niên 1970.” </w:t>
      </w:r>
      <w:r>
        <w:rPr>
          <w:b w:val="0"/>
          <w:i/>
        </w:rPr>
        <w:t>Id.</w:t>
      </w:r>
      <w:r>
        <w:rPr>
          <w:b w:val="0"/>
          <w:i w:val="0"/>
        </w:rPr>
        <w:t xml:space="preserve"> Bạn có suy nghĩ gì về lời giải thích có thể là gì không?</w:t>
      </w:r>
    </w:p>
    <w:p>
      <w:pPr>
        <w:pStyle w:val="Heading3"/>
      </w:pPr>
      <w:r>
        <w:rPr>
          <w:rFonts w:ascii="Calibri" w:hAnsi="Calibri"/>
          <w:b/>
          <w:i w:val="0"/>
          <w:sz w:val="26"/>
        </w:rPr>
        <w:t>B. Thù lao và Thị trường: Một Cuộc Tranh luận</w:t>
      </w:r>
    </w:p>
    <w:p>
      <w:pPr>
        <w:spacing w:after="80"/>
      </w:pPr>
      <w:r>
        <w:rPr>
          <w:b w:val="0"/>
          <w:i w:val="0"/>
        </w:rPr>
        <w:t>Một số người lập luận rằng thù lao là vấn đề của thị trường. Các CEO được trả đúng với giá trị của họ sau khi đàm phán với hội đồng quản trị. Hơn nữa, nếu cổ đông không thích số tiền trả cho ban lãnh đạo cấp cao, họ có thể bán cổ phần của mình và đi nơi khác. Cuộc tranh luận đó gần đây nổi lên trong một bối cảnh hơi khác.</w:t>
      </w:r>
    </w:p>
    <w:p>
      <w:pPr>
        <w:pStyle w:val="Heading4"/>
      </w:pPr>
      <w:r>
        <w:rPr>
          <w:rFonts w:ascii="Calibri" w:hAnsi="Calibri"/>
          <w:b/>
          <w:i w:val="0"/>
          <w:sz w:val="23"/>
        </w:rPr>
        <w:t>Jones v. Harris Associates, L.P.</w:t>
      </w:r>
    </w:p>
    <w:p>
      <w:pPr>
        <w:spacing w:after="80"/>
      </w:pPr>
      <w:r>
        <w:rPr>
          <w:b w:val="0"/>
          <w:i w:val="0"/>
        </w:rPr>
        <w:t>United States Court of Appeals, Seventh Circuit</w:t>
      </w:r>
      <w:r>
        <w:br/>
      </w:r>
      <w:r>
        <w:rPr>
          <w:b w:val="0"/>
          <w:i w:val="0"/>
        </w:rPr>
        <w:t xml:space="preserve"> 527 F.3d 627 (2008), </w:t>
      </w:r>
      <w:r>
        <w:rPr>
          <w:b w:val="0"/>
          <w:i/>
        </w:rPr>
        <w:t>rev'd</w:t>
      </w:r>
      <w:r>
        <w:rPr>
          <w:b w:val="0"/>
          <w:i w:val="0"/>
        </w:rPr>
        <w:t xml:space="preserve"> , 559 U.S. 335 (2010)</w:t>
      </w:r>
    </w:p>
    <w:p>
      <w:pPr>
        <w:spacing w:after="80"/>
      </w:pPr>
      <w:r>
        <w:rPr>
          <w:b w:val="0"/>
          <w:i w:val="0"/>
        </w:rPr>
        <w:t>EASTERBROOK, CHÁNH ÁN:</w:t>
      </w:r>
    </w:p>
    <w:p>
      <w:pPr>
        <w:spacing w:after="80"/>
      </w:pPr>
      <w:r>
        <w:rPr>
          <w:b w:val="0"/>
          <w:i w:val="0"/>
        </w:rPr>
        <w:t>Harris Associates tư vấn cho nhóm quỹ tương hỗ Oakmark. Các quỹ mở này (quỹ mở là quỹ mua lại cổ phần của mình theo giá trị tài sản hiện tại) đã tăng trưởng trong những năm gần đây vì lợi nhuận ròng của chúng vượt mức trung bình của thị trường, và thù lao của công ty tư vấn đầu tư cũng tăng theo tương ứng. Các nguyên đơn, những người sở hữu cổ phần trong một số quỹ Oakmark, cho rằng mức phí quá cao và do đó vi phạm § 36(b) của Đạo luật Công ty Đầu tư năm 1940, 15 U.S.C. § 80a-35(b), một điều khoản được bổ sung vào năm 1970 [đặt ra nghĩa vụ ủy thác đối với các cố vấn trong việc ấn định phí]. . . .</w:t>
      </w:r>
    </w:p>
    <w:p>
      <w:pPr>
        <w:spacing w:after="80"/>
      </w:pPr>
      <w:r>
        <w:rPr>
          <w:b w:val="0"/>
          <w:i w:val="0"/>
        </w:rPr>
        <w:t>* * *</w:t>
      </w:r>
    </w:p>
    <w:p>
      <w:pPr>
        <w:spacing w:after="80"/>
      </w:pPr>
      <w:r>
        <w:rPr>
          <w:b w:val="0"/>
          <w:i w:val="0"/>
        </w:rPr>
        <w:t xml:space="preserve">Tòa án quận đã tuân theo </w:t>
      </w:r>
      <w:r>
        <w:rPr>
          <w:b w:val="0"/>
          <w:i/>
        </w:rPr>
        <w:t>Gartenberg v. Merrill Lynch Asset Management, Inc.</w:t>
      </w:r>
      <w:r>
        <w:rPr>
          <w:b w:val="0"/>
          <w:i w:val="0"/>
        </w:rPr>
        <w:t xml:space="preserve"> , 694 F.2d 923 (2d Cir. 1982), và kết luận rằng Harris Associates phải thắng kiện vì mức phí của nó là bình thường. </w:t>
      </w:r>
      <w:r>
        <w:rPr>
          <w:b w:val="0"/>
          <w:i/>
        </w:rPr>
        <w:t>Gartenberg</w:t>
      </w:r>
      <w:r>
        <w:rPr>
          <w:b w:val="0"/>
          <w:i w:val="0"/>
        </w:rPr>
        <w:t xml:space="preserve"> đã trình bày hai biến thể của cùng một chủ đề:</w:t>
      </w:r>
    </w:p>
    <w:p>
      <w:pPr>
        <w:spacing w:after="80"/>
      </w:pPr>
      <w:r>
        <w:rPr>
          <w:b w:val="0"/>
          <w:i w:val="0"/>
        </w:rPr>
        <w:t>[T]hước đo thực chất là liệu biểu phí có đại diện cho một mức thu nằm trong phạm vi những gì lẽ ra đã được thương lượng trên cơ sở ngang hàng dưới ánh sáng của tất cả các hoàn cảnh xung quanh hay không.</w:t>
      </w:r>
    </w:p>
    <w:p>
      <w:pPr>
        <w:spacing w:after="80"/>
      </w:pPr>
      <w:r>
        <w:rPr>
          <w:b w:val="0"/>
          <w:i w:val="0"/>
        </w:rPr>
        <w:t>694 F.2d tại 928. Và</w:t>
      </w:r>
    </w:p>
    <w:p>
      <w:pPr>
        <w:spacing w:after="80"/>
      </w:pPr>
      <w:r>
        <w:rPr>
          <w:b w:val="0"/>
          <w:i w:val="0"/>
        </w:rPr>
        <w:t>[đ]ể bị coi là vi phạm § 36(b) . . . cố vấn-người quản lý phải thu một mức phí lớn đến mức không cân xứng, đến nỗi nó không có mối quan hệ hợp lý nào với các dịch vụ được cung cấp và không thể là sản phẩm của việc thương lượng trên cơ sở ngang hàng.</w:t>
      </w:r>
    </w:p>
    <w:p>
      <w:pPr>
        <w:spacing w:after="80"/>
      </w:pPr>
      <w:r>
        <w:rPr>
          <w:b w:val="0"/>
          <w:i/>
        </w:rPr>
        <w:t>Ibid.</w:t>
      </w:r>
      <w:r>
        <w:rPr>
          <w:b w:val="0"/>
          <w:i w:val="0"/>
        </w:rPr>
        <w:t xml:space="preserve"> Quỹ Oakmark đã trả cho Harris Associates 1% (mỗi năm) của 2 tỷ đô la đầu tiên trong tài sản của quỹ, 0,9% của 1 tỷ đô la tiếp theo, 0,8% của 2 tỷ đô la tiếp theo, và 0,75% của bất kỳ khoản nào vượt quá 5 tỷ đô la. . . .</w:t>
      </w:r>
    </w:p>
    <w:p>
      <w:pPr>
        <w:spacing w:after="80"/>
      </w:pPr>
      <w:r>
        <w:rPr>
          <w:b w:val="0"/>
          <w:i w:val="0"/>
        </w:rPr>
        <w:t>* * *</w:t>
      </w:r>
    </w:p>
    <w:p>
      <w:pPr>
        <w:spacing w:after="80"/>
      </w:pPr>
      <w:r>
        <w:rPr>
          <w:b w:val="0"/>
          <w:i w:val="0"/>
        </w:rPr>
        <w:t>Sau khi có thêm một cơ hội để nghiên cứu vấn đề này, giờ đây chúng tôi bác bỏ cách tiếp cận của Gartenberg. Nghĩa vụ ủy thác khác với việc quản lý giá cả. Người được ủy thác phải công bố đầy đủ thông tin và không được giở trò, nhưng không bị giới hạn trần đối với thù lao. Các người được ủy thác (và cuối cùng là các nhà đầu tư, những người bỏ phiếu bằng đôi chân và đồng đô la của mình), chứ không phải một thẩm phán hay bồi thẩm đoàn, mới là người quyết định dịch vụ tư vấn đáng giá bao nhiêu.</w:t>
      </w:r>
    </w:p>
    <w:p>
      <w:pPr>
        <w:spacing w:after="80"/>
      </w:pPr>
      <w:r>
        <w:rPr>
          <w:b w:val="0"/>
          <w:i w:val="0"/>
        </w:rPr>
        <w:t>* * *</w:t>
      </w:r>
    </w:p>
    <w:p>
      <w:pPr>
        <w:spacing w:after="80"/>
      </w:pPr>
      <w:r>
        <w:rPr>
          <w:b w:val="0"/>
          <w:i w:val="0"/>
        </w:rPr>
        <w:t>. . . Các công ty kinh doanh . . . tuy không phải là quỹ tín thác nhưng được quản lý bởi những người mang nghĩa vụ ủy thác trung thành đối với nhà đầu tư. Điều này không ngăn cản họ đòi hỏi thù lao đáng kể và thương lượng gay gắt để có được nó. Các công ty đại chúng sử dụng cùng những thủ tục cơ bản như các quỹ tương hỗ: một ủy ban gồm các giám đốc độc lập ấn định thù lao cho các nhà quản lý cấp cao nhất. Không có tòa án nào cho rằng thủ tục này hàm ý việc xem xét tư pháp về tính "hợp lý" của mức lương, tiền thưởng và quyền chọn cổ phiếu thu được. Những khoản này bị ràng buộc bởi sự cạnh tranh trên nhiều thị trường—những công ty trả quá nhiều cho nhà quản lý sẽ gặp khó khăn trong việc huy động vốn, vì lợi nhuận ròng sẵn có để phân phối cho nhà đầu tư thấp hơn, và những công ty này cũng chịu thiệt trên thị trường sản phẩm vì họ phải tính giá cao hơn và người tiêu dùng quay sang nơi khác. Các quá trình cạnh tranh là không hoàn hảo nhưng vẫn vượt trội so với một hệ thống "giá công bằng" do ngành tư pháp quản lý. Dù cạnh tranh có thể yếu ớt đến đâu trong việc loại bỏ sai sót, thì quá trình tư pháp còn tệ hơn—vì các thẩm phán không thể bị cách chức hay bị cắt lương nếu họ thể hiện phán đoán kinh doanh kém cỏi.</w:t>
      </w:r>
    </w:p>
    <w:p>
      <w:pPr>
        <w:spacing w:after="80"/>
      </w:pPr>
      <w:r>
        <w:rPr>
          <w:b w:val="0"/>
          <w:i w:val="0"/>
        </w:rPr>
        <w:t>* * *</w:t>
      </w:r>
    </w:p>
    <w:p>
      <w:pPr>
        <w:spacing w:after="80"/>
      </w:pPr>
      <w:r>
        <w:rPr>
          <w:b w:val="0"/>
          <w:i w:val="0"/>
        </w:rPr>
        <w:t xml:space="preserve">Ngày nay hàng nghìn quỹ tương hỗ cạnh tranh với nhau. Các trang của </w:t>
      </w:r>
      <w:r>
        <w:rPr>
          <w:b w:val="0"/>
          <w:i/>
        </w:rPr>
        <w:t>Wall Street Journal</w:t>
      </w:r>
      <w:r>
        <w:rPr>
          <w:b w:val="0"/>
          <w:i w:val="0"/>
        </w:rPr>
        <w:t xml:space="preserve"> đầy ắp các danh mục niêm yết. Mọi người có thể tìm kiếm và giao dịch quỹ qua Internet, với chi phí giao dịch không đáng kể. "Vào cuối Thế chiến II, có 73 quỹ tương hỗ được đăng ký với Ủy ban Chứng khoán và Giao dịch nắm giữ 1,2 tỷ đô la tài sản. Đến cuối năm 2002, hơn 8.000 quỹ tương hỗ nắm giữ hơn 6 nghìn tỷ đô la tài sản." Paul G. Mahoney, </w:t>
      </w:r>
      <w:r>
        <w:rPr>
          <w:b w:val="0"/>
          <w:i/>
        </w:rPr>
        <w:t>Manager-Investor Conflicts in Mutual Funds</w:t>
      </w:r>
      <w:r>
        <w:rPr>
          <w:b w:val="0"/>
          <w:i w:val="0"/>
        </w:rPr>
        <w:t xml:space="preserve"> , 18 J. Econ. Perspectives 162, 162 (Spring 2004). Một số quỹ tương hỗ, chẳng hạn như những quỹ theo dõi chỉ số thị trường, không có cố vấn đầu tư và do đó tránh được mọi khoản phí tư vấn. (Tổng chi phí của Quỹ Vanguard 500 Index, ví dụ, dưới 0,10% tài sản; con số tương tự cho Quỹ Oakmark năm 2007 là 1,01%.) Các quỹ tương hỗ hiếm khi sa thải cố vấn đầu tư của mình, nhưng nhà đầu tư có thể và thực sự "sa thải" cố vấn một cách rẻ và dễ dàng bằng cách chuyển tiền của họ đi nơi khác. Nhà đầu tư làm điều này không phải khi phí của cố vấn là "quá cao" một cách trừu tượng, mà khi chúng quá cao so với kết quả—và cái gì là "quá cao" phụ thuộc vào kết quả sẵn có từ các phương tiện đầu tư khác, chứ không phải bất kỳ mức thù lao tuyệt đối nào.</w:t>
      </w:r>
    </w:p>
    <w:p>
      <w:pPr>
        <w:spacing w:after="80"/>
      </w:pPr>
      <w:r>
        <w:rPr>
          <w:b w:val="0"/>
          <w:i w:val="0"/>
        </w:rPr>
        <w:t xml:space="preserve">Việc gia nhập mới là phổ biến, và các quỹ chỉ có thể thu hút tiền bằng cách cung cấp sự kết hợp giữa dịch vụ và quản lý mà nhà đầu tư coi trọng, với mức giá họ sẵn lòng trả. Các quỹ tương hỗ tiến gần đến mô hình cạnh tranh nguyên tử hơn nhiều so với hầu hết các thị trường khác. Các thẩm phán sẽ không bao giờ mơ đến việc điều tiết giá ô tô, vốn được sản xuất bởi khoảng một tá công ty lớn; vậy thì tại sao 8.000 quỹ tương hỗ lại có vẻ "quá ít" để tạo áp lực cạnh tranh lên phí tư vấn? Một nghiên cứu gần đây và kỹ lưỡng kết luận rằng hàng nghìn quỹ tương hỗ là quá đủ, rằng nhà đầu tư có thể và thực sự bảo vệ lợi ích của mình bằng cách mua sắm, và rằng việc điều tiết phí tư vấn thông qua kiện tụng khó có thể mang lại nhiều lợi ích hơn tác hại. </w:t>
      </w:r>
      <w:r>
        <w:rPr>
          <w:b w:val="0"/>
          <w:i/>
        </w:rPr>
        <w:t>Xem</w:t>
      </w:r>
      <w:r>
        <w:rPr>
          <w:b w:val="0"/>
          <w:i w:val="0"/>
        </w:rPr>
        <w:t xml:space="preserve"> John C. Coates &amp; R. Glenn Hubbard, Competition in the Mutual Fund Industry: Evidence and Implications for Policy, 33 Iowa J. Corp. L. 151 (2007).</w:t>
      </w:r>
    </w:p>
    <w:p>
      <w:pPr>
        <w:spacing w:after="80"/>
      </w:pPr>
      <w:r>
        <w:rPr>
          <w:b w:val="0"/>
          <w:i w:val="0"/>
        </w:rPr>
        <w:t xml:space="preserve">Sẽ không ổn nếu trả lời rằng hầu hết nhà đầu tư đều thiếu hiểu biết và không so sánh giá cả. Những nhà đầu tư sành sỏi, những người thực sự mua sắm, tạo ra một áp lực cạnh tranh bảo vệ phần còn lại. </w:t>
      </w:r>
      <w:r>
        <w:rPr>
          <w:b w:val="0"/>
          <w:i/>
        </w:rPr>
        <w:t>Xem</w:t>
      </w:r>
      <w:r>
        <w:rPr>
          <w:b w:val="0"/>
          <w:i w:val="0"/>
        </w:rPr>
        <w:t xml:space="preserve"> Alan Schwartz &amp; Louis Wilde, Imperfect Information in Markets for Contract Terms, 69 Va. L. Rev. 1387 (1983). Thực tế là, những nhà đầu tư lớn và sành sỏi nhất lại chọn trả nhiều hơn đáng kể cho dịch vụ tư vấn đầu tư so với những gì các cố vấn chịu sự điều chỉnh của § 36(b) nhận được. Một quỹ chỉ cho phép "nhà đầu tư được công nhận" (tức là người giàu) sở hữu cổ phần không thể hoàn đổi được thì được miễn trừ khỏi Đạo luật Công ty Đầu tư. </w:t>
      </w:r>
      <w:r>
        <w:rPr>
          <w:b w:val="0"/>
          <w:i/>
        </w:rPr>
        <w:t>Xem</w:t>
      </w:r>
      <w:r>
        <w:rPr>
          <w:b w:val="0"/>
          <w:i w:val="0"/>
        </w:rPr>
        <w:t xml:space="preserve"> 15 U.S.C. § 80a-6(a) (5) (A) (iii). Các quỹ đầu tư tập thể tận dụng sự miễn trừ này, thường được gọi là quỹ phòng hộ (hedge fund), thường xuyên trả cho cố vấn của mình hơn 1% giá trị tài sản của quỹ, cộng thêm một phần đáng kể của bất kỳ khoản lợi nhuận nào từ các chiến lược thành công. </w:t>
      </w:r>
      <w:r>
        <w:rPr>
          <w:b w:val="0"/>
          <w:i/>
        </w:rPr>
        <w:t>Xem</w:t>
      </w:r>
      <w:r>
        <w:rPr>
          <w:b w:val="0"/>
          <w:i w:val="0"/>
        </w:rPr>
        <w:t xml:space="preserve"> Rene M. Stulz, </w:t>
      </w:r>
      <w:r>
        <w:rPr>
          <w:b w:val="0"/>
          <w:i/>
        </w:rPr>
        <w:t>Hedge Funds: Past, Present, and Future</w:t>
      </w:r>
      <w:r>
        <w:rPr>
          <w:b w:val="0"/>
          <w:i w:val="0"/>
        </w:rPr>
        <w:t xml:space="preserve"> , 21 J. Econ. Perspectives 175 (Spring 2007). </w:t>
      </w:r>
      <w:r>
        <w:rPr>
          <w:b w:val="0"/>
          <w:i/>
        </w:rPr>
        <w:t>Xem</w:t>
      </w:r>
      <w:r>
        <w:rPr>
          <w:b w:val="0"/>
          <w:i w:val="0"/>
        </w:rPr>
        <w:t xml:space="preserve"> thêm Joseph Golec &amp; Laura Starks, </w:t>
      </w:r>
      <w:r>
        <w:rPr>
          <w:b w:val="0"/>
          <w:i/>
        </w:rPr>
        <w:t>Performance fee contract change and mutual fund risk</w:t>
      </w:r>
      <w:r>
        <w:rPr>
          <w:b w:val="0"/>
          <w:i w:val="0"/>
        </w:rPr>
        <w:t xml:space="preserve"> , 73 J. Fin. Econ. 93 (2004). Khi những người có nhiều tiền nhất để đầu tư, và những người hành động thông qua các cố vấn chuyên nghiệp, đặt tài sản của họ vào những quỹ mà người quản lý nhận được nhiều hơn Harris Associates, thì thật khó để kết luận rằng phí của Harris hẳn phải là quá cao.</w:t>
      </w:r>
    </w:p>
    <w:p>
      <w:pPr>
        <w:spacing w:after="80"/>
      </w:pPr>
      <w:r>
        <w:rPr>
          <w:b w:val="0"/>
          <w:i w:val="0"/>
        </w:rPr>
        <w:t>* * *</w:t>
      </w:r>
    </w:p>
    <w:p>
      <w:pPr>
        <w:spacing w:after="80"/>
      </w:pPr>
      <w:r>
        <w:rPr>
          <w:b w:val="0"/>
          <w:i w:val="0"/>
        </w:rPr>
        <w:t>Luật chứng khoán liên bang, mà trong đó Đạo luật Công ty Đầu tư là một thành phần, vận hành phần lớn bằng cách yêu cầu công bố thông tin và sau đó cho phép giá cả được xác lập thông qua cạnh tranh, trong đó nhà đầu tư tự đưa ra lựa chọn của mình. Nguyên đơn không cho rằng Harris Associates đã giăng bẫy các ủy viên hội đồng quản trị độc lập hay cản trở khả năng của họ trong việc đàm phán một mức giá thuận lợi cho các dịch vụ tư vấn. Các khoản phí không bị giấu kín khỏi nhà đầu tư—và lợi nhuận ròng của các quỹ Oakmark đã thu hút thêm vốn đầu tư mới thay vì xua đuổi nhà đầu tư. Vì § 36(b) không biến hệ thống tư pháp liên bang thành một cơ quan quản lý giá, theo kiểu của Ủy ban Quản lý Năng lượng Liên bang, nên phán quyết của tòa án quận được giữ nguyên.</w:t>
      </w:r>
    </w:p>
    <w:p>
      <w:pPr>
        <w:pStyle w:val="Heading5"/>
      </w:pPr>
      <w:r>
        <w:rPr>
          <w:rFonts w:ascii="Calibri" w:hAnsi="Calibri"/>
          <w:b/>
          <w:i/>
          <w:sz w:val="22"/>
        </w:rPr>
        <w:t>Bình luận và Câu hỏi</w:t>
      </w:r>
    </w:p>
    <w:p>
      <w:pPr>
        <w:spacing w:after="80"/>
      </w:pPr>
      <w:r>
        <w:rPr>
          <w:b w:val="0"/>
          <w:i w:val="0"/>
        </w:rPr>
        <w:t>1. Trên thực tế, Thẩm phán Easterbrook đang ủng hộ một khía cạnh nào đó của Quy tắc Phố Wall, nơi cổ đông và nhà đầu tư bỏ phiếu bằng chính đôi chân của mình. Nếu họ không hài lòng với thù lao của ban điều hành, họ nên bán cổ phần của mình và tìm nơi khác. Đây có phải là một giải pháp hiệu quả cho bất kỳ lo ngại nào về thù lao không?</w:t>
      </w:r>
    </w:p>
    <w:p>
      <w:pPr>
        <w:spacing w:after="80"/>
      </w:pPr>
      <w:r>
        <w:rPr>
          <w:b w:val="0"/>
          <w:i w:val="0"/>
        </w:rPr>
        <w:t xml:space="preserve">2. Đối với Thẩm phán Easterbrook, </w:t>
      </w:r>
      <w:r>
        <w:rPr>
          <w:b w:val="0"/>
          <w:i/>
        </w:rPr>
        <w:t>điều kiện tiên quyết không thể thiếu</w:t>
      </w:r>
      <w:r>
        <w:rPr>
          <w:b w:val="0"/>
          <w:i w:val="0"/>
        </w:rPr>
        <w:t xml:space="preserve"> của việc quản lý là công bố thông tin. Với công bố thông tin đầy đủ, thị trường có thể tiếp quản và kỷ luật những ai thu phí quá cao hoặc nhận thù lao quá mức. Liệu công bố thông tin có đủ không?</w:t>
      </w:r>
    </w:p>
    <w:p>
      <w:pPr>
        <w:spacing w:after="80"/>
      </w:pPr>
      <w:r>
        <w:rPr>
          <w:b w:val="0"/>
          <w:i w:val="0"/>
        </w:rPr>
        <w:t>3. Bản ý kiến so sánh vấn đề với các quỹ tương hỗ với thù lao ban điều hành tại các công ty đại chúng. Thẩm phán Easterbrook lưu ý rằng các nhà quản lý "đàm phán gay gắt" để có được thù lao của mình. Đó có phải là một mô tả chính xác về động lực thù lao đang diễn ra tại hầu hết các công ty đại chúng không?</w:t>
      </w:r>
    </w:p>
    <w:p>
      <w:pPr>
        <w:spacing w:after="80"/>
      </w:pPr>
      <w:r>
        <w:rPr>
          <w:b w:val="0"/>
          <w:i w:val="0"/>
        </w:rPr>
        <w:t>4. Bản ý kiến lưu ý rằng các tập đoàn trả thù lao quá cao sẽ có lợi nhuận giảm và do đó, gặp khó khăn hơn trong việc huy động vốn. Liệu mối liên hệ giữa thù lao và việc huy động vốn có rõ ràng như Thẩm phán Easterbrook mô tả không?</w:t>
      </w:r>
    </w:p>
    <w:p>
      <w:pPr>
        <w:spacing w:after="80"/>
      </w:pPr>
      <w:r>
        <w:rPr>
          <w:b w:val="0"/>
          <w:i w:val="0"/>
        </w:rPr>
        <w:t>5. Như chúng ta sẽ khám phá sau này, ông đã đúng khi lưu ý rằng khi các công ty đại chúng sử dụng đúng quy trình, thì không có sự xem xét bổ sung nào về tính hợp lý của số tiền được trả. Chính xác hơn, không có sự xem xét nào về tính công bằng của số tiền được trả. Đây có phải là một tiêu chuẩn phù hợp không?</w:t>
      </w:r>
    </w:p>
    <w:p>
      <w:pPr>
        <w:spacing w:after="80"/>
      </w:pPr>
      <w:r>
        <w:rPr>
          <w:b w:val="0"/>
          <w:i w:val="0"/>
        </w:rPr>
        <w:t>6. Dù sao đi nữa, ông tin rằng việc đánh giá tính hợp lý của thù lao không phải là vai trò của tòa án. Bạn có đồng ý không?</w:t>
      </w:r>
    </w:p>
    <w:p>
      <w:pPr>
        <w:spacing w:after="80"/>
      </w:pPr>
      <w:r>
        <w:rPr>
          <w:b w:val="0"/>
          <w:i w:val="0"/>
        </w:rPr>
        <w:t>—————</w:t>
      </w:r>
    </w:p>
    <w:p>
      <w:pPr>
        <w:spacing w:after="80"/>
      </w:pPr>
      <w:r>
        <w:rPr>
          <w:b w:val="0"/>
          <w:i w:val="0"/>
        </w:rPr>
        <w:t>Toàn bộ Tòa án Phúc thẩm Vòng 7 đã từ chối xét xử lại vụ án. Thẩm phán Posner phản đối và bất đồng với phân tích thị trường mà Thẩm phán Easterbrook đưa ra.</w:t>
      </w:r>
    </w:p>
    <w:p>
      <w:pPr>
        <w:pStyle w:val="Heading4"/>
      </w:pPr>
      <w:r>
        <w:rPr>
          <w:rFonts w:ascii="Calibri" w:hAnsi="Calibri"/>
          <w:b/>
          <w:i w:val="0"/>
          <w:sz w:val="23"/>
        </w:rPr>
        <w:t>Jones v. Harris Associates, L.P.</w:t>
      </w:r>
    </w:p>
    <w:p>
      <w:pPr>
        <w:spacing w:after="80"/>
      </w:pPr>
      <w:r>
        <w:rPr>
          <w:b w:val="0"/>
          <w:i w:val="0"/>
        </w:rPr>
        <w:t>Tòa án Phúc thẩm Hoa Kỳ, Vòng 7</w:t>
      </w:r>
      <w:r>
        <w:br/>
      </w:r>
      <w:r>
        <w:rPr>
          <w:b w:val="0"/>
          <w:i w:val="0"/>
        </w:rPr>
        <w:t xml:space="preserve"> 537 F.3d 728 (2008) (phản đối việc xét xử toàn thể)</w:t>
      </w:r>
    </w:p>
    <w:p>
      <w:pPr>
        <w:spacing w:after="80"/>
      </w:pPr>
      <w:r>
        <w:rPr>
          <w:b w:val="0"/>
          <w:i w:val="0"/>
        </w:rPr>
        <w:t>POSNER , THẨM PHÁN VÒNG , cùng với các Thẩm phán Vòng ROVNER , WOOD , WILLIAMS , và TINDER tham gia, phản đối việc từ chối xét xử lại toàn thể.</w:t>
      </w:r>
    </w:p>
    <w:p>
      <w:pPr>
        <w:spacing w:after="80"/>
      </w:pPr>
      <w:r>
        <w:rPr>
          <w:b w:val="0"/>
          <w:i w:val="0"/>
        </w:rPr>
        <w:t xml:space="preserve">Hội đồng xét xử đặt cơ sở cho việc bác bỏ </w:t>
      </w:r>
      <w:r>
        <w:rPr>
          <w:b w:val="0"/>
          <w:i/>
        </w:rPr>
        <w:t>Gartenberg</w:t>
      </w:r>
      <w:r>
        <w:rPr>
          <w:b w:val="0"/>
          <w:i w:val="0"/>
        </w:rPr>
        <w:t xml:space="preserve"> chủ yếu dựa trên một phân tích kinh tế đã đến lúc cần được xem xét lại, dựa trên những dấu hiệu ngày càng rõ cho thấy thù lao ban điều hành tại các công ty đại chúng lớn thường là quá mức vì động lực yếu ớt của hội đồng quản trị trong việc kiểm soát thù lao. . . . Các ủy viên hội đồng quản trị thường là CEO của các công ty khác và đương nhiên nghĩ rằng CEO nên được trả lương hậu hĩnh. Và họ thường được chính CEO chọn lựa. Các công ty tư vấn thù lao, những đơn vị cung cấp vỏ bọc cho các gói thù lao hào phóng được hội đồng quản trị bỏ phiếu thông qua, có xung đột lợi ích vì họ không chỉ được trả tiền cho lời khuyên về thù lao mà còn cho các dịch vụ khác cho công ty—những dịch vụ mà họ được thuê bởi chính các quan chức mà họ đã tư vấn về thù lao. . . .</w:t>
      </w:r>
    </w:p>
    <w:p>
      <w:pPr>
        <w:spacing w:after="80"/>
      </w:pPr>
      <w:r>
        <w:rPr>
          <w:b w:val="0"/>
          <w:i w:val="0"/>
        </w:rPr>
        <w:t>Cạnh tranh trên thị trường sản phẩm và vốn không thể được trông cậy để giải quyết vấn đề vì cùng một cấu trúc động lực vận hành trên tất cả các tập đoàn lớn và các thực thể tương tự, bao gồm cả các quỹ tương hỗ. Quỹ tương hỗ là một thành phần của ngành dịch vụ tài chính, nơi các hành vi lạm dụng đã tràn lan, điều này rõ ràng hơn bây giờ so với khi Coates và Hubbard viết bài báo của họ. Một giáo sư trường kinh doanh tại Đại học Northwestern gần đây đã nhận xét rằng "các mối quan hệ kinh doanh có thể giảm thiểu xung đột đại diện bằng cách tạo điều kiện chuyển giao thông tin hiệu quả, nhưng cũng có thể là kênh dẫn đến sự thiên vị kém hiệu quả." Bà đã tìm thấy "bằng chứng rằng các mối quan hệ giữa các đại lý trong [ngành quỹ tương hỗ] nuôi dưỡng sự thiên vị, gây bất lợi cho nhà đầu tư. Các ủy viên hội đồng quỹ và các công ty tư vấn quản lý quỹ thuê lẫn nhau một cách ưu tiên dựa trên các tương tác trong quá khứ. Khi các ủy viên hội đồng quản trị và ban quản lý có mối liên hệ chặt chẽ hơn, các cố vấn thu được nhiều lợi tức hơn và được hội đồng quản trị giám sát ít gắt gao hơn. Những phát hiện này ủng hộ các lời kêu gọi gần đây về việc công bố thông tin nhiều hơn liên quan đến việc đàm phán các hợp đồng tư vấn bởi hội đồng quỹ." Camelia M. Kuhnen, "Social Networks, Corporate Governance and Contracting in the Mutual Fund Industry" (ngày 1 tháng 3 năm 2007), http://ssrn.com/abstract=849705 (truy cập ngày 28 tháng 7 năm 2008). Văn phòng Phân tích Kinh tế của SEC (cố vấn chính cho SEC về các khía cạnh kinh tế của các vấn đề quản lý) tin rằng "các hội đồng quản trị quỹ tương hỗ có tỷ lệ ủy viên độc lập cao hơn có nhiều khả năng đàm phán và phê duyệt mức phí thấp hơn, sáp nhập các quỹ hoạt động kém hiệu quả nhanh hơn hoặc cung cấp sự bảo vệ nhà đầu tư tốt hơn khỏi giao dịch muộn và định thời thị trường," mặc dù "phân tích cắt ngang rộng rãi cho thấy ít bằng chứng nhất quán rằng thành phần hội đồng quản trị có liên quan đến mức phí thấp hơn và lợi nhuận cao hơn cho cổ đông quỹ." "OEA Memorandum: Literature Review on Independent Mutual Fund Chairs and Directors," ngày 29 tháng 12 năm 2006. . . .</w:t>
      </w:r>
    </w:p>
    <w:p>
      <w:pPr>
        <w:spacing w:after="80"/>
      </w:pPr>
      <w:r>
        <w:rPr>
          <w:b w:val="0"/>
          <w:i w:val="0"/>
        </w:rPr>
        <w:t>* * *</w:t>
      </w:r>
    </w:p>
    <w:p>
      <w:pPr>
        <w:spacing w:after="80"/>
      </w:pPr>
      <w:r>
        <w:rPr>
          <w:b w:val="0"/>
          <w:i w:val="0"/>
        </w:rPr>
        <w:t>Ý kiến của hội đồng xét xử chỉ ra rằng tòa án không xem xét mức lương doanh nghiệp có quá cao hay không. Điều đó đã bỏ lỡ vấn đề mấu chốt, đó là mức thù lao bất hợp lý có thể là bằng chứng cho việc vi phạm nghĩa vụ ủy thác.</w:t>
      </w:r>
    </w:p>
    <w:p>
      <w:pPr>
        <w:pStyle w:val="Heading5"/>
      </w:pPr>
      <w:r>
        <w:rPr>
          <w:rFonts w:ascii="Calibri" w:hAnsi="Calibri"/>
          <w:b/>
          <w:i/>
          <w:sz w:val="22"/>
        </w:rPr>
        <w:t>Bình luận và Câu hỏi</w:t>
      </w:r>
    </w:p>
    <w:p>
      <w:pPr>
        <w:spacing w:after="80"/>
      </w:pPr>
      <w:r>
        <w:rPr>
          <w:b w:val="0"/>
          <w:i w:val="0"/>
        </w:rPr>
        <w:t>1. Thẩm phán Posner khác biệt như thế nào so với Thẩm phán Easterbrook trong phân tích của ông về vấn đề này? Tại sao ông không xem thị trường nhất thiết là đủ để giải quyết các vấn đề về thù lao?</w:t>
      </w:r>
    </w:p>
    <w:p>
      <w:pPr>
        <w:spacing w:after="80"/>
      </w:pPr>
      <w:r>
        <w:rPr>
          <w:b w:val="0"/>
          <w:i w:val="0"/>
        </w:rPr>
        <w:t>2. Một số vấn đề mang tính cấu trúc mà Thẩm phán Posner nêu ra là gì? Bạn nghĩ gì về chúng? Chúng có cần cải cách không?</w:t>
      </w:r>
    </w:p>
    <w:p>
      <w:pPr>
        <w:spacing w:after="80"/>
      </w:pPr>
      <w:r>
        <w:rPr>
          <w:b w:val="0"/>
          <w:i w:val="0"/>
        </w:rPr>
        <w:t xml:space="preserve">3. Một số người khẳng định rằng thù lao điều hành hoàn toàn do thị trường chi phối và nên như vậy. Cách tiếp cận như vậy giả định có một thị trường hiệu quả đối với thù lao điều hành. Giáo sư Macey tại Yale trong cuốn sách </w:t>
      </w:r>
      <w:r>
        <w:rPr>
          <w:b w:val="0"/>
          <w:i/>
        </w:rPr>
        <w:t>Corporate Governance, Promises Kept, Promises Broken</w:t>
      </w:r>
      <w:r>
        <w:rPr>
          <w:b w:val="0"/>
          <w:i w:val="0"/>
        </w:rPr>
        <w:t xml:space="preserve"> của ông, mô tả các hội đồng quản trị đã bị CEO "thâu tóm". Giả sử đúng là như vậy, điều đó có khả năng gây ảnh hưởng gì đến bất kỳ thị trường thù lao điều hành nào?</w:t>
      </w:r>
    </w:p>
    <w:p>
      <w:pPr>
        <w:spacing w:after="80"/>
      </w:pPr>
      <w:r>
        <w:rPr>
          <w:b w:val="0"/>
          <w:i w:val="0"/>
        </w:rPr>
        <w:t>4. Phân tích có thay đổi khi một CEO lần đầu tiên gia nhập công ty không? Chẳng hạn, John Thain, CEO của Merrill Lynch, là một trong những CEO được trả lương cao nhất năm 2007, nhận tổng thù lao hơn 80 triệu đô la. Vậy mà trước đó ông đã là CEO của NYSE. Nói cách khác, gói thù lao lớn đó là thứ ông đã thương lượng để đổi lấy việc rời một công ty sang gia nhập một công ty khác. Các gói thù lao trong những hoàn cảnh này có làm dấy lên những lo ngại tương tự không? Việc biết rằng Thain rời Merrill Lynch vào đầu năm 2009, ngay sau khi ngân hàng đầu tư này bị Bank of America mua lại, có ảnh hưởng đến phân tích của bạn không?</w:t>
      </w:r>
    </w:p>
    <w:p>
      <w:pPr>
        <w:spacing w:after="80"/>
      </w:pPr>
      <w:r>
        <w:rPr>
          <w:b w:val="0"/>
          <w:i w:val="0"/>
        </w:rPr>
        <w:t>—————</w:t>
      </w:r>
    </w:p>
    <w:p>
      <w:pPr>
        <w:spacing w:after="80"/>
      </w:pPr>
      <w:r>
        <w:rPr>
          <w:b w:val="0"/>
          <w:i w:val="0"/>
        </w:rPr>
        <w:t>Tòa án Tối cao cuối cùng đã vào cuộc và đảo ngược phán quyết của Thẩm phán Easterbrook.</w:t>
      </w:r>
    </w:p>
    <w:p>
      <w:pPr>
        <w:pStyle w:val="Heading4"/>
      </w:pPr>
      <w:r>
        <w:rPr>
          <w:rFonts w:ascii="Calibri" w:hAnsi="Calibri"/>
          <w:b/>
          <w:i w:val="0"/>
          <w:sz w:val="23"/>
        </w:rPr>
        <w:t>Jones v. Harris Associates, L.P.</w:t>
      </w:r>
    </w:p>
    <w:p>
      <w:pPr>
        <w:spacing w:after="80"/>
      </w:pPr>
      <w:r>
        <w:rPr>
          <w:b w:val="0"/>
          <w:i w:val="0"/>
        </w:rPr>
        <w:t>Tòa án Tối cao Hoa Kỳ</w:t>
      </w:r>
      <w:r>
        <w:br/>
      </w:r>
      <w:r>
        <w:rPr>
          <w:b w:val="0"/>
          <w:i w:val="0"/>
        </w:rPr>
        <w:t xml:space="preserve"> 130 S. Ct. 1418 (2010)</w:t>
      </w:r>
    </w:p>
    <w:p>
      <w:pPr>
        <w:spacing w:after="80"/>
      </w:pPr>
      <w:r>
        <w:rPr>
          <w:b w:val="0"/>
          <w:i w:val="0"/>
        </w:rPr>
        <w:t>THẨM PHÁN ALITO :</w:t>
      </w:r>
    </w:p>
    <w:p>
      <w:pPr>
        <w:spacing w:after="80"/>
      </w:pPr>
      <w:r>
        <w:rPr>
          <w:b w:val="0"/>
          <w:i w:val="0"/>
        </w:rPr>
        <w:t>. . . [N]ếu các giám đốc không có quyền lợi liên quan đã xem xét các yếu tố liên quan, thì quyết định của họ phê duyệt một thỏa thuận phí cụ thể được trao trọng lượng đáng kể, ngay cả khi tòa án có thể cân nhắc các yếu tố theo cách khác. Cf. id., at 485, 99 S. Ct. 1831, 60 L. Ed. 2d 404. Điều này không có nghĩa là phủ nhận rằng một khoản phí có thể là quá cao ngay cả khi nó được thương lượng bởi một hội đồng quản trị nắm đầy đủ mọi thông tin liên quan, nhưng việc xác định như vậy phải dựa trên bằng chứng rằng khoản phí đó "lớn đến mức mất cân đối nghiêm trọng, đến nỗi không có mối quan hệ hợp lý nào với các dịch vụ được cung cấp và không thể là kết quả của việc thương lượng ngang hàng." Gartenberg, supra, at 928.</w:t>
      </w:r>
    </w:p>
    <w:p>
      <w:pPr>
        <w:spacing w:after="80"/>
      </w:pPr>
      <w:r>
        <w:rPr>
          <w:b w:val="0"/>
          <w:i w:val="0"/>
        </w:rPr>
        <w:t xml:space="preserve">Ngược lại, khi quy trình của hội đồng quản trị bị thiếu sót hoặc bên cố vấn giữ lại thông tin quan trọng, tòa án phải xem xét kết quả một cách nghiêm ngặt hơn. Khi một cố vấn đầu tư không tiết lộ thông tin trọng yếu cho hội đồng quản trị, việc giám sát chặt chẽ hơn là chính đáng vì thông tin bị giữ lại có thể đã cản trở khả năng của hội đồng quản trị trong việc hoạt động như "một cơ chế kiểm tra độc lập đối với ban điều hành." Burks, supra, at 484, 99 S. Ct. 1831, 60 L. Ed. 2d 404 (bỏ dấu ngoặc kép nội bộ). "Mục 36(b) tập trung sắc bén vào câu hỏi liệu bản thân các khoản phí có quá cao hay không." Migdal v. Rowe Price-Fleming Int'l, Inc., 248 F.3d 321, 328 (CA4 2001); xem thêm 15 U.S.C. § 80a-35(b) (áp đặt "nghĩa vụ ủy thác đối với </w:t>
      </w:r>
      <w:r>
        <w:rPr>
          <w:b w:val="0"/>
          <w:i/>
        </w:rPr>
        <w:t>việc nhận thù lao</w:t>
      </w:r>
      <w:r>
        <w:rPr>
          <w:b w:val="0"/>
          <w:i w:val="0"/>
        </w:rPr>
        <w:t xml:space="preserve"> cho các dịch vụ, hoặc các khoản thanh toán có tính chất trọng yếu" (nhấn mạnh thêm)). Nhưng việc bên cố vấn tuân thủ hay không tuân thủ các nghĩa vụ công bố thông tin là một yếu tố phải được xem xét để hiệu chỉnh mức độ tôn trọng dành cho quyết định của hội đồng quản trị trong việc phê duyệt phí của bên cố vấn.</w:t>
      </w:r>
    </w:p>
    <w:p>
      <w:pPr>
        <w:spacing w:after="80"/>
      </w:pPr>
      <w:r>
        <w:rPr>
          <w:b w:val="0"/>
          <w:i w:val="0"/>
        </w:rPr>
        <w:t xml:space="preserve">Cũng cần lưu ý rằng tiêu chuẩn về vi phạm nghĩa vụ ủy thác theo § 36(b) không đòi hỏi tòa án phải phán đoán lại các quyết định đã được thông tin đầy đủ của hội đồng quản trị. </w:t>
      </w:r>
      <w:r>
        <w:rPr>
          <w:b w:val="0"/>
          <w:i/>
        </w:rPr>
        <w:t>Xem</w:t>
      </w:r>
      <w:r>
        <w:rPr>
          <w:b w:val="0"/>
          <w:i w:val="0"/>
        </w:rPr>
        <w:t xml:space="preserve"> Daily Income Fund, supra, at 538, 104 S. Ct. 831, 78 L. Ed. 2d 645; xem thêm Burks, 441 U.S., at 483, 99 S. Ct. 1831, 60 L. Ed. 2d 404 ("Quốc hội đã chủ ý chọn giải quyết vấn đề xung đột lợi ích thông qua mục về giám đốc độc lập của Đạo luật, thay vì thông qua các biện pháp khắc phục quyết liệt hơn"). "[C]ác xung đột [lợi ích] tiềm ẩn có thể biện minh cho một số hạn chế đối với quyền tự quyết không bị ràng buộc của ngay cả các giám đốc quỹ tương hỗ không có quyền lợi liên quan, đặc biệt là trong các giao dịch của họ với cố vấn đầu tư," nhưng chúng không gợi ý rằng tòa án có thể thay thế phán đoán của các giám đốc không có quyền lợi liên quan đã được thông tin đầy đủ về mọi vấn đề liên quan, mà không có bằng chứng bổ sung rằng khoản phí vượt quá phạm vi thương lượng ngang hàng. Id., at 481, 99 S. Ct. 1831, 60 L. Ed. 2d 404. Khi xem xét thù lao theo § 36(b), Đạo luật không yêu cầu tòa án phải thực hiện việc tính toán chính xác các khoản phí đại diện cho thương lượng ngang hàng. </w:t>
      </w:r>
      <w:r>
        <w:rPr>
          <w:b w:val="0"/>
          <w:i/>
        </w:rPr>
        <w:t>Xem</w:t>
      </w:r>
      <w:r>
        <w:rPr>
          <w:b w:val="0"/>
          <w:i w:val="0"/>
        </w:rPr>
        <w:t xml:space="preserve"> 527 F.3d at 633 ("Việc tòa án định giá không đi kèm với nghĩa vụ ủy thác"). Như đã kể ở trên, Quốc hội đã bác bỏ yêu cầu về "tính hợp lý" vốn bị chỉ trích là giao cho tòa án trách nhiệm ấn định mức giá. </w:t>
      </w:r>
      <w:r>
        <w:rPr>
          <w:b w:val="0"/>
          <w:i/>
        </w:rPr>
        <w:t>Xem Daily Income Fund, supra, at 538–540, 104 S. Ct. 831, 78 L. Ed. 2d 645</w:t>
      </w:r>
      <w:r>
        <w:rPr>
          <w:b w:val="0"/>
          <w:i w:val="0"/>
        </w:rPr>
        <w:t xml:space="preserve"> . Cách tiếp cận của Quốc hội thừa nhận rằng tòa án không phù hợp để thực hiện những tính toán chính xác như vậy. Cf. GMC v. Tracy, 519 U.S. 278, 308, 117 S. Ct. 811, 136 L. Ed. 2d 761 (1997) ("[T]òa án không phù hợp về mặt thể chế để thu thập các dữ kiện làm cơ sở cho các dự đoán kinh tế, và không được đào tạo chuyên môn để đưa ra chúng"); Verizon Communs., Inc. v. FCC, 535 U.S. 467, 539, 122 S. Ct. 1646, 152 L. Ed. 2d 701 (2002); xem thêm Concord v. Boston Edison Co., 915 F.2d 17, 25 (CA1 1990) (ý kiến của tòa do Breyer, C. J. trình bày) ("[L]àm sao một thẩm phán hay bồi thẩm đoàn có thể xác định được một 'mức giá công bằng'?"). Tiêu chuẩn "lớn đến mức mất cân đối nghiêm trọng" của Gartenberg, 694 F.2d at 928, phản ánh lựa chọn của Quốc hội là "dựa phần lớn vào các 'người canh gác' [giám đốc độc lập] để bảo vệ lợi ích của cổ đông." Burks, supra, at 485, 99 S. Ct. 1831, 60 L. Ed. 2d 404.</w:t>
      </w:r>
    </w:p>
    <w:p>
      <w:pPr>
        <w:spacing w:after="80"/>
      </w:pPr>
      <w:r>
        <w:rPr>
          <w:b w:val="0"/>
          <w:i w:val="0"/>
        </w:rPr>
        <w:t xml:space="preserve">Bằng cách tập trung gần như hoàn toàn vào yếu tố công bố thông tin, hội đồng xét xử của Vòng thứ Bảy (Seventh Circuit) đã sai. </w:t>
      </w:r>
      <w:r>
        <w:rPr>
          <w:b w:val="0"/>
          <w:i/>
        </w:rPr>
        <w:t>Xem</w:t>
      </w:r>
      <w:r>
        <w:rPr>
          <w:b w:val="0"/>
          <w:i w:val="0"/>
        </w:rPr>
        <w:t xml:space="preserve"> 527 F.3d at 632 (Một cố vấn đầu tư "phải công bố đầy đủ và không được giở trò, nhưng không bị giới hạn trần về thù lao"). Tiêu chuẩn </w:t>
      </w:r>
      <w:r>
        <w:rPr>
          <w:b w:val="0"/>
          <w:i/>
        </w:rPr>
        <w:t>Gartenberg</w:t>
      </w:r>
      <w:r>
        <w:rPr>
          <w:b w:val="0"/>
          <w:i w:val="0"/>
        </w:rPr>
        <w:t xml:space="preserve"> , mà hội đồng xét xử đã bác bỏ, có thể thiếu sự rõ ràng trong phân tích sắc bén, nhưng chúng tôi tin rằng nó phản ánh chính xác sự thỏa hiệp được thể hiện trong § 36(b), và nó đã cung cấp một tiêu chuẩn khả thi trong gần ba thập kỷ. Cuộc tranh luận giữa hội đồng xét xử của Vòng thứ Bảy và ý kiến bất đồng về việc từ chối xét xử lại liên quan đến thị trường quỹ tương hỗ ngày nay là vấn đề thuộc về Quốc hội, không phải tòa án.</w:t>
      </w:r>
    </w:p>
    <w:p>
      <w:pPr>
        <w:pStyle w:val="Heading5"/>
      </w:pPr>
      <w:r>
        <w:rPr>
          <w:rFonts w:ascii="Calibri" w:hAnsi="Calibri"/>
          <w:b/>
          <w:i/>
          <w:sz w:val="22"/>
        </w:rPr>
        <w:t>Bình luận và Câu hỏi</w:t>
      </w:r>
    </w:p>
    <w:p>
      <w:pPr>
        <w:spacing w:after="80"/>
      </w:pPr>
      <w:r>
        <w:rPr>
          <w:b w:val="0"/>
          <w:i w:val="0"/>
        </w:rPr>
        <w:t>1. Ít nhất là từ góc nhìn trong ý kiến của Thẩm phán Alito, ai đã thắng trong cuộc tranh luận, Thẩm phán Posner hay Thẩm phán Easterbrook?</w:t>
      </w:r>
    </w:p>
    <w:p>
      <w:pPr>
        <w:spacing w:after="80"/>
      </w:pPr>
      <w:r>
        <w:rPr>
          <w:b w:val="0"/>
          <w:i w:val="0"/>
        </w:rPr>
        <w:t>2. Theo Thẩm phán Alito, cơ chế nào được cho là để đảm bảo mức thù lao hợp lý? Ông dành khá nhiều trọng lượng cho quy trình, bao gồm cả các giám đốc được thông tin và không có xung đột lợi ích. Tuy nhiên, điều đó có lẽ đòi hỏi tòa án phải đảm bảo rằng, ví dụ, các giám đốc không có xung đột lợi ích thực sự không có xung đột lợi ích. Liệu điều này có thực sự đúng như vậy không?</w:t>
      </w:r>
    </w:p>
    <w:p>
      <w:pPr>
        <w:spacing w:after="80"/>
      </w:pPr>
      <w:r>
        <w:rPr>
          <w:b w:val="0"/>
          <w:i w:val="0"/>
        </w:rPr>
        <w:t>3. Tôn trọng quy trình (các giám đốc không có xung đột lợi ích và được thông tin đầy đủ) là hệ thống mà tòa án thường sử dụng để xem xét thù lao điều hành. Liệu nó có hiệu quả không? Có phải Thẩm phán Alito đang đề xuất dựa vào một hệ thống thực sự đã hỏng?</w:t>
      </w:r>
    </w:p>
    <w:p>
      <w:pPr>
        <w:spacing w:after="80"/>
      </w:pPr>
      <w:r>
        <w:rPr>
          <w:b w:val="0"/>
          <w:i w:val="0"/>
        </w:rPr>
        <w:t xml:space="preserve">4. Tòa án trong vụ </w:t>
      </w:r>
      <w:r>
        <w:rPr>
          <w:b w:val="0"/>
          <w:i/>
        </w:rPr>
        <w:t>Harris</w:t>
      </w:r>
      <w:r>
        <w:rPr>
          <w:b w:val="0"/>
          <w:i w:val="0"/>
        </w:rPr>
        <w:t xml:space="preserve"> chấp nhận rằng ngay cả khi được phê duyệt đúng cách, các khoản phí có thể quá không tương xứng với dịch vụ được cung cấp đến mức vi phạm nghĩa vụ ủy thác. Điều này có đủ như một "van an toàn" trong trường hợp quy trình không đảm bảo mức thù lao hợp lý không? Trong lĩnh vực thù lao điều hành, làm thế nào người ta có thể xác định liệu thù lao có không tương xứng hay không? Các tòa án Delaware cho phép xem xét thù lao ngay cả khi quy trình là phù hợp theo tiêu chuẩn lãng phí (waste standard). Tuy nhiên, phép thử cho sự lãng phí là thù lao "quá phiến diện đến mức không một doanh nhân nào có phán đoán thông thường, lành mạnh có thể kết luận rằng công ty đã nhận được sự đền đáp thỏa đáng." Liệu các tiêu chuẩn này có giống nhau không? Liệu tiêu chuẩn của Delaware có đóng vai trò như một van an toàn đủ mức không?</w:t>
      </w:r>
    </w:p>
    <w:p>
      <w:pPr>
        <w:spacing w:after="80"/>
      </w:pPr>
      <w:r>
        <w:rPr>
          <w:b w:val="0"/>
          <w:i w:val="0"/>
        </w:rPr>
        <w:t>5. Thẩm phán Alito lưu ý rằng tiêu chuẩn cho việc vi phạm nghĩa vụ ủy thác không nên liên quan đến việc "tòa án phán xét lại" (judicial second-guessing) các quyết định của hội đồng quản trị. Đây là một câu thần chú phổ biến. Tòa án không nên hành động như những giám đốc thay thế và đưa ra các quyết định kinh doanh hàng ngày. Điều này có nghĩa là không nên có chỗ cho tòa án trong việc xem xét thù lao?</w:t>
      </w:r>
    </w:p>
    <w:p>
      <w:pPr>
        <w:pStyle w:val="Heading3"/>
      </w:pPr>
      <w:r>
        <w:rPr>
          <w:rFonts w:ascii="Calibri" w:hAnsi="Calibri"/>
          <w:b/>
          <w:i w:val="0"/>
          <w:sz w:val="26"/>
        </w:rPr>
        <w:t>C. Thêm về các Vấn đề Cấu trúc</w:t>
      </w:r>
    </w:p>
    <w:p>
      <w:pPr>
        <w:spacing w:after="80"/>
      </w:pPr>
      <w:r>
        <w:rPr>
          <w:b w:val="0"/>
          <w:i w:val="0"/>
        </w:rPr>
        <w:t>Thù lao CEO thường được xác định bởi hội đồng quản trị. Các giám đốc đến lượt mình được bầu bởi các cổ đông. Kết quả là, các cổ đông có thể loại bỏ một hội đồng quản trị trả mức thù lao được cho là quá cao. Tuy nhiên, hệ thống thẳng thắn này không hoàn toàn thẳng thắn như vẻ ngoài của nó.</w:t>
      </w:r>
    </w:p>
    <w:p>
      <w:pPr>
        <w:pStyle w:val="Heading4"/>
      </w:pPr>
      <w:r>
        <w:rPr>
          <w:rFonts w:ascii="Calibri" w:hAnsi="Calibri"/>
          <w:b/>
          <w:i w:val="0"/>
          <w:sz w:val="23"/>
        </w:rPr>
        <w:t xml:space="preserve">Richard A. Posner, </w:t>
      </w:r>
      <w:r>
        <w:rPr>
          <w:rFonts w:ascii="Calibri" w:hAnsi="Calibri"/>
          <w:b/>
          <w:i/>
          <w:sz w:val="23"/>
        </w:rPr>
        <w:t>Tiểu luận: Các CEO Mỹ có được trả lương quá cao không,</w:t>
      </w:r>
      <w:r>
        <w:br/>
      </w:r>
      <w:r>
        <w:rPr>
          <w:rFonts w:ascii="Calibri" w:hAnsi="Calibri"/>
          <w:b/>
          <w:i/>
          <w:sz w:val="23"/>
        </w:rPr>
        <w:t xml:space="preserve"> và nếu có, thì nên làm gì, nếu có, về điều đó?</w:t>
      </w:r>
    </w:p>
    <w:p>
      <w:pPr>
        <w:spacing w:after="80"/>
      </w:pPr>
      <w:r>
        <w:rPr>
          <w:b w:val="0"/>
          <w:i w:val="0"/>
        </w:rPr>
        <w:t>58 Duke L.J. 1013, 1020–21, 1023–25 (2009)</w:t>
      </w:r>
    </w:p>
    <w:p>
      <w:pPr>
        <w:spacing w:after="80"/>
      </w:pPr>
      <w:r>
        <w:rPr>
          <w:b w:val="0"/>
          <w:i w:val="0"/>
        </w:rPr>
        <w:t>Các CEO Mỹ trung bình được trả khoảng gấp đôi so với các đồng nghiệp của họ ở các quốc gia khác. Điều này không phải vì người Mỹ ở mọi cấp độ kiếm được nhiều hơn so với các đồng nghiệp nước ngoài; khoảng cách nhỏ hơn nhiều ở dưới cấp CEO, và đôi khi là âm. Nguyên nhân trực tiếp của thu nhập cao hơn của các CEO Mỹ là . . . tiền lương chiếm một phần nhỏ hơn nhiều trong tổng thù lao của họ so với thu nhập của các CEO nước ngoài—chưa đến một nửa—với phần còn lại bao gồm một phần tiền thưởng nhưng chủ yếu là quyền chọn cổ phiếu (stock options). Sự khác biệt trong cấu trúc thù lao có thể một phần là do các công ty nước ngoài, bị cản trở bởi văn hóa và đôi khi bởi luật pháp trong khả năng tiết kiệm chi phí lao động của họ, có ít quyền lực hơn để ảnh hưởng đến lợi nhuận và do đó là vốn hóa thị trường của công ty họ.</w:t>
      </w:r>
    </w:p>
    <w:p>
      <w:pPr>
        <w:spacing w:after="80"/>
      </w:pPr>
      <w:r>
        <w:rPr>
          <w:b w:val="0"/>
          <w:i w:val="0"/>
        </w:rPr>
        <w:t>* * *</w:t>
      </w:r>
    </w:p>
    <w:p>
      <w:pPr>
        <w:spacing w:after="80"/>
      </w:pPr>
      <w:r>
        <w:rPr>
          <w:b w:val="0"/>
          <w:i w:val="0"/>
        </w:rPr>
        <w:t>Việc giám sát cổ đông càng hiệu quả thì càng ít cần đến thù lao dựa trên khuyến khích: cây gậy được thay thế cho củ cà rốt. Đây là một manh mối cho thấy chi phí đại diện (agency costs) thực sự có thể dẫn đến việc trả lương quá cao trong các công ty mà quyền sở hữu được phân tán rộng rãi, vì nếu không thì tại sao việc tập trung cổ đông lớn hơn lại dẫn đến thù lao CEO thấp hơn?</w:t>
      </w:r>
    </w:p>
    <w:p>
      <w:pPr>
        <w:spacing w:after="80"/>
      </w:pPr>
      <w:r>
        <w:rPr>
          <w:b w:val="0"/>
          <w:i w:val="0"/>
        </w:rPr>
        <w:t>Tuy nhiên, có vẻ như sự phân tán như vậy không nên quan trọng vì thù lao của CEO được xác định bởi hội đồng quản trị, những người được bầu bởi các cổ đông. Nhưng hội đồng quản trị không giải quyết được vấn đề chi phí đại diện phát sinh từ quyền sở hữu phân tán của một công ty đại chúng. Quyền sở hữu càng phân tán, động lực của các cổ đông để dựa phiếu bầu của họ cho danh sách các giám đốc được đề xuất dựa trên việc nghiên cứu kỹ lưỡng các ứng viên càng yếu, đặc biệt là vì hiếm khi có các danh sách cạnh tranh. Việc cổ đông bầu giám đốc giống như hệ thống bỏ phiếu ở Liên Xô và các quốc gia độc tài khác.</w:t>
      </w:r>
    </w:p>
    <w:p>
      <w:pPr>
        <w:spacing w:after="80"/>
      </w:pPr>
      <w:r>
        <w:rPr>
          <w:b w:val="0"/>
          <w:i w:val="0"/>
        </w:rPr>
        <w:t>Những người giám sát mà không được giám sát là những đại diện không hoàn hảo của người ủy thác của họ, và do đó, trong trường hợp không có sự giám sát hiệu quả của các giám đốc bởi các cổ đông, các hội đồng quản trị có động lực yếu để hạn chế thù lao CEO. Vấn đề càng trầm trọng hơn bởi thực tế là một hội đồng quản trị có khả năng bị chi phối bởi các giám đốc điều hành doanh nghiệp được trả lương cao, bao gồm cả các CEO của các công ty khác. Họ có xung đột lợi ích, vì họ có lợi ích tài chính trong mức lương doanh nghiệp cao, mức lương của chính họ được xác định một phần bởi mức lương trả cho những người ở các vị trí tương đương trong các công ty khác. Họ cũng có xu hướng tâm lý tự nhiên là tin rằng mức lương cao của các giám đốc điều hành doanh nghiệp phản ánh chính xác giá trị nội tại của các giám đốc điều hành. Con người có xu hướng mạnh mẽ phóng đại công lao của chính mình; nhiều người cảm thấy được trả lương thấp; hầu như không ai cảm thấy được trả lương quá cao.</w:t>
      </w:r>
    </w:p>
    <w:p>
      <w:pPr>
        <w:spacing w:after="80"/>
      </w:pPr>
      <w:r>
        <w:rPr>
          <w:b w:val="0"/>
          <w:i w:val="0"/>
        </w:rPr>
        <w:t>Ngoài ra, các giám đốc chỉ dành một phần thời gian của họ cho công ty. Và nếu họ là giám đốc nội bộ (nghĩa là nhân viên toàn thời gian của công ty), họ có xung đột lợi ích rõ ràng, trong khi nếu họ là giám đốc bên ngoài (độc lập), họ có ít quyền truy cập thông tin về công ty hơn so với người nội bộ và ít cổ phần hơn trong thành công của công ty. Điều đó giải thích tại sao không có bằng chứng thuyết phục rằng hiệu suất của công ty có tương quan thuận với tỷ lệ giám đốc độc lập trong hội đồng quản trị của công ty. Nhiều giám đốc bên ngoài không có kinh nghiệm kinh doanh.</w:t>
      </w:r>
    </w:p>
    <w:p>
      <w:pPr>
        <w:spacing w:after="80"/>
      </w:pPr>
      <w:r>
        <w:rPr>
          <w:b w:val="0"/>
          <w:i w:val="0"/>
        </w:rPr>
        <w:t>Các CEO, hơn nữa, còn có ảnh hưởng đến việc lựa chọn cả thành viên hội đồng quản trị bên ngoài lẫn bên trong; và có bằng chứng về việc "gãi lưng cho nhau" — các thành viên hội đồng phê duyệt mức thù lao hào phóng cho CEO và CEO ủng hộ mức phí hào phóng cho các thành viên hội đồng. Các CEO thuê và trả lương cho kiểm toán viên, những người chứng nhận tính chính xác của báo cáo tài chính công ty, giơ ra các hợp đồng tư vấn trước mặt kiểm toán viên — những người cũng cung cấp dịch vụ tư vấn, và có thể gây ảnh hưởng đến báo cáo của các nhà phân tích chứng khoán bằng cách hướng phí bảo lãnh phát hành về phía các ngân hàng đầu tư mà nhà phân tích của họ đưa ra những báo cáo đầy hứa hẹn về công ty của họ.</w:t>
      </w:r>
    </w:p>
    <w:p>
      <w:pPr>
        <w:spacing w:after="80"/>
      </w:pPr>
      <w:r>
        <w:rPr>
          <w:b w:val="0"/>
          <w:i w:val="0"/>
        </w:rPr>
        <w:t xml:space="preserve">Một lý do nữa để nghi ngờ rằng hội đồng quản trị có thực sự kiểm soát thù lao của CEO hay không, đó là họ có thể tự bảo vệ mình khỏi những lời chỉ trích, trong trường hợp công ty hoạt động kém, bằng cách chỉ ra rằng họ đã trả mức lương cao nhất cho CEO. Do đó, hẳn nhiên ông ta là ứng viên tốt nhất cho vị trí này, và vì vậy khi chọn ông ta, họ đã đưa ra lựa chọn tốt nhất có thể và không nên bị đổ lỗi cho những thất bại của ông ta. Sự hào phóng của gói thù lao mà họ trao cho ông ta do đó trở thành bằng chứng rằng ông ta thực sự là lựa chọn tốt nhất </w:t>
      </w:r>
      <w:r>
        <w:rPr>
          <w:b w:val="0"/>
          <w:i/>
        </w:rPr>
        <w:t>ex ante</w:t>
      </w:r>
      <w:r>
        <w:rPr>
          <w:b w:val="0"/>
          <w:i w:val="0"/>
        </w:rPr>
        <w:t xml:space="preserve"> (từ trước). Ngược lại, nếu để tiết kiệm, họ trả cho một ứng viên tốt thứ hai ít hơn mức họ lẽ ra phải trả cho người giỏi nhất, thì nếu ông ta chứng tỏ là một thất bại, họ sẽ đối mặt với lời buộc tội là "tiếc đồng tiền nhỏ mà lỗ đồng tiền lớn".</w:t>
      </w:r>
    </w:p>
    <w:p>
      <w:pPr>
        <w:spacing w:after="80"/>
      </w:pPr>
      <w:r>
        <w:rPr>
          <w:b w:val="0"/>
          <w:i w:val="0"/>
        </w:rPr>
        <w:t>Các công ty tư vấn mà hội đồng quản trị thuê để cố vấn cho họ về việc lựa chọn và thù lao của CEO lại đánh vào bản năng tự bảo vệ của các thành viên hội đồng bằng cách luôn luôn khuyến nghị rằng hội đồng nên thuê làm CEO một người sẽ đòi mức thù lao ở phân vị thứ 75 hoặc cao hơn so với các CEO của những công ty mà nhà tư vấn xác định là tương đương với công ty của hội đồng. Kết quả là thù lao CEO bị đẩy lên theo kiểu bánh cóc; phân vị thứ 75 cũ của ngày xưa trở thành phân vị thứ 50 mới, khiến phân vị thứ 75 mới cao hơn phân vị thứ 75 cũ. Các nhà tư vấn thù lao có xung đột lợi ích vì, giống như nhiều công ty kế toán, họ bán các dịch vụ tư vấn khác cho công ty.</w:t>
      </w:r>
    </w:p>
    <w:p>
      <w:pPr>
        <w:spacing w:after="80"/>
      </w:pPr>
      <w:r>
        <w:rPr>
          <w:b w:val="0"/>
          <w:i w:val="0"/>
        </w:rPr>
        <w:t>* * *</w:t>
      </w:r>
    </w:p>
    <w:p>
      <w:pPr>
        <w:spacing w:after="80"/>
      </w:pPr>
      <w:r>
        <w:rPr>
          <w:b w:val="0"/>
          <w:i w:val="0"/>
        </w:rPr>
        <w:t>Và gần như luôn luôn CEO là một thành viên của hội đồng quản trị. Lý do là hội đồng quản trị của một công ty, không giống như hội đồng tín thác của một trường đại học, có những trách nhiệm vượt xa việc lựa chọn và giám sát CEO. (Đó, cùng với việc gây quỹ và quản lý quỹ hiến tặng, là chức năng chính của hội đồng tín thác trường đại học.) Hội đồng quản trị công ty tham gia vào việc định hình chiến lược công ty. Điều này khiến họ đồng lõa trong các quyết định của CEO và miễn cưỡng khi phải sa thải ông ta hoặc cắt giảm lương ông ta để thừa nhận một sai lầm mà chính họ có thể phải chịu trách nhiệm chung.</w:t>
      </w:r>
    </w:p>
    <w:p>
      <w:pPr>
        <w:pStyle w:val="Heading5"/>
      </w:pPr>
      <w:r>
        <w:rPr>
          <w:rFonts w:ascii="Calibri" w:hAnsi="Calibri"/>
          <w:b/>
          <w:i/>
          <w:sz w:val="22"/>
        </w:rPr>
        <w:t>Bình luận và Câu hỏi</w:t>
      </w:r>
    </w:p>
    <w:p>
      <w:pPr>
        <w:spacing w:after="80"/>
      </w:pPr>
      <w:r>
        <w:rPr>
          <w:b w:val="0"/>
          <w:i w:val="0"/>
        </w:rPr>
        <w:t>1. Thẩm phán Posner lưu ý những khác biệt trong cấu trúc thù lao điều hành giữa các CEO ở Hoa Kỳ và nơi khác. Tác động của sự khác biệt trong cấu trúc này có thể là gì, đặc biệt là việc sử dụng phổ biến hơn quyền chọn cổ phiếu như một phần đáng kể trong thù lao ở Hoa Kỳ?</w:t>
      </w:r>
    </w:p>
    <w:p>
      <w:pPr>
        <w:spacing w:after="80"/>
      </w:pPr>
      <w:r>
        <w:rPr>
          <w:b w:val="0"/>
          <w:i w:val="0"/>
        </w:rPr>
        <w:t>2. Việc cổ đông "giám sát" thù lao có nghĩa là gì? Điều này có thể xảy ra như thế nào? Một số giới hạn đối với việc cổ đông giám sát là gì?</w:t>
      </w:r>
    </w:p>
    <w:p>
      <w:pPr>
        <w:spacing w:after="80"/>
      </w:pPr>
      <w:r>
        <w:rPr>
          <w:b w:val="0"/>
          <w:i w:val="0"/>
        </w:rPr>
        <w:t xml:space="preserve">3. Vấn đề là thù lao điều hành hay thù lao CEO? Số tiền thù lao trả cho CEO so với các quan chức khác đã tăng lên. </w:t>
      </w:r>
      <w:r>
        <w:rPr>
          <w:b w:val="0"/>
          <w:i/>
        </w:rPr>
        <w:t>Xem</w:t>
      </w:r>
      <w:r>
        <w:rPr>
          <w:b w:val="0"/>
          <w:i w:val="0"/>
        </w:rPr>
        <w:t xml:space="preserve"> Carola Frydman &amp; Dirk Jenter, </w:t>
      </w:r>
      <w:r>
        <w:rPr>
          <w:b w:val="0"/>
          <w:i/>
        </w:rPr>
        <w:t>CEO Compensation</w:t>
      </w:r>
      <w:r>
        <w:rPr>
          <w:b w:val="0"/>
          <w:i w:val="0"/>
        </w:rPr>
        <w:t xml:space="preserve"> , Working Paper No. 77, Rock Center for Corporate Governance, Stanford University, at 3 (Mar. 19, 2010) ("Tỷ lệ trung vị giữa thù lao của CEO so với các giám đốc điều hành được trả lương cao nhất khác ổn định ở mức khoảng 1.4 trước năm 1980 nhưng kể từ đó đã tăng lên gần 2.6 trong giai đoạn 2000–05."). Hơn nữa, như Thẩm phán Posner lưu ý, sự khác biệt trong thù lao trả cho các quan chức dưới cấp CEO ít rõ rệt hơn. Bạn nghĩ gì về những quan sát này?</w:t>
      </w:r>
    </w:p>
    <w:p>
      <w:pPr>
        <w:spacing w:after="80"/>
      </w:pPr>
      <w:r>
        <w:rPr>
          <w:b w:val="0"/>
          <w:i w:val="0"/>
        </w:rPr>
        <w:t>4. Trách nhiệm ấn định thù lao trước hết thuộc về hội đồng quản trị. Các thành viên hội đồng được cổ đông bầu ra. Chẳng phải quyền thay thế hội đồng quản trị là đủ để đảm bảo việc giám sát hiệu quả sao? Tại sao không?</w:t>
      </w:r>
    </w:p>
    <w:p>
      <w:pPr>
        <w:spacing w:after="80"/>
      </w:pPr>
      <w:r>
        <w:rPr>
          <w:b w:val="0"/>
          <w:i w:val="0"/>
        </w:rPr>
        <w:t>5. Động lực thù lao điều hành khác biệt như thế nào ở những công ty không có sự tách biệt giữa quyền sở hữu và quản lý? Còn những công ty có cổ đông kiểm soát, mô hình phổ biến ở các công ty nước ngoài thì sao? Những công ty này có cùng vấn đề không?</w:t>
      </w:r>
    </w:p>
    <w:p>
      <w:pPr>
        <w:spacing w:after="80"/>
      </w:pPr>
      <w:r>
        <w:rPr>
          <w:b w:val="0"/>
          <w:i w:val="0"/>
        </w:rPr>
        <w:t>6. Thù lao dường như đã leo thang trong những năm 1990. Như một nhà bình luận đã mô tả:</w:t>
      </w:r>
    </w:p>
    <w:p>
      <w:pPr>
        <w:spacing w:after="80"/>
      </w:pPr>
      <w:r>
        <w:rPr>
          <w:b w:val="0"/>
          <w:i w:val="0"/>
        </w:rPr>
        <w:t>Chỉ riêng từ năm 1992 đến năm 2000, thù lao của các giám đốc điều hành (CEO) tại các công ty thuộc S&amp;P 500 đã tăng hơn gấp bốn lần, từ 3.5 triệu đô la lên 14.7 triệu đô la. Năm 1991, CEO của một công ty lớn trung bình kiếm được gấp 140 lần tiền lương của một nhân viên công ty trung bình; đến năm 2003 con số này là 500 lần. Chỉ riêng năm 2005, lương của CEO trung bình tăng 27%, so với mức tăng 38% năm 2004, trong khi tiền lương của người lao động bình thường vẫn giậm chân tại chỗ. Khá thường xuyên, những đợt tăng thù lao này vẫn tiếp diễn ngay cả khi công ty đang chật vật. Câu hỏi vẫn dai dẳng rằng liệu thù lao điều hành có thưởng cho hiệu suất của CEO hay chỉ là những khoản lợi không liên quan đến nỗ lực của giám đốc điều hành.</w:t>
      </w:r>
    </w:p>
    <w:p>
      <w:pPr>
        <w:spacing w:after="80"/>
      </w:pPr>
      <w:r>
        <w:rPr>
          <w:b w:val="0"/>
          <w:i w:val="0"/>
        </w:rPr>
        <w:t xml:space="preserve">Jennifer S. Martin, </w:t>
      </w:r>
      <w:r>
        <w:rPr>
          <w:b w:val="0"/>
          <w:i/>
        </w:rPr>
        <w:t>The House of Mouse and Beyond: Assessing the SEC's Efforts to Regulation Executive Compensation</w:t>
      </w:r>
      <w:r>
        <w:rPr>
          <w:b w:val="0"/>
          <w:i w:val="0"/>
        </w:rPr>
        <w:t xml:space="preserve"> , 32 Del. J. Corp. L. 481, 483–84 (2007). Điều gì giải thích cho sự thay đổi này? Điều này cho chúng ta biết gì về sự tiến hóa của thù lao điều hành?</w:t>
      </w:r>
    </w:p>
    <w:p>
      <w:pPr>
        <w:spacing w:after="80"/>
      </w:pPr>
      <w:r>
        <w:rPr>
          <w:b w:val="0"/>
          <w:i w:val="0"/>
        </w:rPr>
        <w:t>7. Ít nhất một trong những nguyên nhân, trớ trêu thay, có thể là những nỗ lực của Quốc hội nhằm hạn chế thù lao. Vào những năm 1990, Quốc hội đã thông qua Mục 162(m) của Bộ luật Thuế vụ (Internal Revenue Code). Điều khoản này cấm các công ty khấu trừ bất kỳ khoản thù lao nào cho CEO và bốn quan chức được trả lương cao nhất vượt quá 1 triệu đô la. Tuy nhiên, giới hạn này không áp dụng cho một số khoản thù lao dựa trên hiệu suất nhất định. Điều khoản này có khả năng gây tác động gì đến các thực tiễn thù lao?</w:t>
      </w:r>
    </w:p>
    <w:p>
      <w:pPr>
        <w:spacing w:after="80"/>
      </w:pPr>
      <w:r>
        <w:rPr>
          <w:b w:val="0"/>
          <w:i w:val="0"/>
        </w:rPr>
        <w:t xml:space="preserve">8. Thù lao bằng vốn cổ phần có thể dưới hình thức cổ phiếu hoặc quyền chọn. Đôi khi khoản thù lao dựa trên quyền tăng giá cổ phiếu (stock appreciation rights), một công cụ cho phép người nhận thu lợi từ việc giá cổ phiếu tăng mà không thực sự sở hữu cổ phiếu cơ sở. Những loại thù lao này chỉ mang lại lợi nhuận nếu giá cổ phiếu tăng. Tuy nhiên, điều này không tính đến các thực tiễn như ghi lùi ngày (backdating) hoặc định giá lại (repricing). Khả năng định giá lại có tác động gì đến động cơ khuyến khích của nhà quản lý? </w:t>
      </w:r>
      <w:r>
        <w:rPr>
          <w:b w:val="0"/>
          <w:i/>
        </w:rPr>
        <w:t>Xem</w:t>
      </w:r>
      <w:r>
        <w:rPr>
          <w:b w:val="0"/>
          <w:i w:val="0"/>
        </w:rPr>
        <w:t xml:space="preserve"> Lucian Arye Bebchuk, Jesse M. Fried &amp; David I. Walker, </w:t>
      </w:r>
      <w:r>
        <w:rPr>
          <w:b w:val="0"/>
          <w:i/>
        </w:rPr>
        <w:t>Managerial Power and Rent Extraction in the Design of Executive Compensation</w:t>
      </w:r>
      <w:r>
        <w:rPr>
          <w:b w:val="0"/>
          <w:i w:val="0"/>
        </w:rPr>
        <w:t xml:space="preserve"> , 69 U. Chi. L. Rev. 751, 814 (Summer 2002) (mô tả thực tiễn định giá lại như việc cung cấp cho các quan chức "chỉ số hóa hậu nghiệm ở phía giảm" (ex post indexing on the downside)).</w:t>
      </w:r>
    </w:p>
    <w:p>
      <w:pPr>
        <w:spacing w:after="80"/>
      </w:pPr>
      <w:r>
        <w:rPr>
          <w:b w:val="0"/>
          <w:i w:val="0"/>
        </w:rPr>
        <w:t xml:space="preserve">9. Các quyền chọn (options) cũng có thể được định thời theo cách mang lại lợi nhuận bất ngờ. Quyền chọn "nạp lò xo" (spring-loaded options) là thuật ngữ dùng để mô tả các quyền chọn được phát hành ngay trước một diễn biến tích cực sẽ làm tăng giá cổ phiếu. Kết quả là các quyền chọn nhanh chóng trở thành "có lãi" (in the money). Quyền chọn lùi ngày (backdated options) là việc phát hành quyền chọn vào một ngày nhưng xác định giá thực hiện (exercise price) vào một ngày trước đó khi giá cổ phiếu thấp hơn. Điều này thực chất cho phép phát hành quyền chọn cổ phiếu đang có lãi. Việc lùi ngày quyền chọn cổ phiếu không phải là bất hợp pháp. Tuy nhiên, các công ty đã không tiết lộ bản chất lùi ngày của các quyền chọn, tạo ấn tượng rằng các quyền chọn thực sự được phát hành theo giá thị trường. Những vấn đề pháp lý nào có thể phát sinh liên quan đến các thực hành này? Để có một số câu trả lời, hãy xem </w:t>
      </w:r>
      <w:r>
        <w:rPr>
          <w:b w:val="0"/>
          <w:i/>
        </w:rPr>
        <w:t>In re Tyson Foods, Inc. Consol. Shareholder Litig.</w:t>
      </w:r>
      <w:r>
        <w:rPr>
          <w:b w:val="0"/>
          <w:i w:val="0"/>
        </w:rPr>
        <w:t xml:space="preserve"> , 2007 Del. Ch. LEXIS 120 (Del. Ch. August 15, 2007).</w:t>
      </w:r>
    </w:p>
    <w:p>
      <w:pPr>
        <w:spacing w:after="80"/>
      </w:pPr>
      <w:r>
        <w:rPr>
          <w:b w:val="0"/>
          <w:i w:val="0"/>
        </w:rPr>
        <w:t>10. Cuộc khủng hoảng tài chính bắt đầu từ quý thứ tư năm 2008 được cho là ít nhất một phần do một cơ chế thù lao khuyến khích lợi nhuận ngắn hạn. Điều này đặc biệt đúng với thù lao dựa trên kết quả một năm và trả bằng tiền mặt. Một trong những phản ứng đối với các thực hành này là khuyến khích sử dụng cổ phiếu thay vì tiền thưởng bằng tiền mặt và khuyến khích lịch trình trao quyền (vesting schedules) cho cổ phiếu. Những thực hành thù lao này có thể ảnh hưởng đến hành vi của ban quản lý như thế nào?</w:t>
      </w:r>
    </w:p>
    <w:p>
      <w:pPr>
        <w:pStyle w:val="Heading2"/>
      </w:pPr>
      <w:r>
        <w:rPr>
          <w:rFonts w:ascii="Calibri" w:hAnsi="Calibri"/>
          <w:b/>
          <w:i w:val="0"/>
          <w:sz w:val="32"/>
        </w:rPr>
        <w:t>II. Nghĩa vụ ủy thác và Tiêu chuẩn xem xét</w:t>
      </w:r>
    </w:p>
    <w:p>
      <w:pPr>
        <w:spacing w:after="80"/>
      </w:pPr>
      <w:r>
        <w:rPr>
          <w:b w:val="0"/>
          <w:i w:val="0"/>
        </w:rPr>
        <w:t>Thù lao điều hành thường được xác định bởi hội đồng quản trị. Như vậy, các quyết định này phải tuân theo các nghĩa vụ ủy thác (fiduciary obligations) của hội đồng quản trị. Hội đồng quản trị có cả nghĩa vụ cẩn trọng (duty of care) và nghĩa vụ trung thành (duty of loyalty). Trong lĩnh vực này, tiêu chuẩn xem xét có thể mang tính quyết định kết quả. Nghĩa vụ cẩn trọng chủ yếu là một tiêu chuẩn về quy trình. Tòa án phần lớn tôn trọng các quyết định của các giám đốc độc lập và được thông tin đầy đủ. Trên thực tế, các điều khoản (và số tiền) thù lao phần lớn không liên quan đến việc phân tích.</w:t>
      </w:r>
    </w:p>
    <w:p>
      <w:pPr>
        <w:spacing w:after="80"/>
      </w:pPr>
      <w:r>
        <w:rPr>
          <w:b w:val="0"/>
          <w:i w:val="0"/>
        </w:rPr>
        <w:t>Ngược lại, nghĩa vụ trung thành đặt lên hội đồng quản trị nghĩa vụ khẳng định phải chứng minh rằng số tiền thù lao là công bằng đối với công ty. Trong những trường hợp này, các điều khoản thực chất và số tiền rất liên quan. Hội đồng quản trị sẽ phải biện minh tại sao một giám đốc điều hành xứng đáng với mức thù lao cụ thể đó và nó mang lại lợi ích gì cho công ty.</w:t>
      </w:r>
    </w:p>
    <w:p>
      <w:pPr>
        <w:pStyle w:val="Heading3"/>
      </w:pPr>
      <w:r>
        <w:rPr>
          <w:rFonts w:ascii="Calibri" w:hAnsi="Calibri"/>
          <w:b/>
          <w:i w:val="0"/>
          <w:sz w:val="26"/>
        </w:rPr>
        <w:t>A. Công bằng toàn diện</w:t>
      </w:r>
    </w:p>
    <w:p>
      <w:pPr>
        <w:spacing w:after="80"/>
      </w:pPr>
      <w:r>
        <w:rPr>
          <w:b w:val="0"/>
          <w:i w:val="0"/>
        </w:rPr>
        <w:t>Nghĩa vụ trung thành áp dụng cho các quyết định thù lao ảnh hưởng đến các thành viên của hội đồng quản trị. Tiêu chuẩn này thường áp dụng cho các giám đốc và các giám đốc điều hành như CEO, những người cũng phục vụ trong hội đồng quản trị. Nghĩa vụ trung thành đặt lên hội đồng quản trị gánh nặng chứng minh sự công bằng toàn diện (entire fairness). Công bằng toàn diện bao gồm hai thành phần—đối xử công bằng (fair dealing) và giá cả công bằng (fair price). Khung phân tích này áp dụng như thế nào trong bối cảnh thù lao điều hành?</w:t>
      </w:r>
    </w:p>
    <w:p>
      <w:pPr>
        <w:pStyle w:val="Heading4"/>
      </w:pPr>
      <w:r>
        <w:rPr>
          <w:rFonts w:ascii="Calibri" w:hAnsi="Calibri"/>
          <w:b/>
          <w:i w:val="0"/>
          <w:sz w:val="23"/>
        </w:rPr>
        <w:t>Julian v. Eastern States Construction Service, Inc.</w:t>
      </w:r>
    </w:p>
    <w:p>
      <w:pPr>
        <w:spacing w:after="80"/>
      </w:pPr>
      <w:r>
        <w:rPr>
          <w:b w:val="0"/>
          <w:i w:val="0"/>
        </w:rPr>
        <w:t>Tòa án Chancery Delaware</w:t>
      </w:r>
      <w:r>
        <w:br/>
      </w:r>
      <w:r>
        <w:rPr>
          <w:b w:val="0"/>
          <w:i w:val="0"/>
        </w:rPr>
        <w:t xml:space="preserve"> 2008 Del. Ch. LEXIS 86 (July 8, 2008)</w:t>
      </w:r>
    </w:p>
    <w:p>
      <w:pPr>
        <w:spacing w:after="80"/>
      </w:pPr>
      <w:r>
        <w:rPr>
          <w:b w:val="0"/>
          <w:i w:val="0"/>
        </w:rPr>
        <w:t>PARSONS , PHÓ CHÁNH ÁN .</w:t>
      </w:r>
    </w:p>
    <w:p>
      <w:pPr>
        <w:spacing w:after="80"/>
      </w:pPr>
      <w:r>
        <w:rPr>
          <w:b w:val="0"/>
          <w:i w:val="0"/>
        </w:rPr>
        <w:t>Đây là những sự kiện như tôi nhận định sau phiên xét xử.</w:t>
      </w:r>
    </w:p>
    <w:p>
      <w:pPr>
        <w:spacing w:after="80"/>
      </w:pPr>
      <w:r>
        <w:rPr>
          <w:b w:val="0"/>
          <w:i w:val="0"/>
        </w:rPr>
        <w:t>Nguyên đơn là Gene Julian, người hiện sở hữu cổ phiếu trong ESCS, Benchmark, và ESD.C., nhưng không còn làm việc cho bất kỳ công ty nào.</w:t>
      </w:r>
    </w:p>
    <w:p>
      <w:pPr>
        <w:spacing w:after="80"/>
      </w:pPr>
      <w:r>
        <w:rPr>
          <w:b w:val="0"/>
          <w:i w:val="0"/>
        </w:rPr>
        <w:t>Bị đơn ESCS là một công ty Delaware được thành lập vào ngày 14 tháng 9 năm 1983. Bị đơn danh nghĩa Benchmark là một công ty Delaware được thành lập vào ngày 28 tháng 11 năm 1988. Bị đơn Steven Bomberger là Chủ tịch của Benchmark và giữ chức giám đốc của Benchmark, cùng với các Bị đơn Francis và Richard Julian. Bị đơn danh nghĩa ESD.C. là một công ty Delaware được thành lập vào ngày 2 tháng 6 năm 1958. Eastern States Group Management Company, Inc. là một công ty Delaware được thành lập vào ngày 13 tháng 12 năm 2004 (cùng với ESCS, Benchmark, và ESD.C., gọi là "Các doanh nghiệp Julian").</w:t>
      </w:r>
    </w:p>
    <w:p>
      <w:pPr>
        <w:spacing w:after="80"/>
      </w:pPr>
      <w:r>
        <w:rPr>
          <w:b w:val="0"/>
          <w:i w:val="0"/>
        </w:rPr>
        <w:t>A. Những năm đầu</w:t>
      </w:r>
    </w:p>
    <w:p>
      <w:pPr>
        <w:spacing w:after="80"/>
      </w:pPr>
      <w:r>
        <w:rPr>
          <w:b w:val="0"/>
          <w:i w:val="0"/>
        </w:rPr>
        <w:t>Vào đầu những năm 1970, Gene, Francis, và Richard làm việc cho Eastern States Construction Company và First State Enterprises. Eastern States Construction Company thuộc sở hữu của cha của Anh em nhà Julian và chú của họ, James Julian, cùng với một số cổ đông thiểu số. First State Enterprises thuộc sở hữu của cha của các anh em và một công ty thuộc sở hữu của Chú James của họ, với tỷ lệ bằng nhau. Năm 1976, cha của các anh em qua đời và Anh em nhà Julian đảm nhận ngày càng nhiều trách nhiệm trong các công ty. Đến giữa những năm 1980, các anh em muốn mua lại Eastern States Construction Company, mà lúc đó họ đang điều hành. Trong số những điều khác, họ phản đối việc tiếp tục phải trả cổ tức cho Chú James, người không có vai trò tích cực trong công ty. Các anh em đã mua lại thành công tất cả các lợi ích thiểu số trong công ty, ngoại trừ Chú James. Các anh em đã cố gắng mua cổ phần của Chú James, nhưng không thể đạt được thỏa thuận với ông. Do đó, họ đã thanh lý Eastern States Construction Company và thành lập ESCS.</w:t>
      </w:r>
    </w:p>
    <w:p>
      <w:pPr>
        <w:spacing w:after="80"/>
      </w:pPr>
      <w:r>
        <w:rPr>
          <w:b w:val="0"/>
          <w:i w:val="0"/>
        </w:rPr>
        <w:t>* * *</w:t>
      </w:r>
    </w:p>
    <w:p>
      <w:pPr>
        <w:spacing w:after="80"/>
      </w:pPr>
      <w:r>
        <w:rPr>
          <w:b w:val="0"/>
          <w:i w:val="0"/>
        </w:rPr>
        <w:t>F. Thưởng theo Chuẩn đối sánh</w:t>
      </w:r>
    </w:p>
    <w:p>
      <w:pPr>
        <w:spacing w:after="80"/>
      </w:pPr>
      <w:r>
        <w:rPr>
          <w:b w:val="0"/>
          <w:i w:val="0"/>
        </w:rPr>
        <w:t>Tại một cuộc họp của hội đồng quản trị Benchmark vào ngày 20 tháng 12 năm 2005, hội đồng đã phê duyệt khoản thưởng 1.000.000 đô la cho Eastern States Group Management Company ("Khoản thưởng cho Ban Quản lý") và khoản thưởng 300.000 đô la cho Bomberger ("Khoản thưởng Bomberger", gọi chung là "Các Khoản thưởng Benchmark") cho năm dương lịch 2005. Các bị đơn cáo buộc rằng hội đồng đã thảo luận hai lý do kinh doanh cho các khoản thưởng này—để thưởng cho ban quản lý vì một năm làm ăn tốt và để giảm lợi nhuận giữ lại nhằm giảm bớt tài sản có nguy cơ bị ảnh hưởng trong trường hợp xảy ra kiện tụng. Cuộc họp diễn ra chưa đầy nửa giờ và không có cố vấn pháp lý hay tài chính nào tham dự.</w:t>
      </w:r>
    </w:p>
    <w:p>
      <w:pPr>
        <w:spacing w:after="80"/>
      </w:pPr>
      <w:r>
        <w:rPr>
          <w:b w:val="0"/>
          <w:i w:val="0"/>
        </w:rPr>
        <w:t>Trước cuộc họp ngày 20 tháng 12 năm 2005, Francis đã thảo luận về khả năng trao thưởng với Richard trong khoảng mười lăm phút. Cả Francis và Richard đều nhận thức rằng việc chi trả bất kỳ khoản thưởng nào sẽ làm giảm giá trị sổ sách ròng của Benchmark, và do đó mang lại lợi ích cho Benchmark trong trường hợp mua lại cổ phần của Gene. Tuy nhiên, các giám đốc Benchmark đã không tham khảo ý kiến của bất kỳ ai khác trước khi quyết định chi trả các khoản thưởng. Vài ngày sau cuộc họp hội đồng quản trị, Benchmark đã phát hành một tấm séc cho Eastern States Management Group trị giá 1.000.000 đô la, sau đó công ty này chia đều khoản thưởng cho Francis và Richard. Benchmark đã chi trả Khoản thưởng Bomberger vào năm 2006.</w:t>
      </w:r>
    </w:p>
    <w:p>
      <w:pPr>
        <w:spacing w:after="80"/>
      </w:pPr>
      <w:r>
        <w:rPr>
          <w:b w:val="0"/>
          <w:i w:val="0"/>
        </w:rPr>
        <w:t>Các Khoản thưởng Benchmark chiếm 22,28% thu nhập điều chỉnh của Benchmark trong năm 2005. Để có bối cảnh lịch sử, từ năm 1996 đến 1998, Benchmark không chi trả khoản thưởng nào. Từ năm 1999 đến 2004, các khoản thưởng của Benchmark dao động từ 3,30% đến 3,36% thu nhập điều chỉnh. Hơn nữa, Khoản thưởng Bomberger là khoản thưởng đầu tiên mà Bomberger nhận được trong suốt sự nghiệp của mình tại Benchmark ngoài khoản thù lao được quy định trong Thỏa thuận Việc làm của ông. Một phần thù lao theo hợp đồng của Bomberger trong năm 2005 và các năm trước đó dựa trên tỷ lệ phần trăm lợi nhuận gộp hoặc thu nhập trước thuế của Benchmark.</w:t>
      </w:r>
    </w:p>
    <w:p>
      <w:pPr>
        <w:spacing w:after="80"/>
      </w:pPr>
      <w:r>
        <w:rPr>
          <w:b w:val="0"/>
          <w:i w:val="0"/>
        </w:rPr>
        <w:t>Ngoài ra, phần Các Khoản thưởng Benchmark được chi trả cho Francis, Richard và Bomberger tương quan trực tiếp với tỷ lệ sở hữu cổ phần tương ứng của họ trong Benchmark. Cụ thể, Francis và Richard mỗi người sở hữu 250 cổ phần của Benchmark và Bomberger sở hữu 150 cổ phần. Các khoản thưởng tương ứng của họ đều quy đổi thành khoản chi trả cho họ là 2.000 đô la mỗi cổ phần.</w:t>
      </w:r>
    </w:p>
    <w:p>
      <w:pPr>
        <w:spacing w:after="80"/>
      </w:pPr>
      <w:r>
        <w:rPr>
          <w:b w:val="0"/>
          <w:i w:val="0"/>
        </w:rPr>
        <w:t>* * *</w:t>
      </w:r>
    </w:p>
    <w:p>
      <w:pPr>
        <w:spacing w:after="80"/>
      </w:pPr>
      <w:r>
        <w:rPr>
          <w:b w:val="0"/>
          <w:i w:val="0"/>
        </w:rPr>
        <w:t>Gene khẳng định rằng Các Khoản thưởng Benchmark đại diện cho các giao dịch có xung đột lợi ích, và do đó Các Bị đơn phải chứng minh rằng các khoản thưởng này hoàn toàn công bằng. Theo Gene, Các Khoản thưởng Benchmark là kết quả của việc đối xử không công bằng và phản ánh một mức giá không công bằng. Về việc đối xử công bằng, Gene đặt câu hỏi về thời điểm trao thưởng, lưu ý rằng Các Bị đơn đã phê duyệt chúng ngay sau khi Gene từ chức khỏi ESCS và ESD.C., và phần lớn các khoản thưởng được chi trả ngay trước khi kết thúc năm 2005, qua đó cố ý gây ra sự sụt giảm giá trị tài sản ròng của Benchmark (chỉ số được sử dụng để xác định giá mua cổ phần của Gene). Gene chỉ trích quy trình được sử dụng vì có sự tham gia của ba giám đốc có lợi ích liên quan của Benchmark, những người đã phê duyệt việc tự thưởng cho chính mình mà không có bất kỳ biện pháp bảo vệ độc lập nào. Theo Gene, Francis đã chi phối quy trình và Richard cùng Bomberger đã thuận theo, chỉ dành không quá nửa giờ để xem xét các khoản thưởng và không tìm kiếm bất kỳ sự thẩm định nào từ một cố vấn độc lập hay người không có lợi ích liên quan nào khác trước khi phê duyệt chúng. Cuối cùng, Gene lập luận rằng số tiền của Các Khoản thưởng Benchmark, 1,3 triệu đô la, là không công bằng và không tương xứng với thông lệ trước đây của các Doanh nghiệp Julian. Về biện pháp khắc phục, Gene yêu cầu bồi thường thiệt hại cho hành vi vi phạm nghĩa vụ tín thác bị cáo buộc, bao gồm việc Francis, Richard và Bomberger phải hoàn trả các khoản thưởng họ đã nhận và bồi hoàn phí luật sư của ông.</w:t>
      </w:r>
    </w:p>
    <w:p>
      <w:pPr>
        <w:spacing w:after="80"/>
      </w:pPr>
      <w:r>
        <w:rPr>
          <w:b w:val="0"/>
          <w:i w:val="0"/>
        </w:rPr>
        <w:t>Francis và Richard phản hồi bằng cách bảo vệ tính hoàn toàn công bằng của Các Khoản thưởng Benchmark. Họ nhấn mạnh rằng các Doanh nghiệp Julian là những công ty do gia đình điều hành với hội đồng quản trị gồm ba đến bốn thành viên và rất ít cổ đông. Độ dài và tính chất của cuộc họp hội đồng quản trị Benchmark ngày 20 tháng 12 năm 2005 đang được xem xét phù hợp với các thủ tục đi kèm với các hành động khác của giám đốc Benchmark. Do đó, Các Bị đơn lập luận rằng Các Khoản thưởng Benchmark là kết quả của việc đối xử công bằng. Ngoài ra, theo Francis và Richard, số tiền hay "mức giá" của các khoản thưởng, trong hoàn cảnh đó, là tương đương về mặt lịch sử và công bằng.</w:t>
      </w:r>
    </w:p>
    <w:p>
      <w:pPr>
        <w:spacing w:after="80"/>
      </w:pPr>
      <w:r>
        <w:rPr>
          <w:b w:val="0"/>
          <w:i w:val="0"/>
        </w:rPr>
        <w:t>Bomberger cũng bảo vệ Các Khoản thưởng Benchmark là hoàn toàn công bằng. Cụ thể, Bomberger phủ nhận việc đã vi phạm nghĩa vụ tín thác của mình khi bỏ phiếu ủng hộ các khoản thưởng đó. Bomberger lập luận rằng với tư cách là một trong ba giám đốc, lá phiếu của ông không cần thiết để phê duyệt khoản 1 triệu đô la chi trả cho Eastern States Management Group. Theo Bomberger, ông đã không thảo luận về triển vọng chi trả bất kỳ khoản thưởng nào trước cuộc họp ngày 20 tháng 12. Ngoài ra, Bomberger lập luận rằng sau cuộc họp, ông đã xác nhận rằng các Doanh nghiệp Julian đã chi trả các khoản thưởng tương tự trong quá khứ. Hơn nữa, Bomberger dựa vào một chuyên gia, Trey Stevens, người đã làm chứng rằng khoản thưởng của Bomberger là công bằng và tuân thủ "Bài kiểm tra Nhà đầu tư Độc lập."</w:t>
      </w:r>
    </w:p>
    <w:p>
      <w:pPr>
        <w:spacing w:after="80"/>
      </w:pPr>
      <w:r>
        <w:rPr>
          <w:b w:val="0"/>
          <w:i w:val="0"/>
        </w:rPr>
        <w:t>Các quyết định thù lao của giám đốc có xung đột lợi ích được đưa ra mà không có biện pháp bảo vệ độc lập, giống như các giao dịch có lợi ích liên quan khác, đều phải chịu sự xem xét về tính hoàn toàn công bằng. Các giám đốc của một công ty Delaware đứng ở cả hai phía của một giao dịch có "trách nhiệm chứng minh tính hoàn toàn công bằng của giao dịch đó, đủ để vượt qua bài kiểm tra sự giám sát kỹ lưỡng của tòa án." Họ "được yêu cầu chứng minh thiện chí tối đa và tính công bằng nội tại cẩn trọng nhất của thỏa thuận." Hai thành phần của tính hoàn toàn công bằng là đối xử công bằng và giá công bằng. Đối xử công bằng "bao trùm các câu hỏi về thời điểm giao dịch, cách thức nó được khởi xướng, cấu trúc, đàm phán, tiết lộ cho các giám đốc, và cách thức đạt được sự phê duyệt của các giám đốc và cổ đông." Giá công bằng "đảm bảo giao dịch công bằng về mặt thực chất bằng cách xem xét 'các cân nhắc kinh tế và tài chính.'"</w:t>
      </w:r>
    </w:p>
    <w:p>
      <w:pPr>
        <w:spacing w:after="80"/>
      </w:pPr>
      <w:r>
        <w:rPr>
          <w:b w:val="0"/>
          <w:i w:val="0"/>
        </w:rPr>
        <w:t>Hai khía cạnh của tính hoàn toàn công bằng không độc lập với nhau. Thay vào đó, "nhánh đối xử công bằng thông báo cho tòa án về tính công bằng của mức giá đạt được thông qua quy trình. Tòa án không tập trung vào từng thành phần riêng lẻ, mà xác định tính hoàn toàn công bằng dựa trên tất cả các khía cạnh của toàn bộ giao dịch."</w:t>
      </w:r>
    </w:p>
    <w:p>
      <w:pPr>
        <w:spacing w:after="80"/>
      </w:pPr>
      <w:r>
        <w:rPr>
          <w:b w:val="0"/>
          <w:i w:val="0"/>
        </w:rPr>
        <w:t>Hoàn cảnh của Các Khoản thưởng Benchmark làm dấy lên nghi ngờ về tính công bằng của chúng. Mười một ngày sau khi Gene nộp thư nghỉ hưu và từ chức khỏi ESD.C. và ESCS, hội đồng quản trị Benchmark đã phê duyệt Các Khoản thưởng Benchmark. Francis đã khởi xướng quy trình chỉ vài ngày sau thông báo nghỉ hưu của Gene. Ông đã tiếp cận Richard trước cuộc họp hội đồng quản trị ngày 20 tháng 12 năm 2005 và đề xuất thực hiện các khoản thưởng. Hai anh em đã thảo luận về ý tưởng này trong mười lăm phút, và không tham khảo ý kiến của bất kỳ ai khác. Francis và Richard thừa nhận rằng họ biết bất kỳ khoản thưởng nào cũng sẽ làm giảm giá trị sổ sách ròng của Benchmark, do đó làm giảm giá trị cổ phần mà họ đang đồng thời cố gắng buộc Gene bán lại.</w:t>
      </w:r>
    </w:p>
    <w:p>
      <w:pPr>
        <w:spacing w:after="80"/>
      </w:pPr>
      <w:r>
        <w:rPr>
          <w:b w:val="0"/>
          <w:i w:val="0"/>
        </w:rPr>
        <w:t>Quy mô của các khoản thưởng, xét theo bối cảnh lịch sử của chúng, cũng đặt ra câu hỏi. Trước cuộc họp ngày 20 tháng 12 năm 2005, hội đồng quản trị Benchmark chưa từng phê duyệt các khoản thưởng gần mức 1,3 triệu đô la. Mặc dù hồ sơ không hoàn hảo, nó cho thấy Benchmark không chi trả khoản thưởng nào từ năm 1996 đến 1998. Từ năm 1999 đến 2004, các khoản thưởng của Benchmark tính theo tỷ lệ phần trăm thu nhập điều chỉnh dao động trong khoảng từ 3,30% đến 3,36%. Ngược lại, các khoản thưởng năm 2005 đang bị thách thức chiếm 22,28% thu nhập điều chỉnh. Ngoài ra, năm 2005 đánh dấu lần đầu tiên Bomberger nhận được khoản thưởng ngoài khoản thù lao dựa trên hiệu suất được quy định trong Thỏa thuận Việc làm của ông.</w:t>
      </w:r>
    </w:p>
    <w:p>
      <w:pPr>
        <w:spacing w:after="80"/>
      </w:pPr>
      <w:r>
        <w:rPr>
          <w:b w:val="0"/>
          <w:i w:val="0"/>
        </w:rPr>
        <w:t>Tôi không thấy lập luận của Các Bị đơn rằng hội đồng quản trị đã phê duyệt Các Khoản thưởng Benchmark như một phần thưởng cho một năm làm ăn tốt vào năm 2005 hoặc để giảm lợi nhuận giữ lại trong trường hợp xảy ra kiện tụng là đáng tin cậy. Về phần thưởng cho một năm làm ăn tốt, Benchmark đã có một năm tốt hơn vào năm 2004 so với năm 2005, và các khoản thưởng năm 2004 vẫn chỉ chiếm 3,36% thu nhập điều chỉnh. Hơn nữa, khi được hỏi về sự chênh lệch giữa các khoản thưởng năm 2004 và 2005, Richard đã trả lời:</w:t>
      </w:r>
    </w:p>
    <w:p>
      <w:pPr>
        <w:spacing w:after="80"/>
      </w:pPr>
      <w:r>
        <w:rPr>
          <w:b w:val="0"/>
          <w:i w:val="0"/>
        </w:rPr>
        <w:t>Ông ấy [Gene] cũng đâu có rời đi [vào năm 2004]. Thành thật mà nói, chúng tôi đã bị sốc khi ông ấy rời đi. . . . Chúng tôi đã bị sốc. Bạn biết đấy, đây là người mà bạn đã cùng làm việc và thành công trong 30 năm—hơn 30 năm—lại thông báo cho bạn ít hơn so với hầu hết các tài xế xe tải giỏi của chúng tôi khi họ quyết định nghỉ hưu. Nói cách khác, hơn bất cứ điều gì khác, các khoản thưởng thể hiện một phản ứng bốc đồng trước việc Gene nghỉ hưu đột ngột, điều mà Francis và Richard coi là một sự phản bội.</w:t>
      </w:r>
    </w:p>
    <w:p>
      <w:pPr>
        <w:spacing w:after="80"/>
      </w:pPr>
      <w:r>
        <w:rPr>
          <w:b w:val="0"/>
          <w:i w:val="0"/>
        </w:rPr>
        <w:t>Tóm lại, Các Khoản thưởng Benchmark là sản phẩm của một quy trình không công bằng. Hồ sơ cho thấy không có lý do mạch lạc, đáng tin cậy nào cho các khoản thưởng ngoài việc phản ứng trước việc Gene nghỉ hưu. Ngoài ra, không có thông báo, không có sự cân nhắc kỹ lưỡng, cũng như không có lời khuyên hay nghiên cứu độc lập nào trước hành động của hội đồng quản trị. Trên thực tế, đối với Khoản thưởng cho Ban Quản lý, Bomberger không có ý niệm rõ ràng về việc mình đang phê duyệt điều gì. Thêm vào đó, mức giá cũng không công bằng. Không có tiền lệ lịch sử nào cho quy mô của khoản thưởng. Ví dụ, Gene, người đã làm việc cho Eastern States Group gần như suốt năm 2005, không nhận được gì. Cuối cùng, tôi không thấy lời khai chuyên gia của Stevens thuyết phục. "Bài kiểm tra Nhà đầu tư Độc lập" của ông ấy quá chủ quan và không được hỗ trợ bởi công trình của các chuyên gia khác trong lĩnh vực liên quan, đến mức tôi thấy nó không đáng tin cậy và không hữu ích trong hoàn cảnh của vụ án này. Tôi cũng lưu ý rằng Bomberger không thể viện dẫn bất kỳ luật Delaware nào đã áp dụng hoặc ủng hộ lý thuyết của Stevens. Do đó, tôi kết luận rằng Francis, Richard và Bomberger đã không chứng minh được Các Khoản thưởng Benchmark là hoàn toàn công bằng và đã vi phạm nghĩa vụ tín thác trung thành của họ đối với Benchmark khi họ phê duyệt chúng.</w:t>
      </w:r>
    </w:p>
    <w:p>
      <w:pPr>
        <w:spacing w:after="80"/>
      </w:pPr>
      <w:r>
        <w:rPr>
          <w:b w:val="0"/>
          <w:i w:val="0"/>
        </w:rPr>
        <w:t>* * *</w:t>
      </w:r>
    </w:p>
    <w:p>
      <w:pPr>
        <w:spacing w:after="80"/>
      </w:pPr>
      <w:r>
        <w:rPr>
          <w:b w:val="0"/>
          <w:i w:val="0"/>
        </w:rPr>
        <w:t>Về những khiếu nại liên quan đến Thưởng Chuẩn (Benchmark Bonuses), Tòa án đã kết luận rằng Francis, Richard và Bomberger đã vi phạm nghĩa vụ ủy thác (fiduciary duties) của họ khi phê duyệt và nhận những khoản thưởng đó. Để khắc phục vi phạm đó, Tòa án sẽ yêu cầu Francis, Richard và Bomberger (1) hoàn trả toàn bộ 1.3 triệu đô la tiền Thưởng Chuẩn mà họ đã nhận và trả lại số tiền đó cho Benchmark kèm lãi suất theo mức lãi suất hợp pháp, tính lãi kép theo quý, và (2) bồi hoàn cho Gene các chi phí và phí luật sư hợp lý mà ông đã bỏ ra trong quá trình theo đuổi khiếu nại về Thưởng Chuẩn.</w:t>
      </w:r>
    </w:p>
    <w:p>
      <w:pPr>
        <w:pStyle w:val="Heading5"/>
      </w:pPr>
      <w:r>
        <w:rPr>
          <w:rFonts w:ascii="Calibri" w:hAnsi="Calibri"/>
          <w:b/>
          <w:i/>
          <w:sz w:val="22"/>
        </w:rPr>
        <w:t>Bình luận và Câu hỏi</w:t>
      </w:r>
    </w:p>
    <w:p>
      <w:pPr>
        <w:spacing w:after="80"/>
      </w:pPr>
      <w:r>
        <w:rPr>
          <w:b w:val="0"/>
          <w:i w:val="0"/>
        </w:rPr>
        <w:t xml:space="preserve">1. Nói chung, hội đồng quản trị phải chứng minh rằng giao dịch có xung đột lợi ích vẫn giữ được "những dấu hiệu của một thương lượng ngang hàng" (earmarks of an arm's length bargain). </w:t>
      </w:r>
      <w:r>
        <w:rPr>
          <w:b w:val="0"/>
          <w:i/>
        </w:rPr>
        <w:t>Byelick v. Vivadelli</w:t>
      </w:r>
      <w:r>
        <w:rPr>
          <w:b w:val="0"/>
          <w:i w:val="0"/>
        </w:rPr>
        <w:t xml:space="preserve"> , 79 F. Supp. 2d 610, 629 (E.D. Va. 1999) (trích dẫn </w:t>
      </w:r>
      <w:r>
        <w:rPr>
          <w:b w:val="0"/>
          <w:i/>
        </w:rPr>
        <w:t>Moneta v. Willard Building Supply Co.</w:t>
      </w:r>
      <w:r>
        <w:rPr>
          <w:b w:val="0"/>
          <w:i w:val="0"/>
        </w:rPr>
        <w:t xml:space="preserve"> , 515 S.E.2d 277, 287 (Va. 1999)). Như một nhà bình luận đã lưu ý, sự công bằng đại diện cho điều "mà một hội đồng quản trị không có lợi ích liên quan, đàm phán ngang hàng với một người xa lạ, sẽ phê duyệt." Joel Seligman, </w:t>
      </w:r>
      <w:r>
        <w:rPr>
          <w:b w:val="0"/>
          <w:i/>
        </w:rPr>
        <w:t>The New Corporate Law</w:t>
      </w:r>
      <w:r>
        <w:rPr>
          <w:b w:val="0"/>
          <w:i w:val="0"/>
        </w:rPr>
        <w:t xml:space="preserve"> , 59 Brook. L. Rev. 1, 7 (1993).</w:t>
      </w:r>
    </w:p>
    <w:p>
      <w:pPr>
        <w:spacing w:after="80"/>
      </w:pPr>
      <w:r>
        <w:rPr>
          <w:b w:val="0"/>
          <w:i w:val="0"/>
        </w:rPr>
        <w:t xml:space="preserve">2. Đối xử công bằng là gì? Điều gì được đưa vào việc xem xét đối xử công bằng? Như một tòa án đã mô tả: Đối xử công bằng "bao trùm các câu hỏi về thời điểm giao dịch được tiến hành, cách nó được khởi xướng, cấu trúc, đàm phán, tiết lộ cho các giám đốc, và cách các giám đốc và cổ đông đưa ra phê duyệt." </w:t>
      </w:r>
      <w:r>
        <w:rPr>
          <w:b w:val="0"/>
          <w:i/>
        </w:rPr>
        <w:t>Weinberger v. UOP</w:t>
      </w:r>
      <w:r>
        <w:rPr>
          <w:b w:val="0"/>
          <w:i w:val="0"/>
        </w:rPr>
        <w:t xml:space="preserve"> , 457 A.2d 701, 710 (Del. 1983).</w:t>
      </w:r>
    </w:p>
    <w:p>
      <w:pPr>
        <w:spacing w:after="80"/>
      </w:pPr>
      <w:r>
        <w:rPr>
          <w:b w:val="0"/>
          <w:i w:val="0"/>
        </w:rPr>
        <w:t xml:space="preserve">3. Hội đồng quản trị đã cố gắng chứng minh tính công bằng của các khoản thưởng trong trường hợp này như thế nào? Các giám đốc có thể chứng minh tính công bằng bằng cách so sánh số tiền với các nhân viên khác trong công ty không? Để có một số suy nghĩ về vấn đề đó, xem </w:t>
      </w:r>
      <w:r>
        <w:rPr>
          <w:b w:val="0"/>
          <w:i/>
        </w:rPr>
        <w:t>Zutrau v. Jansing</w:t>
      </w:r>
      <w:r>
        <w:rPr>
          <w:b w:val="0"/>
          <w:i w:val="0"/>
        </w:rPr>
        <w:t xml:space="preserve"> , C.A. No. 7457-VCP (Del. Ch. July 31, 2014).</w:t>
      </w:r>
    </w:p>
    <w:p>
      <w:pPr>
        <w:spacing w:after="80"/>
      </w:pPr>
      <w:r>
        <w:rPr>
          <w:b w:val="0"/>
          <w:i w:val="0"/>
        </w:rPr>
        <w:t>4. Nếu các khoản thưởng nhất quán với những khoản đã trả trong quá khứ, tòa án gợi ý rằng chúng sẽ được coi là công bằng. Bạn có thể rút ra một quy tắc chung từ hàm ý này không? Có phải luôn luôn như vậy rằng những khoản thưởng như vậy sẽ được coi là công bằng không?</w:t>
      </w:r>
    </w:p>
    <w:p>
      <w:pPr>
        <w:spacing w:after="80"/>
      </w:pPr>
      <w:r>
        <w:rPr>
          <w:b w:val="0"/>
          <w:i w:val="0"/>
        </w:rPr>
        <w:t xml:space="preserve">5. Hội đồng quản trị còn có thể chứng minh tính công bằng của các khoản thưởng bằng cách nào khác? Bạn có nghĩ rằng thông lệ ngành có quan trọng không? Nếu những khoản thưởng này có số tiền điển hình cho ngành của họ (ví dụ, các tổ chức tài chính lớn có xu hướng trả thưởng đáng kể), liệu điều đó có đủ để chứng minh tính công bằng không? Nhóm "đồng đẳng" (peer group) cụ thể được sử dụng để so sánh quan trọng đến mức nào. Vấn đề này đã xuất hiện trong </w:t>
      </w:r>
      <w:r>
        <w:rPr>
          <w:b w:val="0"/>
          <w:i/>
        </w:rPr>
        <w:t>Zutrau v. Jansing</w:t>
      </w:r>
      <w:r>
        <w:rPr>
          <w:b w:val="0"/>
          <w:i w:val="0"/>
        </w:rPr>
        <w:t xml:space="preserve"> , C.A. No. 7457-VCP (Del. Ch. July 31, 2014).</w:t>
      </w:r>
    </w:p>
    <w:p>
      <w:pPr>
        <w:spacing w:after="80"/>
      </w:pPr>
      <w:r>
        <w:rPr>
          <w:b w:val="0"/>
          <w:i w:val="0"/>
        </w:rPr>
        <w:t>6. Chúng ta sẽ xem xét quy trình và đối xử công bằng chi tiết hơn trong trường hợp tiếp theo. Nó đóng vai trò gì ở đây? Hội đồng quản trị có thể đã làm gì để đảm bảo đối xử công bằng? Nếu có "đối xử công bằng", liệu kết quả có khác đi không?</w:t>
      </w:r>
    </w:p>
    <w:p>
      <w:pPr>
        <w:spacing w:after="80"/>
      </w:pPr>
      <w:r>
        <w:rPr>
          <w:b w:val="0"/>
          <w:i w:val="0"/>
        </w:rPr>
        <w:t xml:space="preserve">7. Nghĩa vụ trung thành (duty of loyalty) không áp dụng trừ khi một giám đốc có lợi ích liên quan nhận được lợi ích mà các cổ đông khác không được chia sẻ. Do đó, một khoản cổ tức trả cho tất cả cổ đông sẽ không dẫn đến việc áp dụng quy tắc phán đoán kinh doanh (business judgment rule) ngay cả khi một giám đốc nhận được phần lớn nhất của khoản thanh toán. </w:t>
      </w:r>
      <w:r>
        <w:rPr>
          <w:b w:val="0"/>
          <w:i/>
        </w:rPr>
        <w:t>Xem Pfeffer v. Redstone</w:t>
      </w:r>
      <w:r>
        <w:rPr>
          <w:b w:val="0"/>
          <w:i w:val="0"/>
        </w:rPr>
        <w:t xml:space="preserve"> , 965 A.2d 676 (Del. 2009). Các khoản thưởng có thể đã được cấu trúc để nằm trong ngoại lệ đó của nghĩa vụ trung thành không?</w:t>
      </w:r>
    </w:p>
    <w:p>
      <w:pPr>
        <w:spacing w:after="80"/>
      </w:pPr>
      <w:r>
        <w:rPr>
          <w:b w:val="0"/>
          <w:i w:val="0"/>
        </w:rPr>
        <w:t>—————</w:t>
      </w:r>
    </w:p>
    <w:p>
      <w:pPr>
        <w:spacing w:after="80"/>
      </w:pPr>
      <w:r>
        <w:rPr>
          <w:b w:val="0"/>
          <w:i w:val="0"/>
        </w:rPr>
        <w:t>Còn về số tiền thù lao trả cho các giám đốc thì sao? Khoản thù lao này cũng phải đáp ứng các tiêu chuẩn công bằng không?</w:t>
      </w:r>
    </w:p>
    <w:p>
      <w:pPr>
        <w:pStyle w:val="Heading4"/>
      </w:pPr>
      <w:r>
        <w:rPr>
          <w:rFonts w:ascii="Calibri" w:hAnsi="Calibri"/>
          <w:b/>
          <w:i w:val="0"/>
          <w:sz w:val="23"/>
        </w:rPr>
        <w:t>CALMA v. Templeton</w:t>
      </w:r>
    </w:p>
    <w:p>
      <w:pPr>
        <w:spacing w:after="80"/>
      </w:pPr>
      <w:r>
        <w:rPr>
          <w:b w:val="0"/>
          <w:i w:val="0"/>
        </w:rPr>
        <w:t>Tòa án Chancery Delaware</w:t>
      </w:r>
      <w:r>
        <w:br/>
      </w:r>
      <w:r>
        <w:rPr>
          <w:b w:val="0"/>
          <w:i w:val="0"/>
        </w:rPr>
        <w:t xml:space="preserve"> 114 A.3d 563 (2015)</w:t>
      </w:r>
    </w:p>
    <w:p>
      <w:pPr>
        <w:spacing w:after="80"/>
      </w:pPr>
      <w:r>
        <w:rPr>
          <w:b w:val="0"/>
          <w:i w:val="0"/>
        </w:rPr>
        <w:t>BOUCHARD , PHÓ CHÁNH ÁN :</w:t>
      </w:r>
    </w:p>
    <w:p>
      <w:pPr>
        <w:spacing w:after="80"/>
      </w:pPr>
      <w:r>
        <w:rPr>
          <w:b w:val="0"/>
          <w:i w:val="0"/>
        </w:rPr>
        <w:t>I. GIỚI THIỆU</w:t>
      </w:r>
    </w:p>
    <w:p>
      <w:pPr>
        <w:spacing w:after="80"/>
      </w:pPr>
      <w:r>
        <w:rPr>
          <w:b w:val="0"/>
          <w:i w:val="0"/>
        </w:rPr>
        <w:t>Trong sáu thập kỷ qua, các tòa án Delaware đã ban hành nhiều phán quyết liên quan đến việc phê chuẩn khoản thù lao trả cho các giám đốc không phải nhân viên. Bản Ý kiến này khảo sát án lệ đó để xác định liệu sự chấp thuận của cổ đông đối với một kế hoạch thù lao có khiến cho việc chi trả thù lao mang tính tư lợi cho các giám đốc không phải nhân viên theo kế hoạch đó phải chịu sự xem xét tư pháp theo tiêu chuẩn lãng phí (waste standard) thay vì tiêu chuẩn hoàn toàn công bằng (entire fairness standard) hay không.</w:t>
      </w:r>
    </w:p>
    <w:p>
      <w:pPr>
        <w:spacing w:after="80"/>
      </w:pPr>
      <w:r>
        <w:rPr>
          <w:b w:val="0"/>
          <w:i w:val="0"/>
        </w:rPr>
        <w:t>Trong vụ kiện phái sinh (derivative action) này, một cổ đông thách thức các khoản thưởng đơn vị cổ phiếu hạn chế (restricted stock units - RSU) được trao cho tám giám đốc không phải nhân viên của Citrix Systems, Inc. (“Citrix” hoặc “Công ty”) vào các năm 2011, 2012 và 2013 (gọi là “Các Khoản Thưởng RSU”). Phần lớn thù lao của các giám đốc bao gồm Các Khoản Thưởng RSU này, do ủy ban thù lao của hội đồng quản trị trao theo Kế hoạch Khuyến khích Vốn cổ phần năm 2005 của Công ty (gọi là “Kế hoạch”). Kế hoạch đó, cùng với các sửa đổi sau này, đã được đa số cổ đông không có quyền lợi liên quan của Citrix chấp thuận bằng các lá phiếu được cung cấp đầy đủ thông tin và không bị ép buộc.</w:t>
      </w:r>
    </w:p>
    <w:p>
      <w:pPr>
        <w:spacing w:after="80"/>
      </w:pPr>
      <w:r>
        <w:rPr>
          <w:b w:val="0"/>
          <w:i w:val="0"/>
        </w:rPr>
        <w:t>Các giám đốc, cán bộ, nhân viên, cố vấn và chuyên gia tư vấn của Citrix đều là những người thụ hưởng theo Kế hoạch. Giới hạn duy nhất mà Kế hoạch áp đặt lên thù lao là không người thụ hưởng nào có thể nhận hơn một triệu cổ phiếu (hoặc RSU) mỗi năm dương lịch. Không có giới hạn phụ nào dựa trên vị trí của người thụ hưởng tại Citrix. Dựa trên giá cổ phiếu của Citrix vào thời điểm vụ kiện này được khởi xướng, một triệu RSU trị giá hơn 55 triệu đô la.</w:t>
      </w:r>
    </w:p>
    <w:p>
      <w:pPr>
        <w:spacing w:after="80"/>
      </w:pPr>
      <w:r>
        <w:rPr>
          <w:b w:val="0"/>
          <w:i w:val="0"/>
        </w:rPr>
        <w:t>Nguyên đơn cho rằng Các Khoản Thưởng RSU, khi cộng với các khoản thanh toán bằng tiền mặt mà các giám đốc không phải nhân viên của Citrix nhận được, là “quá mức” so với thù lao mà các giám đốc tại một số “đối thủ ngang hàng” của Citrix nhận được. Nguyên đơn tìm cách đòi bồi thường từ các bị đơn, là các thành viên hội đồng quản trị của Citrix, theo ba lý thuyết trách nhiệm pháp lý: (i) vi phạm nghĩa vụ tín thác (Count I); (ii) lãng phí tài sản công ty (Count II); và (iii) làm giàu bất chính (Count III).</w:t>
      </w:r>
    </w:p>
    <w:p>
      <w:pPr>
        <w:spacing w:after="80"/>
      </w:pPr>
      <w:r>
        <w:rPr>
          <w:b w:val="0"/>
          <w:i w:val="0"/>
        </w:rPr>
        <w:t>Nguyên đơn không cho rằng các cổ đông Citrix đã không chấp thuận Kế hoạch; rằng các cổ đông Citrix không được cung cấp đầy đủ thông tin khi họ chấp thuận Kế hoạch; hay rằng Các Khoản Thưởng RSU đã vi phạm Kế hoạch. Thay vào đó, ông lập luận rằng các bị đơn phải chứng minh tính hoàn toàn công bằng của Các Khoản Thưởng RSU với tư cách là các quyết định thù lao có xung đột lợi ích, bởi vì Kế hoạch không có bất kỳ “giới hạn có ý nghĩa” nào đối với thù lao dựa trên cổ phiếu hằng năm mà các giám đốc Citrix có thể nhận từ Công ty.</w:t>
      </w:r>
    </w:p>
    <w:p>
      <w:pPr>
        <w:spacing w:after="80"/>
      </w:pPr>
      <w:r>
        <w:rPr>
          <w:b w:val="0"/>
          <w:i w:val="0"/>
        </w:rPr>
        <w:t>Các bị đơn đã yêu cầu bác bỏ toàn bộ đơn khởi kiện theo Quy tắc 12(b)(6) của Tòa án Chancery vì không nêu được khiếu nại mà theo đó có thể được cứu xét, và theo Quy tắc 23.1 của Tòa án Chancery vì không đưa ra yêu cầu trước khi khởi kiện (pre-suit demand) lên hội đồng quản trị của Citrix hoặc không nêu được các tình tiết để miễn trừ yêu cầu đó. Lập luận chính của các bị đơn là biện pháp phòng vệ dựa trên sự phê chuẩn (ratification defense), nhưng họ thừa nhận rằng các cổ đông Citrix đã không được yêu cầu phê chuẩn Các Khoản Thưởng RSU cụ thể đang bị tranh chấp ở đây. Thay vào đó, các bị đơn cho rằng các cổ đông Citrix đã phê chuẩn Kế hoạch, nên bất kỳ khoản thưởng RSU nào cho các giám đốc theo giới hạn chung chung một triệu RSU trong Kế hoạch đều phải được xem xét theo tiêu chuẩn lãng phí. Họ còn cho rằng không thể hình dung một cách hợp lý rằng Các Khoản Thưởng RSU cấu thành sự lãng phí.</w:t>
      </w:r>
    </w:p>
    <w:p>
      <w:pPr>
        <w:spacing w:after="80"/>
      </w:pPr>
      <w:r>
        <w:rPr>
          <w:b w:val="0"/>
          <w:i w:val="0"/>
        </w:rPr>
        <w:t>Trong ý kiến này, tôi kết luận rằng nguyên đơn đã chứng minh được yêu cầu trước khi khởi kiện là vô ích vì đa số hội đồng quản trị Citrix đương nhiệm vào thời điểm đơn khởi kiện được nộp đều có quyền lợi liên quan do đã nhận Các Khoản Thưởng RSU. Do đó, yêu cầu theo Quy tắc 23.1 của các bị đơn bị bác bỏ.</w:t>
      </w:r>
    </w:p>
    <w:p>
      <w:pPr>
        <w:spacing w:after="80"/>
      </w:pPr>
      <w:r>
        <w:rPr>
          <w:b w:val="0"/>
          <w:i w:val="0"/>
        </w:rPr>
        <w:t xml:space="preserve">Tôi cũng kết luận rằng các bị đơn đã không chứng minh được rằng các cổ đông Citrix đã phê chuẩn Các Khoản Thưởng RSU, bởi vì khi có được sự chấp thuận tổng thể đối với một Kế hoạch bao trùm nhiều nhóm người thụ hưởng đa dạng và khác nhau, Công ty đã không tìm kiếm hay có được sự chấp thuận của cổ đông đối với bất kỳ hành động nào </w:t>
      </w:r>
      <w:r>
        <w:rPr>
          <w:b w:val="0"/>
          <w:i/>
        </w:rPr>
        <w:t>liên quan cụ thể đến mức độ thù lao sẽ được trả cho các giám đốc không phải nhân viên của mình</w:t>
      </w:r>
      <w:r>
        <w:rPr>
          <w:b w:val="0"/>
          <w:i w:val="0"/>
        </w:rPr>
        <w:t xml:space="preserve"> . Theo đó, vì Các Khoản Thưởng RSU là những quyết định tự giao dịch (self-dealing), tiêu chuẩn xem xét có hiệu lực là tính hoàn toàn công bằng, và có thể hình dung một cách hợp lý rằng tổng thù lao mà các giám đốc không phải nhân viên nhận được đã không hoàn toàn công bằng đối với Công ty.</w:t>
      </w:r>
    </w:p>
    <w:p>
      <w:pPr>
        <w:spacing w:after="80"/>
      </w:pPr>
      <w:r>
        <w:rPr>
          <w:b w:val="0"/>
          <w:i w:val="0"/>
        </w:rPr>
        <w:t>* * *</w:t>
      </w:r>
    </w:p>
    <w:p>
      <w:pPr>
        <w:spacing w:after="80"/>
      </w:pPr>
      <w:r>
        <w:rPr>
          <w:b w:val="0"/>
          <w:i w:val="0"/>
        </w:rPr>
        <w:t>B. Kế hoạch Khuyến khích Vốn cổ phần năm 2005 của Citrix</w:t>
      </w:r>
    </w:p>
    <w:p>
      <w:pPr>
        <w:spacing w:after="80"/>
      </w:pPr>
      <w:r>
        <w:rPr>
          <w:b w:val="0"/>
          <w:i w:val="0"/>
        </w:rPr>
        <w:t>Vào ngày 25 tháng 5 năm 2005, đa số cổ đông của Citrix đã chấp thuận Kế hoạch. Kế hoạch được thông qua một phần nhằm “thúc đẩy lợi ích của Citrix Systems, Inc. . . . bằng cách khuyến khích quyền sở hữu Cổ phiếu của nhân viên, giám đốc, cán bộ, cố vấn hoặc chuyên gia tư vấn của Công ty” và bằng cách “thu hút và giữ chân những cá nhân tốt nhất hiện có để phục vụ với tư cách giám đốc của Công ty.”</w:t>
      </w:r>
    </w:p>
    <w:p>
      <w:pPr>
        <w:spacing w:after="80"/>
      </w:pPr>
      <w:r>
        <w:rPr>
          <w:b w:val="0"/>
          <w:i w:val="0"/>
        </w:rPr>
        <w:t>Kế hoạch ban đầu bao gồm tổng cộng 10,1 triệu cổ phiếu, trong đó 500.000 cổ phiếu có thể được trao dưới dạng RSU. Các điều khoản đó đã được sửa đổi nhiều lần kể từ đó. Kế hoạch hiện bao gồm tổng cộng 48,6 triệu cổ phiếu, trong đó 16 triệu cổ phiếu có thể được trao dưới dạng RSU. Tính đến thời điểm nộp Đơn khởi kiện, có hơn 16 triệu cổ phiếu khả dụng theo Kế hoạch, với 11 triệu cổ phiếu khả dụng để trao dưới dạng RSU.</w:t>
      </w:r>
    </w:p>
    <w:p>
      <w:pPr>
        <w:spacing w:after="80"/>
      </w:pPr>
      <w:r>
        <w:rPr>
          <w:b w:val="0"/>
          <w:i w:val="0"/>
        </w:rPr>
        <w:t>* * *</w:t>
      </w:r>
    </w:p>
    <w:p>
      <w:pPr>
        <w:spacing w:after="80"/>
      </w:pPr>
      <w:r>
        <w:rPr>
          <w:b w:val="0"/>
          <w:i w:val="0"/>
        </w:rPr>
        <w:t xml:space="preserve">Theo </w:t>
      </w:r>
      <w:r>
        <w:rPr>
          <w:b w:val="0"/>
          <w:i/>
        </w:rPr>
        <w:t>Rales,</w:t>
      </w:r>
      <w:r>
        <w:rPr>
          <w:b w:val="0"/>
          <w:i w:val="0"/>
        </w:rPr>
        <w:t xml:space="preserve"> các khiếu nại phái sinh của Nguyên đơn phải bị bác bỏ theo Quy tắc 23.1 của Tòa án Chancery trừ khi, dựa trên các tình tiết cụ thể được nêu, Nguyên đơn tạo ra “nghi ngờ hợp lý rằng, vào thời điểm đơn khởi kiện được nộp, hội đồng quản trị có thể đã thực hiện đúng đắn phán đoán kinh doanh độc lập và không có quyền lợi liên quan của mình khi phản hồi một yêu cầu.” Trong phân tích này, tất cả các cáo buộc cụ thể trong Đơn khởi kiện đều được chấp nhận là đúng, và mọi suy luận hợp lý logic tuân theo từ những cáo buộc cụ thể đó đều được diễn giải theo hướng có lợi cho Nguyên đơn. Liên quan nhất ở đây, một giám đốc không được coi là không có quyền lợi liên quan nếu người đó “xuất hiện ở cả hai phía của một giao dịch [hoặc] kỳ vọng thu được bất kỳ lợi ích tài chính cá nhân nào từ giao dịch đó theo nghĩa tự giao dịch.”</w:t>
      </w:r>
    </w:p>
    <w:p>
      <w:pPr>
        <w:spacing w:after="80"/>
      </w:pPr>
      <w:r>
        <w:rPr>
          <w:b w:val="0"/>
          <w:i w:val="0"/>
        </w:rPr>
        <w:t>Các bị đơn lập luận rằng một giám đốc không bị coi là có quyền lợi liên quan chỉ vì người đó nhận thù lao từ công ty, trừ khi Nguyên đơn có thể chứng minh rằng khoản thù lao nhận được là trọng yếu đối với cá nhân đó, điều mà họ cho rằng Nguyên đơn đã không làm được. Để phản đối, Nguyên đơn cho rằng khi, như ở đây, có các khiếu nại phái sinh thách thức thù lao mà các giám đốc nhận được, thì những giám đốc đó có quyền lợi liên quan cho mục đích xét tính vô ích của yêu cầu trước khi khởi kiện, bởi vì họ “có lợi ích tài chính cá nhân trong khoản thù lao của mình cho việc phục vụ với tư cách giám đốc,” bất kể khoản thù lao họ nhận được có trọng yếu đối với cá nhân họ hay không. Theo đó, Nguyên đơn cho rằng yêu cầu trước khi khởi kiện được miễn trừ ở đây vì ông thách thức Các Khoản Thưởng RSU mà đa số Hội đồng quản trị đương nhiệm vào thời điểm Đơn khởi kiện được nộp đã nhận. Tôi đồng ý với Nguyên đơn.</w:t>
      </w:r>
    </w:p>
    <w:p>
      <w:pPr>
        <w:spacing w:after="80"/>
      </w:pPr>
      <w:r>
        <w:rPr>
          <w:b w:val="0"/>
          <w:i w:val="0"/>
        </w:rPr>
        <w:t>Theo luật Delaware, các giám đốc nói chung không bị coi là có quyền lợi liên quan . . . “chỉ vì [họ] nhận thù lao từ công ty.” Nhưng, một thách thức phái sinh đối với thù lao giám đốc thì khác, bởi vì luật pháp hoài nghi rằng một cá nhân có thể xem xét một cách công bằng và vô tư liệu có nên để công ty khởi kiện thách thức chính khoản thù lao của mình hay không, bất kể khoản thù lao đó có trọng yếu ở mức độ cá nhân hay không.</w:t>
      </w:r>
    </w:p>
    <w:p>
      <w:pPr>
        <w:spacing w:after="80"/>
      </w:pPr>
      <w:r>
        <w:rPr>
          <w:b w:val="0"/>
          <w:i w:val="0"/>
        </w:rPr>
        <w:t xml:space="preserve">Dựa trên phân tích của Chancellor Allen trong </w:t>
      </w:r>
      <w:r>
        <w:rPr>
          <w:b w:val="0"/>
          <w:i/>
        </w:rPr>
        <w:t>Steiner v. Meyerson,</w:t>
      </w:r>
      <w:r>
        <w:rPr>
          <w:b w:val="0"/>
          <w:i w:val="0"/>
        </w:rPr>
        <w:t xml:space="preserve"> tôi đã kết luận trong </w:t>
      </w:r>
      <w:r>
        <w:rPr>
          <w:b w:val="0"/>
          <w:i/>
        </w:rPr>
        <w:t>Cambridge Retirement System v. Bosnjak</w:t>
      </w:r>
      <w:r>
        <w:rPr>
          <w:b w:val="0"/>
          <w:i w:val="0"/>
        </w:rPr>
        <w:t xml:space="preserve"> rằng, trong một thách thức phái sinh (derivative challenge) đối với thù lao giám đốc, có một nghi ngờ hợp lý rằng các giám đốc đã nhận khoản thù lao đang bị tranh chấp—bất kể khoản thù lao đó có trọng yếu (material) đối với họ ở mức độ cá nhân hay không—có thể đủ vô tư (disinterested) để xem xét một cách khách quan một yêu cầu theo đuổi kiện tụng thách thức số tiền hoặc hình thức thù lao của chính họ. Theo quan điểm của tôi, kết luận này càng có sức nặng hơn khi, như ở đây, các giám đốc nhận thù lao cổ phần (equity compensation) từ công ty bởi vì những cá nhân đó "có động lực tài chính mạnh mẽ để duy trì nguyên trạng bằng cách không cho phép bất kỳ hành động khắc phục nào có thể làm giảm giá trị các khoản nắm giữ hiện tại của họ hoặc khiến họ phải hoàn trả những lợi nhuận thu được một cách không chính đáng."</w:t>
      </w:r>
    </w:p>
    <w:p>
      <w:pPr>
        <w:spacing w:after="80"/>
      </w:pPr>
      <w:r>
        <w:rPr>
          <w:b w:val="0"/>
          <w:i w:val="0"/>
        </w:rPr>
        <w:t xml:space="preserve">Ở đây, tám trong số chín giám đốc của Citrix đương nhiệm khi Nguyên đơn nộp Đơn khiếu nại (Complaint) đã nhận các Khoản thưởng RSU từ Công ty. Nguyên đơn đã cáo buộc với mức độ cụ thể đầy đủ rằng tám giám đốc đó là "có quyền lợi liên quan" (interested) bằng cách xác định số tiền và hình thức của các Khoản thưởng RSU mà họ nhận được từ Công ty trong giai đoạn 2011–2013. Như trong </w:t>
      </w:r>
      <w:r>
        <w:rPr>
          <w:b w:val="0"/>
          <w:i/>
        </w:rPr>
        <w:t>Steiner</w:t>
      </w:r>
      <w:r>
        <w:rPr>
          <w:b w:val="0"/>
          <w:i w:val="0"/>
        </w:rPr>
        <w:t xml:space="preserve"> và </w:t>
      </w:r>
      <w:r>
        <w:rPr>
          <w:b w:val="0"/>
          <w:i/>
        </w:rPr>
        <w:t>Bosnjak,</w:t>
      </w:r>
      <w:r>
        <w:rPr>
          <w:b w:val="0"/>
          <w:i w:val="0"/>
        </w:rPr>
        <w:t xml:space="preserve"> Nguyên đơn không cần chứng minh rằng các Khoản thưởng RSU là trọng yếu đối với các giám đốc không phải nhân viên của Công ty. Vì đa số Hội đồng quản trị có quyền lợi liên quan, Nguyên đơn đã nêu ra một nghi ngờ hợp lý về khả năng của Hội đồng quản trị trong việc xem xét một cách khách quan liệu có theo đuổi một khiếu nại thách thức các Khoản thưởng RSU hay không. . . .</w:t>
      </w:r>
    </w:p>
    <w:p>
      <w:pPr>
        <w:spacing w:after="80"/>
      </w:pPr>
      <w:r>
        <w:rPr>
          <w:b w:val="0"/>
          <w:i w:val="0"/>
        </w:rPr>
        <w:t>* * *</w:t>
      </w:r>
    </w:p>
    <w:p>
      <w:pPr>
        <w:spacing w:after="80"/>
      </w:pPr>
      <w:r>
        <w:rPr>
          <w:b w:val="0"/>
          <w:i w:val="0"/>
        </w:rPr>
        <w:t xml:space="preserve">Các tòa án Delaware xem xét nội dung của một khiếu nại vi phạm nghĩa vụ tín thác (breach of fiduciary duty) thông qua một trong (chủ yếu) ba tiêu chuẩn xét xử theo học thuyết (doctrinal standards of review): phán đoán kinh doanh (business judgment), giám sát tăng cường (enhanced scrutiny), và công bằng toàn diện (entire fairness). Khi một cổ đông không thể bác bỏ tiêu chuẩn phán đoán kinh doanh được suy đoán (presumptive business judgment standard), cổ đông đó phải chứng minh rằng quyết định của hội đồng quản trị không thể được quy cho bất kỳ mục đích kinh doanh hợp lý nào—mà, trên thực tế, chính là tiêu chuẩn cho hành vi lãng phí (waste) theo luật Delaware. Nhưng, khi một cổ đông bác bỏ được tiêu chuẩn phán đoán kinh doanh—ví dụ, bằng cách chứng minh rằng ít nhất một nửa số giám đốc đã phê duyệt một quyết định kinh doanh không độc lập hoặc không vô tư—Tòa án xem xét quyết định của các giám đốc theo tiêu chuẩn công bằng toàn diện, trong trường hợp đó các giám đốc phải chứng minh "đến mức </w:t>
      </w:r>
      <w:r>
        <w:rPr>
          <w:b w:val="0"/>
          <w:i/>
        </w:rPr>
        <w:t>tòa án</w:t>
      </w:r>
      <w:r>
        <w:rPr>
          <w:b w:val="0"/>
          <w:i w:val="0"/>
        </w:rPr>
        <w:t xml:space="preserve"> hài lòng rằng giao dịch đó là sản phẩm của cả việc đối xử công bằng </w:t>
      </w:r>
      <w:r>
        <w:rPr>
          <w:b w:val="0"/>
          <w:i/>
        </w:rPr>
        <w:t>và</w:t>
      </w:r>
      <w:r>
        <w:rPr>
          <w:b w:val="0"/>
          <w:i w:val="0"/>
        </w:rPr>
        <w:t xml:space="preserve"> giá cả công bằng."</w:t>
      </w:r>
    </w:p>
    <w:p>
      <w:pPr>
        <w:spacing w:after="80"/>
      </w:pPr>
      <w:r>
        <w:rPr>
          <w:b w:val="0"/>
          <w:i w:val="0"/>
        </w:rPr>
        <w:t xml:space="preserve">Ủy ban Thù lao (Compensation Committee) đã phê duyệt các Khoản thưởng RSU cho các giám đốc không phải nhân viên của Công ty vào các năm 2011, 2012, và 2013. Đây là những quyết định có xung đột lợi ích vì cả ba thành viên của Ủy ban Thù lao đều nhận được một phần các Khoản thưởng RSU. Như Tòa án Tối cao Delaware đã nhận định trong </w:t>
      </w:r>
      <w:r>
        <w:rPr>
          <w:b w:val="0"/>
          <w:i/>
        </w:rPr>
        <w:t>Telxon Corp. v. Meyerson,</w:t>
      </w:r>
      <w:r>
        <w:rPr>
          <w:b w:val="0"/>
          <w:i w:val="0"/>
        </w:rPr>
        <w:t xml:space="preserve"> các quyết định tự thù lao của giám đốc là những giao dịch có xung đột lợi ích mà "nằm ngoài sự bảo vệ được suy đoán của quy tắc phán đoán kinh doanh, đến mức, khi bị thách thức một cách thích đáng, việc nhận các lợi ích do tự mình quyết định phải chịu sự chứng minh khẳng định rằng các thỏa thuận thù lao là công bằng đối với công ty." Đây không phải là trường hợp mà các giám đốc vô tư phê duyệt thù lao của các giám đốc khác; Ủy ban Thù lao đã phê duyệt thù lao của chính họ và của các giám đốc không phải nhân viên khác. Do đó, theo quan điểm của tôi, Nguyên đơn đã bác bỏ được tiêu chuẩn phán đoán kinh doanh được suy đoán.</w:t>
      </w:r>
    </w:p>
    <w:p>
      <w:pPr>
        <w:spacing w:after="80"/>
      </w:pPr>
      <w:r>
        <w:rPr>
          <w:b w:val="0"/>
          <w:i w:val="0"/>
        </w:rPr>
        <w:t>2. Sự phê chuẩn của cổ đông liên quan đến thù lao giám đốc</w:t>
      </w:r>
    </w:p>
    <w:p>
      <w:pPr>
        <w:spacing w:after="80"/>
      </w:pPr>
      <w:r>
        <w:rPr>
          <w:b w:val="0"/>
          <w:i w:val="0"/>
        </w:rPr>
        <w:t>Để tránh tiêu chuẩn công bằng toàn diện, các Bị đơn đưa ra biện pháp bảo vệ khẳng định (affirmative defense) về sự phê chuẩn của cổ đông theo thông luật (common law stockholder ratification) và cho rằng các Khoản thưởng RSU phải được xem xét theo tiêu chuẩn lãng phí (waste standard). Cụ thể, các Bị đơn trình bày rằng các Khoản thưởng RSU "là kết quả của việc Hội đồng quản trị thực thi Kế hoạch (Plan) năm 2005 đã được cổ đông phê duyệt và được thực hiện theo, và tuân thủ đầy đủ, Kế hoạch đó." Nguyên đơn phản bác rằng, mặc dù các Khoản thưởng RSU được cấp theo Kế hoạch đã được cổ đông phê duyệt, các Bị đơn vẫn phải chịu trách nhiệm chứng minh tính công bằng toàn diện của các Khoản thưởng RSU vì Kế hoạch "không có giới hạn có ý nghĩa" nào đối với tổng thù lao cổ phần mà các giám đốc không phải nhân viên của Công ty có thể nhận được trên giả định. . . .</w:t>
      </w:r>
    </w:p>
    <w:p>
      <w:pPr>
        <w:spacing w:after="80"/>
      </w:pPr>
      <w:r>
        <w:rPr>
          <w:b w:val="0"/>
          <w:i w:val="0"/>
        </w:rPr>
        <w:t>Câu hỏi trước tôi là liệu sự phê duyệt trước của cổ đông đối với một kế hoạch thù lao có nhiều nhóm người thụ hưởng và một giới hạn chung chung duy nhất về số tiền thù lao có thể được trao trong một năm nhất định có đủ để thiết lập biện pháp bảo vệ phê chuẩn cho các Khoản thưởng RSU được cấp cho các giám đốc không phải nhân viên của Citrix hay không. . . . Với lập luận của các Bị đơn rằng sáu mươi năm tiền lệ ủng hộ quan điểm của họ, tôi xem xét các quyết định đó trước khi áp dụng các nguyên tắc chính từ chúng vào các cáo buộc ở đây.</w:t>
      </w:r>
    </w:p>
    <w:p>
      <w:pPr>
        <w:spacing w:after="80"/>
      </w:pPr>
      <w:r>
        <w:rPr>
          <w:b w:val="0"/>
          <w:i w:val="0"/>
        </w:rPr>
        <w:t>* * *</w:t>
      </w:r>
    </w:p>
    <w:p>
      <w:pPr>
        <w:spacing w:after="80"/>
      </w:pPr>
      <w:r>
        <w:rPr>
          <w:b w:val="0"/>
          <w:i w:val="0"/>
        </w:rPr>
        <w:t>Theo quan điểm của tôi, án lệ được thảo luận ở trên ủng hộ hai nguyên tắc của sự phê chuẩn cổ đông theo thông luật có liên quan đến thù lao giám đốc.</w:t>
      </w:r>
    </w:p>
    <w:p>
      <w:pPr>
        <w:spacing w:after="80"/>
      </w:pPr>
      <w:r>
        <w:rPr>
          <w:b w:val="0"/>
          <w:i w:val="0"/>
        </w:rPr>
        <w:t xml:space="preserve">Một nguyên tắc là biện pháp bảo vệ khẳng định về sự phê chuẩn chỉ có sẵn khi đa số cổ đông được thông tin đầy đủ, không bị ép buộc, và vô tư bỏ phiếu ủng hộ một </w:t>
      </w:r>
      <w:r>
        <w:rPr>
          <w:b w:val="0"/>
          <w:i/>
        </w:rPr>
        <w:t>quyết định cụ thể</w:t>
      </w:r>
      <w:r>
        <w:rPr>
          <w:b w:val="0"/>
          <w:i w:val="0"/>
        </w:rPr>
        <w:t xml:space="preserve"> của hội đồng quản trị. Thật vậy, đây là tiêu chuẩn về phạm vi phê chuẩn được Tòa án Tối cao Delaware tuyên bố trong </w:t>
      </w:r>
      <w:r>
        <w:rPr>
          <w:b w:val="0"/>
          <w:i/>
        </w:rPr>
        <w:t>Gantler v. Stephens</w:t>
      </w:r>
      <w:r>
        <w:rPr>
          <w:b w:val="0"/>
          <w:i w:val="0"/>
        </w:rPr>
        <w:t xml:space="preserve"> . Ở đó, các bị đơn lập luận rằng các cổ đông đã phê chuẩn quyết định được cho là có quyền lợi liên quan của các giám đốc nhằm đề nghị cổ đông phê duyệt một đề xuất tái phân loại cổ phần (stock reclassification proposal). Mặc dù </w:t>
      </w:r>
      <w:r>
        <w:rPr>
          <w:b w:val="0"/>
          <w:i/>
        </w:rPr>
        <w:t>Gantler</w:t>
      </w:r>
      <w:r>
        <w:rPr>
          <w:b w:val="0"/>
          <w:i w:val="0"/>
        </w:rPr>
        <w:t xml:space="preserve"> cuối cùng đã bác bỏ biện pháp bảo vệ phê chuẩn vì đơn khiếu nại cáo buộc đầy đủ rằng cuộc bỏ phiếu của cổ đông không được thông tin đầy đủ, Tòa án Tối cao đã phán quyết, như một vấn đề pháp lý, rằng "hành động hoặc ứng xử duy nhất của giám đốc có thể được phê chuẩn là </w:t>
      </w:r>
      <w:r>
        <w:rPr>
          <w:b w:val="0"/>
          <w:i/>
        </w:rPr>
        <w:t>điều mà các cổ đông được yêu cầu phê duyệt một cách cụ thể</w:t>
      </w:r>
      <w:r>
        <w:rPr>
          <w:b w:val="0"/>
          <w:i w:val="0"/>
        </w:rPr>
        <w:t xml:space="preserve"> ." Để ủng hộ cho mệnh đề này, </w:t>
      </w:r>
      <w:r>
        <w:rPr>
          <w:b w:val="0"/>
          <w:i/>
        </w:rPr>
        <w:t>Gantler</w:t>
      </w:r>
      <w:r>
        <w:rPr>
          <w:b w:val="0"/>
          <w:i w:val="0"/>
        </w:rPr>
        <w:t xml:space="preserve"> viện dẫn </w:t>
      </w:r>
      <w:r>
        <w:rPr>
          <w:b w:val="0"/>
          <w:i/>
        </w:rPr>
        <w:t>In re Santa Fe Pacific Corp. Shareholder Litigation,</w:t>
      </w:r>
      <w:r>
        <w:rPr>
          <w:b w:val="0"/>
          <w:i w:val="0"/>
        </w:rPr>
        <w:t xml:space="preserve"> nơi Tòa án Tối cao trước đó đã kết luận rằng một cuộc bỏ phiếu của cổ đông ủng hộ một vụ sáp nhập không phê chuẩn việc hội đồng quản trị phê duyệt bất kỳ điều khoản bảo vệ thỏa thuận (deal protection provisions) nào trong thỏa thuận sáp nhập bởi vì, trong trường hợp đó, các cổ đông đã không "</w:t>
      </w:r>
      <w:r>
        <w:rPr>
          <w:b w:val="0"/>
          <w:i/>
        </w:rPr>
        <w:t>bỏ phiếu ủng hộ một cách cụ thể</w:t>
      </w:r>
      <w:r>
        <w:rPr>
          <w:b w:val="0"/>
          <w:i w:val="0"/>
        </w:rPr>
        <w:t xml:space="preserve"> " đối với các biện pháp phòng vệ đó.</w:t>
      </w:r>
    </w:p>
    <w:p>
      <w:pPr>
        <w:spacing w:after="80"/>
      </w:pPr>
      <w:r>
        <w:rPr>
          <w:b w:val="0"/>
          <w:i w:val="0"/>
        </w:rPr>
        <w:t>* * *</w:t>
      </w:r>
    </w:p>
    <w:p>
      <w:pPr>
        <w:spacing w:after="80"/>
      </w:pPr>
      <w:r>
        <w:rPr>
          <w:b w:val="0"/>
          <w:i w:val="0"/>
        </w:rPr>
        <w:t>Nguyên tắc thứ hai đã được thiết lập vững chắc và không gây tranh cãi: sự phê chuẩn hợp lệ của cổ đông dẫn đến việc lãng phí trở thành tiêu chuẩn xét xử theo học thuyết đối với một khiếu nại vi phạm nghĩa vụ tín thác. Sự phê duyệt chỉ bởi đa số cổ đông không phê chuẩn hành vi lãng phí bởi vì "việc lãng phí tài sản của công ty không thể được phê chuẩn nếu không có sự đồng ý nhất trí của cổ đông."</w:t>
      </w:r>
    </w:p>
    <w:p>
      <w:pPr>
        <w:spacing w:after="80"/>
      </w:pPr>
      <w:r>
        <w:rPr>
          <w:b w:val="0"/>
          <w:i w:val="0"/>
        </w:rPr>
        <w:t>Những cân nhắc chính sách quan trọng ủng hộ hai nguyên tắc này của sự phê chuẩn cổ đông theo thông luật trong bối cảnh thù lao giám đốc. Việc xác định rõ số tiền và hình thức chính xác của thù lao giám đốc trong một kế hoạch thù lao cổ phần khi kế hoạch đó được trình để cổ đông phê duyệt "đảm bảo tính chính trực" trong mối quan hệ chủ thể - đại diện (principal-agent relationship) cơ bản giữa cổ đông và giám đốc "bằng cách khiến các giám đốc phải chịu đựng điều xấu xí và tận hưởng điều tốt đẹp đi kèm với một cách tiếp cận nhất quán, không tùy nghi" đối với thù lao của họ. Tương tự, việc có được sự phê duyệt của cổ đông đối với thù lao giám đốc trên cơ sở hàng năm hoặc định kỳ tạo điều kiện cho việc công bố các quyết định vốn có xung đột lợi ích và trao cho cổ đông một vai trò có ý nghĩa trong việc thù lao cho những người được tín thác của họ.</w:t>
      </w:r>
    </w:p>
    <w:p>
      <w:pPr>
        <w:spacing w:after="80"/>
      </w:pPr>
      <w:r>
        <w:rPr>
          <w:b w:val="0"/>
          <w:i w:val="0"/>
        </w:rPr>
        <w:t>3. Các cổ đông của Citrix đã không phê chuẩn các Khoản thưởng RSU</w:t>
      </w:r>
    </w:p>
    <w:p>
      <w:pPr>
        <w:spacing w:after="80"/>
      </w:pPr>
      <w:r>
        <w:rPr>
          <w:b w:val="0"/>
          <w:i w:val="0"/>
        </w:rPr>
        <w:t>Chuyển sang trường hợp hiện tại, các cổ đông của Citrix ban đầu đã phê duyệt Kế hoạch vào năm 2005. Vì Nguyên đơn không cáo buộc điều gì khác, tôi coi sự phê duyệt của cổ đông Citrix đối với Kế hoạch vào năm 2005 (và đối với các sửa đổi của nó) là một cuộc bỏ phiếu phê duyệt của đa số cổ đông được thông tin đầy đủ, không bị ép buộc, và vô tư.</w:t>
      </w:r>
    </w:p>
    <w:p>
      <w:pPr>
        <w:spacing w:after="80"/>
      </w:pPr>
      <w:r>
        <w:rPr>
          <w:b w:val="0"/>
          <w:i w:val="0"/>
        </w:rPr>
        <w:t>Kế hoạch quy định tổng số cổ phần khả dụng (Mục 4), các đối tượng thụ hưởng theo Kế hoạch (Mục 6.1(a)), và tổng số cổ phần mà bất kỳ đối tượng thụ hưởng nào có thể nhận được trong một năm dương lịch (Mục 6.1(b)). Nhưng Kế hoạch không quy định số tiền hay hình thức thù lao sẽ được cấp cho các giám đốc không phải nhân viên của Công ty. Thay vào đó, giới hạn duy nhất đối với thù lao giám đốc xuất hiện trong Mục 6.1(b): các giám đốc, giống như mọi đối tượng thụ hưởng đủ điều kiện khác theo Kế hoạch, có thể nhận tối đa 1 triệu cổ phần (hoặc các khoản thưởng RSU tương đương) mỗi năm dương lịch. Nhắc lại, dựa trên giá cổ phiếu của Citrix vào thời điểm đó, một triệu RSU trị giá hơn 55 triệu đô la khi vụ kiện này được khởi xướng.</w:t>
      </w:r>
    </w:p>
    <w:p>
      <w:pPr>
        <w:spacing w:after="80"/>
      </w:pPr>
      <w:r>
        <w:rPr>
          <w:b w:val="0"/>
          <w:i w:val="0"/>
        </w:rPr>
        <w:t xml:space="preserve">Theo quan điểm của tôi, các Bị đơn đã không hoàn thành nghĩa vụ chứng minh của mình để thiết lập biện pháp bảo vệ khẳng định về việc phê chuẩn ở giai đoạn tố tụng này bởi vì các cổ đông của Citrix chưa bao giờ được yêu cầu phê duyệt—và do đó đã không phê duyệt—bất kỳ </w:t>
      </w:r>
      <w:r>
        <w:rPr>
          <w:b w:val="0"/>
          <w:i/>
        </w:rPr>
        <w:t>hành động nào liên quan cụ thể đến mức độ thù lao cho các giám đốc không phải nhân viên của Công ty</w:t>
      </w:r>
      <w:r>
        <w:rPr>
          <w:b w:val="0"/>
          <w:i w:val="0"/>
        </w:rPr>
        <w:t xml:space="preserve"> . Khác với trong </w:t>
      </w:r>
      <w:r>
        <w:rPr>
          <w:b w:val="0"/>
          <w:i/>
        </w:rPr>
        <w:t>Steiner</w:t>
      </w:r>
      <w:r>
        <w:rPr>
          <w:b w:val="0"/>
          <w:i w:val="0"/>
        </w:rPr>
        <w:t xml:space="preserve"> hay </w:t>
      </w:r>
      <w:r>
        <w:rPr>
          <w:b w:val="0"/>
          <w:i/>
        </w:rPr>
        <w:t>Vogelstein,</w:t>
      </w:r>
      <w:r>
        <w:rPr>
          <w:b w:val="0"/>
          <w:i w:val="0"/>
        </w:rPr>
        <w:t xml:space="preserve"> Kế hoạch ở đây không đưa ra mức thù lao cụ thể sẽ được cấp cho các giám đốc không phải nhân viên. Và, khác với trong </w:t>
      </w:r>
      <w:r>
        <w:rPr>
          <w:b w:val="0"/>
          <w:i/>
        </w:rPr>
        <w:t>3COM,</w:t>
      </w:r>
      <w:r>
        <w:rPr>
          <w:b w:val="0"/>
          <w:i w:val="0"/>
        </w:rPr>
        <w:t xml:space="preserve"> Kế hoạch ở đây không đưa ra bất kỳ "mức trần" nào dành riêng cho giám đốc đối với khoản thù lao có thể được cấp cho các giám đốc của Công ty.</w:t>
      </w:r>
    </w:p>
    <w:p>
      <w:pPr>
        <w:spacing w:after="80"/>
      </w:pPr>
      <w:r>
        <w:rPr>
          <w:b w:val="0"/>
          <w:i w:val="0"/>
        </w:rPr>
        <w:t xml:space="preserve">Tôi không thấy có sự khác biệt đáng kể nào giữa các cáo buộc ở đây và những cáo buộc trong </w:t>
      </w:r>
      <w:r>
        <w:rPr>
          <w:b w:val="0"/>
          <w:i/>
        </w:rPr>
        <w:t>Slager,</w:t>
      </w:r>
      <w:r>
        <w:rPr>
          <w:b w:val="0"/>
          <w:i w:val="0"/>
        </w:rPr>
        <w:t xml:space="preserve"> mà tôi không đọc (vì những lý do đã thảo luận ở trên) như là một sự rời xa tiền lệ của Delaware như các Bị đơn đã lập luận. Ở đây, cũng như trong </w:t>
      </w:r>
      <w:r>
        <w:rPr>
          <w:b w:val="0"/>
          <w:i/>
        </w:rPr>
        <w:t>Slager,</w:t>
      </w:r>
      <w:r>
        <w:rPr>
          <w:b w:val="0"/>
          <w:i w:val="0"/>
        </w:rPr>
        <w:t xml:space="preserve"> Kế hoạch không quy định bất kỳ số tiền nào (hay mức trần dành riêng cho giám đốc) của thù lao cổ phần mà các giám đốc Citrix sẽ hoặc có thể nhận được độc lập với giới hạn hàng năm chung áp dụng cho tất cả các loại đối tượng thụ hưởng đa dạng theo Kế hoạch. Theo </w:t>
      </w:r>
      <w:r>
        <w:rPr>
          <w:b w:val="0"/>
          <w:i/>
        </w:rPr>
        <w:t>Sample</w:t>
      </w:r>
      <w:r>
        <w:rPr>
          <w:b w:val="0"/>
          <w:i w:val="0"/>
        </w:rPr>
        <w:t xml:space="preserve"> và </w:t>
      </w:r>
      <w:r>
        <w:rPr>
          <w:b w:val="0"/>
          <w:i/>
        </w:rPr>
        <w:t>Slager,</w:t>
      </w:r>
      <w:r>
        <w:rPr>
          <w:b w:val="0"/>
          <w:i w:val="0"/>
        </w:rPr>
        <w:t xml:space="preserve"> việc cổ đông phê duyệt trước Kế hoạch không phải là sự phê chuẩn "séc khống" hay "</w:t>
      </w:r>
      <w:r>
        <w:rPr>
          <w:b w:val="0"/>
          <w:i/>
        </w:rPr>
        <w:t>carte blanche</w:t>
      </w:r>
      <w:r>
        <w:rPr>
          <w:b w:val="0"/>
          <w:i w:val="0"/>
        </w:rPr>
        <w:t xml:space="preserve"> " đối với bất kỳ khoản thù lao nào mà Ủy ban Thù lao có thể trao cho các giám đốc không phải nhân viên của Công ty. Do đó, theo ý kiến của tôi, việc cổ đông Citrix phê duyệt trước các giới hạn chung của Kế hoạch đối với thù lao cho tất cả các đối tượng thụ hưởng theo Kế hoạch không thiết lập biện pháp bảo vệ về việc phê chuẩn cho các Khoản thưởng RSU bởi vì, khi Hội đồng quản trị tìm kiếm sự phê duyệt của cổ đông đối với các thông số rộng của Kế hoạch và các giới hạn chung được quy định trong đó, các cổ đông của Citrix đã không được yêu cầu phê duyệt bất kỳ </w:t>
      </w:r>
      <w:r>
        <w:rPr>
          <w:b w:val="0"/>
          <w:i/>
        </w:rPr>
        <w:t>hành động nào cụ thể đối với thù lao giám đốc</w:t>
      </w:r>
      <w:r>
        <w:rPr>
          <w:b w:val="0"/>
          <w:i w:val="0"/>
        </w:rPr>
        <w:t xml:space="preserve"> . Họ chỉ đơn giản được yêu cầu phê duyệt, bằng những thuật ngữ rất rộng, chính bản thân Kế hoạch. Vì lý do này, cũng như trong </w:t>
      </w:r>
      <w:r>
        <w:rPr>
          <w:b w:val="0"/>
          <w:i/>
        </w:rPr>
        <w:t>Sample</w:t>
      </w:r>
      <w:r>
        <w:rPr>
          <w:b w:val="0"/>
          <w:i w:val="0"/>
        </w:rPr>
        <w:t xml:space="preserve"> và </w:t>
      </w:r>
      <w:r>
        <w:rPr>
          <w:b w:val="0"/>
          <w:i/>
        </w:rPr>
        <w:t>Slager,</w:t>
      </w:r>
      <w:r>
        <w:rPr>
          <w:b w:val="0"/>
          <w:i w:val="0"/>
        </w:rPr>
        <w:t xml:space="preserve"> tôi không thể kết luận rằng các cổ đông của Công ty đã phê chuẩn các Khoản thưởng RSU đến mức những khoản thưởng đó sẽ bị giới hạn chỉ có thể bị thách thức theo tiêu chuẩn lãng phí.</w:t>
      </w:r>
    </w:p>
    <w:p>
      <w:pPr>
        <w:spacing w:after="80"/>
      </w:pPr>
      <w:r>
        <w:rPr>
          <w:b w:val="0"/>
          <w:i w:val="0"/>
        </w:rPr>
        <w:t xml:space="preserve">Tại các cuộc họp thường niên của Công ty vào năm 2012 và 2013, các cổ đông của Citrix đã bỏ phiếu ủng hộ các sửa đổi đối với Kế hoạch nhằm tăng tổng số cổ phần khả dụng theo Kế hoạch và để "phê chuẩn, xác nhận và phê duyệt" Kế hoạch về mọi phương diện. Nhưng, trong các bản tuyên bố ủy quyền đó, các cổ đông của Citrix đã không được yêu cầu cụ thể phê chuẩn các Khoản thưởng RSU được cấp trong năm trước đó. Tuy nhiên, các Bị đơn lập luận rằng bởi vì các bản tuyên bố ủy quyền liên quan </w:t>
      </w:r>
      <w:r>
        <w:rPr>
          <w:b w:val="0"/>
          <w:i/>
        </w:rPr>
        <w:t>*589</w:t>
      </w:r>
      <w:r>
        <w:rPr>
          <w:b w:val="0"/>
          <w:i w:val="0"/>
        </w:rPr>
        <w:t xml:space="preserve"> đã tiết lộ khoản thù lao cụ thể được cấp cho các thành viên không phải nhân viên của Hội đồng quản trị trong những năm trước đó (</w:t>
      </w:r>
      <w:r>
        <w:rPr>
          <w:b w:val="0"/>
          <w:i/>
        </w:rPr>
        <w:t>tức là,</w:t>
      </w:r>
      <w:r>
        <w:rPr>
          <w:b w:val="0"/>
          <w:i w:val="0"/>
        </w:rPr>
        <w:t xml:space="preserve"> các Khoản thưởng RSU được phát hành vào năm 2011 và 2012), nên việc bỏ phiếu để "phê chuẩn, xác nhận và phê duyệt" Kế hoạch tương đương về mặt chức năng với việc bỏ phiếu ủng hộ các Khoản thưởng RSU. Tôi không đồng ý. Khác với trong </w:t>
      </w:r>
      <w:r>
        <w:rPr>
          <w:b w:val="0"/>
          <w:i/>
        </w:rPr>
        <w:t>Bosnjak,</w:t>
      </w:r>
      <w:r>
        <w:rPr>
          <w:b w:val="0"/>
          <w:i w:val="0"/>
        </w:rPr>
        <w:t xml:space="preserve"> các bản tuyên bố ủy quyền của Công ty vào năm 2012 và 2013 đã không tìm kiếm sự phê duyệt của cổ đông đối với khoản thù lao cụ thể đã được (hoặc sẽ được) trao cho các thành viên không phải nhân viên của Hội đồng quản trị. Thay vào đó, việc cổ đông Citrix phê duyệt Kế hoạch vào năm 2012 và 2013 chỉ phê chuẩn việc thông qua và các điều khoản của Kế hoạch.</w:t>
      </w:r>
    </w:p>
    <w:p>
      <w:pPr>
        <w:spacing w:after="80"/>
      </w:pPr>
      <w:r>
        <w:rPr>
          <w:b w:val="0"/>
          <w:i w:val="0"/>
        </w:rPr>
        <w:t>Vì những lý do này, tôi kết luận rằng các Bị đơn đã không hoàn thành nghĩa vụ chứng minh của mình để cho thấy rằng các cổ đông của Công ty đã phê chuẩn các Khoản thưởng RSU.114 Theo đó, tiêu chuẩn xem xét có hiệu lực vẫn là tính công bằng toàn diện với nghĩa vụ chứng minh thuộc về các Bị đơn.</w:t>
      </w:r>
    </w:p>
    <w:p>
      <w:pPr>
        <w:spacing w:after="80"/>
      </w:pPr>
      <w:r>
        <w:rPr>
          <w:b w:val="0"/>
          <w:i w:val="0"/>
        </w:rPr>
        <w:t>4. Có thể Hình dung một cách Hợp lý rằng các Khoản thưởng RSU Không Hoàn toàn Công bằng</w:t>
      </w:r>
    </w:p>
    <w:p>
      <w:pPr>
        <w:spacing w:after="80"/>
      </w:pPr>
      <w:r>
        <w:rPr>
          <w:b w:val="0"/>
          <w:i w:val="0"/>
        </w:rPr>
        <w:t xml:space="preserve">Khi, như ở đây, tiêu chuẩn xem xét về tính công bằng toàn diện được áp dụng, các Bị đơn phải chứng minh rằng quyết định "là sản phẩm của cả việc đối xử công bằng </w:t>
      </w:r>
      <w:r>
        <w:rPr>
          <w:b w:val="0"/>
          <w:i/>
        </w:rPr>
        <w:t>và</w:t>
      </w:r>
      <w:r>
        <w:rPr>
          <w:b w:val="0"/>
          <w:i w:val="0"/>
        </w:rPr>
        <w:t xml:space="preserve"> giá cả công bằng." Việc tiêu chuẩn công bằng toàn diện được áp dụng "thông thường sẽ ngăn cản việc bác bỏ đơn kiện theo động thái bác bỏ theo Quy tắc 12(b)(6)." Nhưng, "[n]gay cả trong một giao dịch vì tư lợi, để nêu ra một khiếu nại, cổ đông phải cáo buộc một số sự kiện có xu hướng cho thấy rằng giao dịch đó không công bằng."</w:t>
      </w:r>
    </w:p>
    <w:p>
      <w:pPr>
        <w:spacing w:after="80"/>
      </w:pPr>
      <w:r>
        <w:rPr>
          <w:b w:val="0"/>
          <w:i w:val="0"/>
        </w:rPr>
        <w:t>Các bên định hình vấn đề liệu các Khoản thưởng RSU có hoàn toàn công bằng hay không như là vấn đề liệu các thông lệ thù lao giám đốc không phải nhân viên của Citrix có phù hợp với những thông lệ của nhóm "cùng ngành" của Công ty hay không. Các Bị đơn lập luận rằng nhóm cùng ngành của Citrix cho mục đích thù lao giám đốc là mười bốn công ty được Công ty xác định là cùng ngành trong các hồ sơ nộp cho Ủy ban Chứng khoán và Giao dịch. Mặt khác, Nguyên đơn cho rằng nhóm cùng ngành phù hợp nên được giới hạn chỉ còn năm trong số mười bốn công ty cùng ngành do Công ty tự chọn, dựa trên các chỉ số về vốn hóa thị trường, doanh thu và thu nhập ròng có thể so sánh được.</w:t>
      </w:r>
    </w:p>
    <w:p>
      <w:pPr>
        <w:spacing w:after="80"/>
      </w:pPr>
      <w:r>
        <w:rPr>
          <w:b w:val="0"/>
          <w:i w:val="0"/>
        </w:rPr>
        <w:t>Theo quan điểm của tôi, Nguyên đơn đã đặt ra những câu hỏi có ý nghĩa về việc liệu một số công ty có vốn hóa thị trường, doanh thu và thu nhập ròng cao hơn đáng kể—chẳng hạn như Amazon.com , Google, và Microsoft—có nên được đưa vào nhóm cùng ngành được sử dụng để xác định giá trị hợp lý của thù lao cho các giám đốc không phải nhân viên của Citrix hay không. Những câu hỏi thực tế này về tính công bằng của các Khoản thưởng RSU so với các thông lệ thù lao giám đốc tại các công ty đại chúng có thể so sánh với Citrix, tuy nhiên, không thể được giải quyết ở giai đoạn tố tụng của động thái bác bỏ theo Quy tắc 12(b)(6) hiện tại. Do đó, Điều khoản I nêu ra một khiếu nại về việc vi phạm nghĩa vụ tín thác.</w:t>
      </w:r>
    </w:p>
    <w:p>
      <w:pPr>
        <w:pStyle w:val="Heading5"/>
      </w:pPr>
      <w:r>
        <w:rPr>
          <w:rFonts w:ascii="Calibri" w:hAnsi="Calibri"/>
          <w:b/>
          <w:i/>
          <w:sz w:val="22"/>
        </w:rPr>
        <w:t>Bình luận và Câu hỏi</w:t>
      </w:r>
    </w:p>
    <w:p>
      <w:pPr>
        <w:spacing w:after="80"/>
      </w:pPr>
      <w:r>
        <w:rPr>
          <w:b w:val="0"/>
          <w:i w:val="0"/>
        </w:rPr>
        <w:t>1. Thù lao giám đốc phải được tiết lộ trong các bản tuyên bố ủy quyền do các công ty đại chúng phân phối. Số tiền có thể đáng kể. Bản tuyên bố ủy quyền được nộp vào năm 2011 cho Apple, ví dụ, cho thấy tổng thù lao hơn 1 triệu đô la cho hai giám đốc. Năm đó, hội đồng quản trị đã họp bốn lần. Việc tiết lộ có thể có tác động gì đến số tiền thù lao?</w:t>
      </w:r>
    </w:p>
    <w:p>
      <w:pPr>
        <w:spacing w:after="80"/>
      </w:pPr>
      <w:r>
        <w:rPr>
          <w:b w:val="0"/>
          <w:i w:val="0"/>
        </w:rPr>
        <w:t>2. Về mặt khái niệm, tại sao các quyết định về thù lao giám đốc có nhiều khả năng phải chịu tiêu chuẩn công bằng toàn diện hơn so với các quyết định ảnh hưởng đến CEO? Các giám đốc có thể cấu trúc quy trình phê duyệt như thế nào để có được lợi ích của quy tắc phán đoán kinh doanh?</w:t>
      </w:r>
    </w:p>
    <w:p>
      <w:pPr>
        <w:spacing w:after="80"/>
      </w:pPr>
      <w:r>
        <w:rPr>
          <w:b w:val="0"/>
          <w:i w:val="0"/>
        </w:rPr>
        <w:t>3. Trong trường hợp này, các giám đốc lập luận rằng các cổ đông đã phê chuẩn quyết định, cho họ quyền được bảo vệ bởi quy tắc phán đoán kinh doanh. Tại sao biện pháp bảo vệ này thất bại? Trong tương lai, các giám đốc sẽ cần cấu trúc quy trình phê duyệt như thế nào để có được lợi ích của việc cổ đông phê chuẩn?</w:t>
      </w:r>
    </w:p>
    <w:p>
      <w:pPr>
        <w:spacing w:after="80"/>
      </w:pPr>
      <w:r>
        <w:rPr>
          <w:b w:val="0"/>
          <w:i w:val="0"/>
        </w:rPr>
        <w:t>4. Các giám đốc có thể chứng minh rằng số tiền thù lao là "công bằng" như thế nào? Các tiêu chuẩn để chứng minh tính công bằng của thù lao CEO có giống nhau không?</w:t>
      </w:r>
    </w:p>
    <w:p>
      <w:pPr>
        <w:spacing w:after="80"/>
      </w:pPr>
      <w:r>
        <w:rPr>
          <w:b w:val="0"/>
          <w:i w:val="0"/>
        </w:rPr>
        <w:t xml:space="preserve">5. Giả sử quy tắc phán đoán kinh doanh được áp dụng cho các quyết định về thù lao giám đốc, tiêu chuẩn pháp lý để thách thức các khoản thanh toán là gì? Ví dụ, sẽ dễ dàng như thế nào để lập luận rằng các giám đốc đã được trả quá cao do "sự tham gia tối thiểu và thiếu trình độ chuyên môn" của họ? </w:t>
      </w:r>
      <w:r>
        <w:rPr>
          <w:b w:val="0"/>
          <w:i/>
        </w:rPr>
        <w:t>Friedman v. Dolan</w:t>
      </w:r>
      <w:r>
        <w:rPr>
          <w:b w:val="0"/>
          <w:i w:val="0"/>
        </w:rPr>
        <w:t xml:space="preserve"> , CA No. 9425 (Del. Ch. Jan. 23, 2015) (luật Delaware).</w:t>
      </w:r>
    </w:p>
    <w:p>
      <w:pPr>
        <w:pStyle w:val="Heading3"/>
      </w:pPr>
      <w:r>
        <w:rPr>
          <w:rFonts w:ascii="Calibri" w:hAnsi="Calibri"/>
          <w:b/>
          <w:i w:val="0"/>
          <w:sz w:val="26"/>
        </w:rPr>
        <w:t>B. Nghĩa vụ Cẩn trọng</w:t>
      </w:r>
    </w:p>
    <w:p>
      <w:pPr>
        <w:spacing w:after="80"/>
      </w:pPr>
      <w:r>
        <w:rPr>
          <w:b w:val="0"/>
          <w:i w:val="0"/>
        </w:rPr>
        <w:t>Không phải mọi quyết định về thù lao đều thuộc phạm vi của nghĩa vụ trung thành (duty of loyalty). Đôi khi viên chức liên quan không nằm trong hội đồng quản trị. Điều này đúng trong trường hợp của Michael Ovitz tại Disney. Trong những hoàn cảnh đó, tòa án thường áp dụng nghĩa vụ cẩn trọng (duty of care).</w:t>
      </w:r>
    </w:p>
    <w:p>
      <w:pPr>
        <w:pStyle w:val="Heading4"/>
      </w:pPr>
      <w:r>
        <w:rPr>
          <w:rFonts w:ascii="Calibri" w:hAnsi="Calibri"/>
          <w:b/>
          <w:i w:val="0"/>
          <w:sz w:val="23"/>
        </w:rPr>
        <w:t>Brehm v. Eisner</w:t>
      </w:r>
    </w:p>
    <w:p>
      <w:pPr>
        <w:spacing w:after="80"/>
      </w:pPr>
      <w:r>
        <w:rPr>
          <w:b w:val="0"/>
          <w:i w:val="0"/>
        </w:rPr>
        <w:t>Tòa án Tối cao Delaware</w:t>
      </w:r>
      <w:r>
        <w:br/>
      </w:r>
      <w:r>
        <w:rPr>
          <w:b w:val="0"/>
          <w:i w:val="0"/>
        </w:rPr>
        <w:t xml:space="preserve"> 906 A.2d 27 (2006)</w:t>
      </w:r>
    </w:p>
    <w:p>
      <w:pPr>
        <w:spacing w:after="80"/>
      </w:pPr>
      <w:r>
        <w:rPr>
          <w:b w:val="0"/>
          <w:i w:val="0"/>
        </w:rPr>
        <w:t>THẨM PHÁN JACOBS :</w:t>
      </w:r>
    </w:p>
    <w:p>
      <w:pPr>
        <w:spacing w:after="80"/>
      </w:pPr>
      <w:r>
        <w:rPr>
          <w:b w:val="0"/>
          <w:i w:val="0"/>
        </w:rPr>
        <w:t>Vào tháng 8 năm 1995, Michael Ovitz (“Ovitz”) và The Walt Disney Company (“Disney” hay “Công ty”) đã ký kết một thỏa thuận lao động theo đó Ovitz sẽ giữ chức Chủ tịch Disney trong năm năm. Đến tháng 12 năm 1996, chỉ mười bốn tháng sau khi bắt đầu làm việc, Ovitz bị sa thải không có lý do chính đáng, dẫn đến việc Ovitz được chi trả trợ cấp thôi việc trị giá khoảng 130 triệu đô la.</w:t>
      </w:r>
    </w:p>
    <w:p>
      <w:pPr>
        <w:spacing w:after="80"/>
      </w:pPr>
      <w:r>
        <w:rPr>
          <w:b w:val="0"/>
          <w:i w:val="0"/>
        </w:rPr>
        <w:t>* * *</w:t>
      </w:r>
    </w:p>
    <w:p>
      <w:pPr>
        <w:spacing w:after="80"/>
      </w:pPr>
      <w:r>
        <w:rPr>
          <w:b w:val="0"/>
          <w:i w:val="0"/>
        </w:rPr>
        <w:t>Năm 1994, Disney mất đi Chủ tịch kiêm Giám đốc Điều hành (Chief Operating Officer) Frank Wells trong một vụ tai nạn trực thăng bi thảm. Ông Wells cùng với Michael Eisner, Chủ tịch Hội đồng Quản trị kiêm Tổng Giám đốc Điều hành (Chief Executive Officer) của Disney, đã đạt được những thành công đáng kể trong việc lãnh đạo Công ty. Eisner tạm thời đảm nhận chức Chủ tịch Disney, nhưng chỉ ba tháng sau, bệnh tim buộc Eisner phải trải qua ca phẫu thuật bắc cầu bốn nhánh. Hai sự kiện đó đã thuyết phục Eisner và hội đồng quản trị Disney rằng đã đến lúc phải tìm người kế nhiệm Eisner.</w:t>
      </w:r>
    </w:p>
    <w:p>
      <w:pPr>
        <w:spacing w:after="80"/>
      </w:pPr>
      <w:r>
        <w:rPr>
          <w:b w:val="0"/>
          <w:i w:val="0"/>
        </w:rPr>
        <w:t>Ứng viên hàng đầu của Eisner cho vị trí này là Michael Ovitz, đối tác chính và là một trong những người sáng lập Creative Artists Agency (“CAA”), công ty đại diện tài năng hàng đầu có mô hình kinh doanh đã định hình lại toàn bộ ngành công nghiệp. Đến năm 1995, CAA có 550 nhân viên và danh sách khoảng 1400 diễn viên, đạo diễn, biên kịch và nhạc sĩ hàng đầu Hollywood. Danh sách đó tạo ra khoảng 150 triệu đô la doanh thu hàng năm và thu nhập hàng năm hơn 20 triệu đô la cho Ovitz, người được coi là một trong những nhân vật quyền lực nhất ở Hollywood.</w:t>
      </w:r>
    </w:p>
    <w:p>
      <w:pPr>
        <w:spacing w:after="80"/>
      </w:pPr>
      <w:r>
        <w:rPr>
          <w:b w:val="0"/>
          <w:i w:val="0"/>
        </w:rPr>
        <w:t>Eisner và Ovitz đã có mối quan hệ xã hội và nghề nghiệp kéo dài gần 25 năm. Mặc dù trước đây hai người đã từng thảo luận một cách tình cờ về khả năng làm việc cùng nhau, nhưng vào năm 1995, khi Ovitz bắt đầu đàm phán để rời CAA và gia nhập Music Corporation of America (“MCA”), Eisner bắt đầu thực sự quan tâm đến việc chiêu mộ Ovitz về Disney. Eisner đã chia sẻ mong muốn đó với các thành viên hội đồng quản trị Disney trên cơ sở cá nhân.</w:t>
      </w:r>
    </w:p>
    <w:p>
      <w:pPr>
        <w:spacing w:after="80"/>
      </w:pPr>
      <w:r>
        <w:rPr>
          <w:b w:val="0"/>
          <w:i w:val="0"/>
        </w:rPr>
        <w:t>* * *</w:t>
      </w:r>
    </w:p>
    <w:p>
      <w:pPr>
        <w:spacing w:after="80"/>
      </w:pPr>
      <w:r>
        <w:rPr>
          <w:b w:val="0"/>
          <w:i w:val="0"/>
        </w:rPr>
        <w:t>Russell [một giám đốc của Disney và là chủ tịch ủy ban thù lao] đảm nhận vai trò dẫn dắt trong việc đàm phán các điều khoản tài chính của hợp đồng lao động Ovitz. Trong quá trình đàm phán, Russell biết được từ luật sư của Ovitz, Bob Goldman, rằng Ovitz sở hữu 55% cổ phần của CAA và kiếm được khoảng 20 đến 25 triệu đô la mỗi năm từ công ty đó. Ngay từ đầu Ovitz đã nói rõ rằng ông sẽ không từ bỏ 55% cổ phần của mình tại CAA nếu không có “bảo vệ chống rủi ro giảm giá” (downside protection). Sau đó là quá trình đàm phán đáng kể về các vấn đề bảo vệ chống rủi ro giảm giá. Trong suốt mùa hè năm 1995, các bên đã đồng ý với một bản dự thảo của hợp đồng lao động Ovitz (gọi là “OEA”) được mô phỏng theo hợp đồng lao động của Eisner và cố ông Wells. . . .</w:t>
      </w:r>
    </w:p>
    <w:p>
      <w:pPr>
        <w:spacing w:after="80"/>
      </w:pPr>
      <w:r>
        <w:rPr>
          <w:b w:val="0"/>
          <w:i w:val="0"/>
        </w:rPr>
        <w:t>Dự thảo OEA được đề xuất nhằm bảo vệ cả hai bên trong trường hợp việc làm của Ovitz kết thúc sớm, và quy định rằng nếu không có các nguyên nhân được định nghĩa cụ thể, không bên nào có thể chấm dứt thỏa thuận mà không phải chịu hình phạt. Ví dụ, nếu Ovitz tự rời đi vì bất kỳ lý do nào khác ngoài những lý do được cho phép theo OEA, ông sẽ mất mọi quyền lợi còn lại theo OEA và có thể bị cấm làm việc cho đối thủ cạnh tranh. Tương tự, nếu Disney sa thải Ovitz vì bất kỳ lý do nào khác ngoài sơ suất nghiêm trọng hoặc hành vi sai trái, Ovitz sẽ được hưởng khoản thanh toán không do lỗi (Non-Fault Termination hay “NFT”), bao gồm tiền lương còn lại, 7,5 triệu đô la mỗi năm cho các khoản thưởng chưa tích lũy, quyền hưởng đợt quyền chọn đầu tiên ngay lập tức và khoản thanh toán tiền mặt 10 triệu đô la cho đợt quyền chọn thứ hai.</w:t>
      </w:r>
    </w:p>
    <w:p>
      <w:pPr>
        <w:spacing w:after="80"/>
      </w:pPr>
      <w:r>
        <w:rPr>
          <w:b w:val="0"/>
          <w:i w:val="0"/>
        </w:rPr>
        <w:t>* * *</w:t>
      </w:r>
    </w:p>
    <w:p>
      <w:pPr>
        <w:spacing w:after="80"/>
      </w:pPr>
      <w:r>
        <w:rPr>
          <w:b w:val="0"/>
          <w:i w:val="0"/>
        </w:rPr>
        <w:t>Vào ngày 26 tháng 9 năm 1995, ủy ban thù lao của Disney (bao gồm các ông Russell, Watson, Poitier và Lozano) đã họp trong một giờ để xem xét, trong số các mục trong chương trình nghị sự, các điều khoản đề xuất của OEA. Một bảng tóm tắt điều khoản (term sheet) đã được phân phát tại cuộc họp, mặc dù bản dự thảo OEA thì không. Các chủ đề được thảo luận bao gồm các so sánh lịch sử, chẳng hạn như các khoản cấp quyền chọn của Eisner và Wells, và cả các yếu tố mà Russell, Watson và Crystal [một nhà tư vấn thù lao điều hành] đã xem xét khi xác định quy mô của các khoản cấp quyền chọn và các điều khoản chấm dứt hợp đồng. Watson làm chứng rằng ông đã cung cấp cho ủy ban thù lao bảng phân tích bảng tính mà ông đã thực hiện vào tháng 8, và thảo luận các phát hiện của mình với ủy ban. Crystal không tham dự cuộc họp, mặc dù ông sẵn sàng qua điện thoại để trả lời các câu hỏi nếu cần, nhưng không ai từ ủy ban gọi. Sau các bài trình bày của Russell và Watson, Litvack [cố vấn pháp lý chung của Disney] cũng trả lời các câu hỏi thực chất. Tại phiên tòa, Poitier và Lozano làm chứng rằng họ tin rằng họ đã nhận được đủ thông tin từ các bài trình bày của Russell và Watson để đưa ra phán đoán vì lợi ích tốt nhất của Công ty. Ủy ban đã biểu quyết nhất trí phê duyệt các điều khoản của OEA, với điều kiện “đàm phán thêm một cách hợp lý trong khuôn khổ các điều khoản và điều kiện” được mô tả trong OEA.</w:t>
      </w:r>
    </w:p>
    <w:p>
      <w:pPr>
        <w:spacing w:after="80"/>
      </w:pPr>
      <w:r>
        <w:rPr>
          <w:b w:val="0"/>
          <w:i w:val="0"/>
        </w:rPr>
        <w:t>Ngay sau cuộc họp của ủy ban thù lao, hội đồng quản trị Disney đã họp trong phiên họp điều hành. Hội đồng quản trị được thông báo về cơ cấu báo cáo mà Ovitz đã đồng ý, nhưng phản ứng tiêu cực ban đầu của Litvack và Bollenbach [Giám đốc Tài chính của Disney] đối với việc tuyển dụng này đã không được kể lại. Eisner dẫn dắt cuộc thảo luận liên quan đến Ovitz, và sau đó Watson giải thích phân tích của mình, cả Watson và Russell đều trả lời các câu hỏi từ hội đồng quản trị. Sau khi thảo luận thêm, hội đồng quản trị đã biểu quyết nhất trí bầu Ovitz làm Chủ tịch.</w:t>
      </w:r>
    </w:p>
    <w:p>
      <w:pPr>
        <w:spacing w:after="80"/>
      </w:pPr>
      <w:r>
        <w:rPr>
          <w:b w:val="0"/>
          <w:i w:val="0"/>
        </w:rPr>
        <w:t>Tại cuộc họp ngày 26 tháng 9 năm 1995, ủy ban thù lao quyết định sẽ trì hoãn việc cấp chính thức quyền chọn cổ phiếu cho Ovitz cho đến khi các vấn đề tiếp theo giữa Ovitz và Công ty được giải quyết. Điều đó đã được thực hiện, và ủy ban đã họp lại vào ngày 16 tháng 10 năm 1995 để thảo luận các vấn đề liên quan đến quyền chọn cổ phiếu. Ủy ban đã phê duyệt các sửa đổi đối với Kế hoạch Khuyến khích Cổ phiếu năm 1990 của Walt Disney Company (“Kế hoạch 1990”), và cũng phê duyệt một kế hoạch mới, được gọi là Kế hoạch Khuyến khích Cổ phiếu Walt Disney 1995 (“Kế hoạch 1995”). Cả hai kế hoạch đều phải được toàn bộ hội đồng quản trị và các cổ đông phê duyệt thêm. Cả bản sửa đổi đối với Kế hoạch 1990 và Thỏa thuận Quyền chọn Cổ phiếu đều quy định rằng trong trường hợp chấm dứt không do lỗi (“NFT”), các quyền chọn của Ovitz sẽ có thể được thực hiện cho đến ngày muộn hơn giữa ngày 30 tháng 9 năm 2002 hoặc hai mươi bốn tháng sau khi chấm dứt, nhưng trong mọi trường hợp không muộn hơn ngày 16 tháng 10 năm 2005. Sau khi phê duyệt các Kế hoạch đó, ủy ban đã nhất trí phê duyệt các điều khoản của OEA và việc cấp quyền chọn cho Ovitz theo Kế hoạch 1990.</w:t>
      </w:r>
    </w:p>
    <w:p>
      <w:pPr>
        <w:spacing w:after="80"/>
      </w:pPr>
      <w:r>
        <w:rPr>
          <w:b w:val="0"/>
          <w:i w:val="0"/>
        </w:rPr>
        <w:t>B. Màn trình diễn của Ovitz trên cương vị Chủ tịch Disney</w:t>
      </w:r>
    </w:p>
    <w:p>
      <w:pPr>
        <w:spacing w:after="80"/>
      </w:pPr>
      <w:r>
        <w:rPr>
          <w:b w:val="0"/>
          <w:i w:val="0"/>
        </w:rPr>
        <w:t>Nhiệm kỳ của Ovitz trên cương vị Chủ tịch Công ty Walt Disney chính thức bắt đầu vào ngày 1 tháng 10 năm 1995, ngày mà OEA được ký kết. Khi Ovitz nhậm chức, phản ứng ban đầu khá lạc quan, và Ovitz thực sự đã có một số đóng góp tích cực trong thời gian giữ chức Chủ tịch Công ty. Tuy nhiên, đến mùa thu năm 1996, rõ ràng là Ovitz "không phù hợp với các giám đốc điều hành đồng nghiệp của mình." Đến lúc đó, các giám đốc Disney đang bàn bạc rằng sự rạn nứt giữa Ovitz và Công ty có khả năng không thể hàn gắn được và Ovitz sẽ phải bị sa thải.</w:t>
      </w:r>
    </w:p>
    <w:p>
      <w:pPr>
        <w:spacing w:after="80"/>
      </w:pPr>
      <w:r>
        <w:rPr>
          <w:b w:val="0"/>
          <w:i w:val="0"/>
        </w:rPr>
        <w:t>* * *</w:t>
      </w:r>
    </w:p>
    <w:p>
      <w:pPr>
        <w:spacing w:after="80"/>
      </w:pPr>
      <w:r>
        <w:rPr>
          <w:b w:val="0"/>
          <w:i w:val="0"/>
        </w:rPr>
        <w:t>Theo quan điểm của chúng tôi, một cách tiếp cận hữu ích là so sánh những gì thực sự đã xảy ra ở đây với những gì lẽ ra đã xảy ra nếu ủy ban tuân theo một kịch bản "thực hành tốt nhất" (hay "trường hợp tốt nhất"), từ góc độ quy trình. Trong kịch bản "trường hợp tốt nhất", tất cả các thành viên ủy ban lẽ ra đã nhận được, trước hoặc tại cuộc họp đầu tiên của ủy ban vào ngày 26 tháng 9 năm 1995, một bảng tính hoặc tài liệu tương tự do một chuyên gia về thù lao (trong trường hợp này là Graef Crystal) chuẩn bị (hoặc với sự hỗ trợ của ông). Với các giả định khác nhau, thay thế nhau, bảng tính sẽ tiết lộ số tiền mà Ovitz có thể nhận được theo OEA trong từng tình huống có thể lường trước được. Một biến số trong ma trận khả năng đó sẽ là chi phí mà Disney phải chịu cho một trường hợp chấm dứt không do lỗi trong mỗi năm của năm năm trong nhiệm kỳ ban đầu của OEA. Nội dung của bảng tính sẽ được giải thích cho các thành viên ủy ban, hoặc bởi chuyên gia đã chuẩn bị nó hoặc bởi một thành viên ủy ban đồng nghiệp cũng am hiểu về chủ đề này. Bảng tính đó, mà cuối cùng sẽ trở thành một tài liệu kèm theo biên bản cuộc họp của ủy ban thù lao, sẽ tạo thành cơ sở cho các cuộc thảo luận và quyết định của ủy ban.</w:t>
      </w:r>
    </w:p>
    <w:p>
      <w:pPr>
        <w:spacing w:after="80"/>
      </w:pPr>
      <w:r>
        <w:rPr>
          <w:b w:val="0"/>
          <w:i w:val="0"/>
        </w:rPr>
        <w:t>Nếu kịch bản đó được tuân theo, sẽ không có tranh chấp (và không có cơ sở cho kiện tụng) về việc thông tin nào đã được cung cấp cho các thành viên ủy ban hoặc khi nào nó được cung cấp. Đáng tiếc thay, quy trình thông tin và ra quyết định của ủy ban được sử dụng ở đây không được gọn gàng như vậy. Đó là một lý do tại sao Thẩm phán Chancellor kết luận rằng mặc dù quy trình của ủy ban không xuống dưới mức cần thiết để thực hiện đúng nghĩa vụ cẩn trọng (due care), nó vẫn chưa đạt đến mức mà thực hành tốt nhất lẽ ra phải khuyến nghị.</w:t>
      </w:r>
    </w:p>
    <w:p>
      <w:pPr>
        <w:spacing w:after="80"/>
      </w:pPr>
      <w:r>
        <w:rPr>
          <w:b w:val="0"/>
          <w:i w:val="0"/>
        </w:rPr>
        <w:t>Ủy ban thù lao của Disney đã họp hai lần: vào ngày 26 tháng 9 và ngày 16 tháng 10 năm 1995. Biên bản cuộc họp ngày 26 tháng 9 cho thấy ủy ban đã phê duyệt các điều khoản của OEA (lúc đó được thể hiện dưới dạng một thỏa thuận thư), ngoại trừ các khoản cấp quyền chọn (option grants), vốn không được phê duyệt cho đến ngày 16 tháng 10—sau khi kế hoạch khuyến khích cổ phiếu của Disney đã được sửa đổi để cung cấp cho các quyền chọn đó. Tại cuộc họp ngày 26 tháng 9, ủy ban thù lao đã xem xét một "bảng tóm tắt điều khoản" (term sheet), trong đó tóm tắt các điều khoản quan trọng của OEA, có liên quan tiết lộ rằng trong trường hợp chấm dứt không do lỗi, Ovitz sẽ nhận được: (i) giá trị hiện tại của tiền lương của ông (1 triệu đô la mỗi năm) cho phần còn lại của thời hạn hợp đồng, (ii) giá trị hiện tại của các khoản thanh toán tiền thưởng hàng năm của ông (được tính ở mức 7,5 triệu đô la) cho phần còn lại của thời hạn hợp đồng, (iii) một khoản phí chấm dứt hợp đồng 10 triệu đô la, và (iv) việc tăng tốc các quyền chọn của ông đối với 3 triệu cổ phiếu, vốn sẽ trở nên có thể thực hiện ngay lập tức theo giá thị trường.</w:t>
      </w:r>
    </w:p>
    <w:p>
      <w:pPr>
        <w:spacing w:after="80"/>
      </w:pPr>
      <w:r>
        <w:rPr>
          <w:b w:val="0"/>
          <w:i w:val="0"/>
        </w:rPr>
        <w:t>Như vậy, ủy ban thù lao biết rằng trong trường hợp NFT, chỉ riêng khoản trợ cấp thôi việc của Ovitz đã có thể nằm trong khoảng 40 triệu đô la tiền mặt, cộng với giá trị của các quyền chọn được tăng tốc. Vì khoản thanh toán thực tế cho Ovitz là khoảng 130 triệu đô la, trong đó khoảng 38,5 triệu đô la là tiền mặt, giá trị của các quyền chọn tại thời điểm thanh toán NFT sẽ vào khoảng 91,5 triệu đô la. Do đó, vấn đề có thể được đặt ra là liệu các thành viên ủy ban thù lao có biết, vào thời điểm họ phê duyệt OEA, rằng giá trị của thành phần quyền chọn trong gói trợ cấp thôi việc có thể đạt đến mức độ khoảng 92 triệu đô la nếu họ chấm dứt hợp đồng với Ovitz mà không có lý do sau một năm hay không. Hồ sơ chứng cứ cho thấy các thành viên ủy ban đã được thông báo như vậy.</w:t>
      </w:r>
    </w:p>
    <w:p>
      <w:pPr>
        <w:spacing w:after="80"/>
      </w:pPr>
      <w:r>
        <w:rPr>
          <w:b w:val="0"/>
          <w:i w:val="0"/>
        </w:rPr>
        <w:t>Về câu hỏi này, tài liệu chứng minh còn kém xa so với những gì thực hành tốt nhất lẽ ra phải quy định. Không có tài liệu kèm theo biên bản nào tiết lộ, trong một tài liệu duy nhất, giá trị ước tính của các quyền chọn được tăng tốc trong trường hợp chấm dứt NFT sau một năm. Tuy nhiên, thông tin được truyền đạt cho các thành viên ủy ban về chủ đề đó được hỗ trợ bởi các bằng chứng khác, đáng chú ý nhất là lời khai tại phiên tòa của nhiều nhân chứng khác nhau về các bảng tính được chuẩn bị cho các cuộc họp của ủy ban thù lao.</w:t>
      </w:r>
    </w:p>
    <w:p>
      <w:pPr>
        <w:spacing w:after="80"/>
      </w:pPr>
      <w:r>
        <w:rPr>
          <w:b w:val="0"/>
          <w:i w:val="0"/>
        </w:rPr>
        <w:t>Các thành viên ủy ban thù lao thu thập thông tin về mức độ tiềm năng của một khoản thanh toán NFT từ hai nguồn. Nguồn thứ nhất là giá trị của các quyền chọn "chuẩn mực" (benchmark) đã được cấp trước đó cho Eisner và Wells và các định giá của Watson đối với các quyền chọn Ovitz được đề xuất. Các quyền chọn của Ovitz được đặt ở mức 75% tương đương với các quyền chọn đã được cấp trước đó cho Eisner và Frank Wells. Vì ủy ban thù lao đã thiết lập các khoản cấp quyền chọn chuẩn mực trước đó cho Eisner và Wells và biết rõ giá trị của chúng, một phép tính toán học đơn giản sẽ cho họ biết phạm vi giá trị tiềm năng của các quyền chọn Ovitz. Ngoài ra, vào tháng 8 và tháng 9 năm 1995, Watson và Russell đã gặp Graef Crystal để xác định (trong số những việc khác) giá trị của các quyền chọn Ovitz tiềm năng, với các kịch bản khác nhau. Crystal định giá các quyền chọn theo phương pháp Black-Scholes, trong khi Watson sử dụng một thước đo định giá khác. Watson đã ghi lại các tính toán của mình và các giá trị kết quả trên một bộ bảng tính phản ánh lợi nhuận từ quyền chọn mà Ovitz có thể nhận được, dựa trên một loạt các giả định khác nhau về mức tăng giá thị trường chứng khoán. Những bảng tính đó đã được chia sẻ và giải thích cho các thành viên ủy ban tại cuộc họp tháng 9.</w:t>
      </w:r>
    </w:p>
    <w:p>
      <w:pPr>
        <w:spacing w:after="80"/>
      </w:pPr>
      <w:r>
        <w:rPr>
          <w:b w:val="0"/>
          <w:i w:val="0"/>
        </w:rPr>
        <w:t>Nguồn thông tin thứ hai của ủy ban là số tiền "bảo vệ chống rủi ro giảm giá" (downside protection) mà Ovitz đang yêu cầu. Ovitz yêu cầu sự bảo vệ tài chính khỏi rủi ro rời bỏ một vị trí rất sinh lợi và an toàn tại CAA, nơi ông là đối tác kiểm soát, để gia nhập một công ty đại chúng mà Ovitz còn xa lạ, có văn hóa rất khác biệt và một môi trường ngăn cản ông kiểm soát hoàn toàn vận mệnh của mình. Các thành viên ủy ban biết rằng bằng cách rời CAA và đến Disney, Ovitz sẽ hy sinh các khoản hoa hồng CAA "đã đặt trước" (booked) trị giá 150 đến 200 triệu đô la—một số tiền mà Ovitz yêu cầu như sự bảo vệ chống lại rủi ro rằng mối quan hệ lao động của ông với Disney có thể không thành công. Ovitz muốn ít nhất 50 triệu đô la trong khoản thù lao đó dưới dạng tiền thưởng ký kết "trả trước" (up-front). Nếu khoản tiền thưởng 50 triệu đô la được trả, quy mô của khoản cấp quyền chọn sẽ thấp hơn. Vì điều đó trái với chính sách của Disney, ủy ban thù lao đã từ chối yêu cầu tiền thưởng ký kết trả trước, và thay vào đó chọn thù lao cho Ovitz ở "phía sau" (back end), bằng cách trao cho ông các quyền chọn sẽ được phân bổ dần trong suốt thời hạn năm năm của OEA.</w:t>
      </w:r>
    </w:p>
    <w:p>
      <w:pPr>
        <w:spacing w:after="80"/>
      </w:pPr>
      <w:r>
        <w:rPr>
          <w:b w:val="0"/>
          <w:i w:val="0"/>
        </w:rPr>
        <w:t>Chính trên hồ sơ này mà Thẩm phán Chancellor kết luận rằng ủy ban thù lao đã được thông báo về các sự kiện quan trọng liên quan đến một khoản thanh toán NFT. Nếu được đo lường dựa trên tài liệu lẽ ra được tạo ra nếu "thực hành tốt nhất" được tuân theo, hồ sơ đó còn nhiều điều đáng chê trách. Thẩm phán Chancellor đã thừa nhận điều đó, và chúng tôi cũng vậy. Nhưng Thẩm phán Chancellor cũng kết luận rằng bất chấp những khiếm khuyết của nó, hồ sơ chứng cứ đủ để hỗ trợ kết luận rằng ủy ban thù lao đã tự thông tin đầy đủ về mức độ tiềm năng của toàn bộ gói trợ cấp thôi việc, bao gồm cả các quyền chọn, mà Ovitz sẽ nhận được trong trường hợp NFT sớm.</w:t>
      </w:r>
    </w:p>
    <w:p>
      <w:pPr>
        <w:spacing w:after="80"/>
      </w:pPr>
      <w:r>
        <w:rPr>
          <w:b w:val="0"/>
          <w:i w:val="0"/>
        </w:rPr>
        <w:t>OEA được thiết kế đặc biệt để đền bù cho Ovitz vì đã từ bỏ 150 triệu đến 200 triệu đô la hoa hồng dự kiến từ CAA trong thời hạn hợp đồng OEA năm năm. Điều này có nghĩa là nếu Ovitz bị chấm dứt hợp đồng mà không có lý do, thì càng sớm trong thời hạn hợp đồng việc chấm dứt xảy ra, khoản trợ cấp thôi việc sẽ càng lớn để thay thế các khoản hoa hồng bị mất. Thật vậy, vì Ovitz bị chấm dứt hợp đồng chỉ sau một năm, tổng số tiền trợ cấp thôi việc của ông (khoảng 130 triệu đô la) gần xấp xỉ với mức thấp nhất trong phạm vi hoa hồng bị mất của Ovitz (150 triệu đô la), trừ đi khoản thù lao mà Ovitz nhận được trong năm đầu tiên và duy nhất của mình trên cương vị Chủ tịch Disney. Theo đó, Tòa án Chancery có đủ cơ sở chứng cứ trong hồ sơ để kết luận rằng, vào thời điểm họ phê duyệt OEA, các thành viên ủy ban thù lao đã được thông tin đầy đủ về mức độ tiềm năng của một khoản thanh toán trợ cấp thôi việc NFT sớm.</w:t>
      </w:r>
    </w:p>
    <w:p>
      <w:pPr>
        <w:pStyle w:val="Heading5"/>
      </w:pPr>
      <w:r>
        <w:rPr>
          <w:rFonts w:ascii="Calibri" w:hAnsi="Calibri"/>
          <w:b/>
          <w:i/>
          <w:sz w:val="22"/>
        </w:rPr>
        <w:t>Bình luận và Câu hỏi</w:t>
      </w:r>
    </w:p>
    <w:p>
      <w:pPr>
        <w:spacing w:after="80"/>
      </w:pPr>
      <w:r>
        <w:rPr>
          <w:b w:val="0"/>
          <w:i w:val="0"/>
        </w:rPr>
        <w:t>1. Liệu vụ án này có nên được phân tích theo nghĩa vụ trung thành (duty of loyalty) không? Nguyên đơn chắc chắn đã lập luận rằng nên như vậy. Nguyên đơn khẳng định rằng Eisner, Tổng giám đốc điều hành, có lợi ích trong giao dịch vì ông sẽ được hưởng lợi từ khoản thù lao cao được trả cho Ovitz. Tuy nhiên, tòa án đã bác bỏ lập luận đó.</w:t>
      </w:r>
    </w:p>
    <w:p>
      <w:pPr>
        <w:spacing w:after="80"/>
      </w:pPr>
      <w:r>
        <w:rPr>
          <w:b w:val="0"/>
          <w:i w:val="0"/>
        </w:rPr>
        <w:t>Lý thuyết của nguyên đơn là Eisner đang thúc đẩy lợi ích của Ovitz chủ yếu vì một hợp đồng hào phóng cho Ovitz sẽ mang lại lợi ích cho Eisner, vì Eisner qua đó sẽ đạt được lợi thế trong nỗ lực của mình nhằm được tăng thù lao của chính mình một cách hào phóng. Lý thuyết này dường như mang tính chất của câu châm ngôn xưa rằng "thủy triều lên thì mọi con thuyền đều nổi." Nhưng cuối cùng, lý thuyết này không được hỗ trợ bởi các sự kiện được trình bày đầy đủ, mà chỉ là những cáo buộc mang tính kết luận.</w:t>
      </w:r>
    </w:p>
    <w:p>
      <w:pPr>
        <w:spacing w:after="80"/>
      </w:pPr>
      <w:r>
        <w:rPr>
          <w:b w:val="0"/>
          <w:i/>
        </w:rPr>
        <w:t>Brehm v. Eisner</w:t>
      </w:r>
      <w:r>
        <w:rPr>
          <w:b w:val="0"/>
          <w:i w:val="0"/>
        </w:rPr>
        <w:t xml:space="preserve"> , 746 A.2d 244 (Del. 2000). Bạn nghĩ gì về lập luận này?</w:t>
      </w:r>
    </w:p>
    <w:p>
      <w:pPr>
        <w:spacing w:after="80"/>
      </w:pPr>
      <w:r>
        <w:rPr>
          <w:b w:val="0"/>
          <w:i w:val="0"/>
        </w:rPr>
        <w:t>2. Tuy nhiên, nguyên đơn cũng cáo buộc rằng Eisner quan tâm đến thương vụ này vì tình bạn thân thiết của ông với Ovitz. Tòa án Chancery đã bác bỏ lập luận này như sau:</w:t>
      </w:r>
    </w:p>
    <w:p>
      <w:pPr>
        <w:spacing w:after="80"/>
      </w:pPr>
      <w:r>
        <w:rPr>
          <w:b w:val="0"/>
          <w:i w:val="0"/>
        </w:rPr>
        <w:t>Nguyên đơn cho rằng mối quan hệ cá nhân lâu dài của Eisner với Ovitz khiến ông trở nên có quyền lợi liên quan trong việc giành được sự chấp thuận của Hội đồng quản trị đối với Thỏa thuận Việc làm. Tuy nhiên, lập luận này không có cơ sở theo luật Delaware. Việc Eisner có mối quan hệ cá nhân và kinh doanh lâu năm với Ovitz không thể phủ nhận giả định về tính độc lập mà tất cả các giám đốc, kể cả Eisner, đều được hưởng.</w:t>
      </w:r>
    </w:p>
    <w:p>
      <w:pPr>
        <w:spacing w:after="80"/>
      </w:pPr>
      <w:r>
        <w:rPr>
          <w:b w:val="0"/>
          <w:i/>
        </w:rPr>
        <w:t>In re Walt Disney Co. Derivative Litig.</w:t>
      </w:r>
      <w:r>
        <w:rPr>
          <w:b w:val="0"/>
          <w:i w:val="0"/>
        </w:rPr>
        <w:t xml:space="preserve"> , 731 A.2d 342 (Del. Ch. 1998), </w:t>
      </w:r>
      <w:r>
        <w:rPr>
          <w:b w:val="0"/>
          <w:i/>
        </w:rPr>
        <w:t>See In re The Walt Disney Co. Derivative Litig.</w:t>
      </w:r>
      <w:r>
        <w:rPr>
          <w:b w:val="0"/>
          <w:i w:val="0"/>
        </w:rPr>
        <w:t xml:space="preserve"> , 731 A.2d 342, 356 (Del. Ch. 1998), </w:t>
      </w:r>
      <w:r>
        <w:rPr>
          <w:b w:val="0"/>
          <w:i/>
        </w:rPr>
        <w:t>aff'd in part, rev'd in part sub nom. Brehm v. Eisner</w:t>
      </w:r>
      <w:r>
        <w:rPr>
          <w:b w:val="0"/>
          <w:i w:val="0"/>
        </w:rPr>
        <w:t xml:space="preserve"> , 746 A.2d 244, 253 (Del. 2000). Nói cách khác, Tòa án Chancery cho rằng tình bạn và các mối quan hệ kinh doanh bên ngoài không đủ về mặt pháp lý để khiến một giám đốc trở nên có quyền lợi liên quan. Bạn nghĩ gì về phân tích này? Khi kháng cáo, Tòa án Tối cao Delaware dường như khẳng định lập trường này. </w:t>
      </w:r>
      <w:r>
        <w:rPr>
          <w:b w:val="0"/>
          <w:i/>
        </w:rPr>
        <w:t>See Brehm v. Eisner</w:t>
      </w:r>
      <w:r>
        <w:rPr>
          <w:b w:val="0"/>
          <w:i w:val="0"/>
        </w:rPr>
        <w:t xml:space="preserve"> , 746 A.2d 244, 258 (Del. 2000) (“Tòa án Chancery đã phán quyết rằng ‘không thể tồn tại nghi ngờ hợp lý nào về việc Eisner không có quyền lợi liên quan trong việc phê duyệt Thỏa thuận Việc làm, như một vấn đề pháp lý,’ . . . Nguyên đơn phản đối kết luận này, nhưng chúng tôi đồng ý với Tòa án Chancery và chúng tôi khẳng định phán quyết đó.”). Trong phạm vi cho rằng tình bạn không bao giờ có thể khiến một giám đốc trở nên “có quyền lợi liên quan” hoặc tước đi tính độc lập của giám đốc đó, liệu lập trường này có thể dung hòa với phân tích trong </w:t>
      </w:r>
      <w:r>
        <w:rPr>
          <w:b w:val="0"/>
          <w:i/>
        </w:rPr>
        <w:t>Beam v. Stewart</w:t>
      </w:r>
      <w:r>
        <w:rPr>
          <w:b w:val="0"/>
          <w:i w:val="0"/>
        </w:rPr>
        <w:t xml:space="preserve"> , 845 A.2d 1040 (Del. 2004) không?</w:t>
      </w:r>
    </w:p>
    <w:p>
      <w:pPr>
        <w:spacing w:after="80"/>
      </w:pPr>
      <w:r>
        <w:rPr>
          <w:b w:val="0"/>
          <w:i w:val="0"/>
        </w:rPr>
        <w:t xml:space="preserve">3. Nếu Eisner được coi là một giám đốc “có quyền lợi liên quan”, liệu hội đồng quản trị có độc lập không? Các thành viên bao gồm một quản trị viên tại trường tiểu học nơi CEO của Disney cho con theo học và Hiệu trưởng một trường đại học nơi CEO đã đóng góp hơn một triệu đô la. </w:t>
      </w:r>
      <w:r>
        <w:rPr>
          <w:b w:val="0"/>
          <w:i/>
        </w:rPr>
        <w:t>See In re The Walt Disney Co. Derivative Litig.</w:t>
      </w:r>
      <w:r>
        <w:rPr>
          <w:b w:val="0"/>
          <w:i w:val="0"/>
        </w:rPr>
        <w:t xml:space="preserve"> , 731 A.2d at 356. Chắc chắn, một số người trên thị trường đã có những nghi ngờ. </w:t>
      </w:r>
      <w:r>
        <w:rPr>
          <w:b w:val="0"/>
          <w:i/>
        </w:rPr>
        <w:t>See</w:t>
      </w:r>
      <w:r>
        <w:rPr>
          <w:b w:val="0"/>
          <w:i w:val="0"/>
        </w:rPr>
        <w:t xml:space="preserve"> John A. Byrne, </w:t>
      </w:r>
      <w:r>
        <w:rPr>
          <w:b w:val="0"/>
          <w:i/>
        </w:rPr>
        <w:t>The Best and Worst Boards</w:t>
      </w:r>
      <w:r>
        <w:rPr>
          <w:b w:val="0"/>
          <w:i w:val="0"/>
        </w:rPr>
        <w:t xml:space="preserve"> , Bus. Wk., Dec. 8, 1997, at 90 (“Các giám đốc của Disney đã giành được danh hiệu đáng ngờ là hội đồng quản trị tệ nhất nước Mỹ trong phân tích thường niên lần thứ hai của Business Week về tình hình quản trị doanh nghiệp.”). Tuy nhiên, Tòa án Chancery kết luận rằng hội đồng quản trị độc lập.</w:t>
      </w:r>
    </w:p>
    <w:p>
      <w:pPr>
        <w:spacing w:after="80"/>
      </w:pPr>
      <w:r>
        <w:rPr>
          <w:b w:val="0"/>
          <w:i w:val="0"/>
        </w:rPr>
        <w:t>4. Nếu vụ án được xem xét theo phân tích công bằng, liệu nó có tạo ra sự khác biệt gì không? Liệu tính “công bằng” của gói thù lao có bao giờ được xem xét không?</w:t>
      </w:r>
    </w:p>
    <w:p>
      <w:pPr>
        <w:spacing w:after="80"/>
      </w:pPr>
      <w:r>
        <w:rPr>
          <w:b w:val="0"/>
          <w:i w:val="0"/>
        </w:rPr>
        <w:t>5. Vụ án này cho chúng ta biết điều gì về khó khăn trong việc thách thức một quyết định thù lao theo nghĩa vụ cẩn trọng? Các giám đốc phải “được thông tin” đến mức nào để đạt yêu cầu theo nghĩa vụ này?</w:t>
      </w:r>
    </w:p>
    <w:p>
      <w:pPr>
        <w:spacing w:after="80"/>
      </w:pPr>
      <w:r>
        <w:rPr>
          <w:b w:val="0"/>
          <w:i w:val="0"/>
        </w:rPr>
        <w:t>6. Tòa án cho rằng ủy ban thù lao đã được thông tin một phần vì họ biết rằng Ovitz sẽ muốn được bồi thường cho các khoản hoa hồng mà ông để lại tại CAA, một khoản tiền được ước tính từ $150 đến $200 triệu. Giả sử đúng như vậy, liệu có bằng chứng nào cho thấy, vào thời điểm đưa ra quyết định thù lao, ủy ban biết rằng Ovitz sẽ nhận được khoản tiền gần bằng con số này nếu ông rời đi một năm sau đó không?</w:t>
      </w:r>
    </w:p>
    <w:p>
      <w:pPr>
        <w:spacing w:after="80"/>
      </w:pPr>
      <w:r>
        <w:rPr>
          <w:b w:val="0"/>
          <w:i w:val="0"/>
        </w:rPr>
        <w:t>7. Có sự căng thẳng nào giữa các nghĩa vụ pháp lý phải được thông tin và “các thông lệ tốt nhất” không? Các hội đồng quản trị có động lực nào để thực hiện “các thông lệ tốt nhất” không?</w:t>
      </w:r>
    </w:p>
    <w:p>
      <w:pPr>
        <w:spacing w:after="80"/>
      </w:pPr>
      <w:r>
        <w:rPr>
          <w:b w:val="0"/>
          <w:i w:val="0"/>
        </w:rPr>
        <w:t>8. Tòa án cũng xem xét liệu việc chỉ ủy ban thù lao, thay vì toàn bộ hội đồng quản trị, phê duyệt gói thù lao trao cho Ovitz có phù hợp không. Tòa án trả lời như sau:</w:t>
      </w:r>
    </w:p>
    <w:p>
      <w:pPr>
        <w:spacing w:after="80"/>
      </w:pPr>
      <w:r>
        <w:rPr>
          <w:b w:val="0"/>
          <w:i w:val="0"/>
        </w:rPr>
        <w:t>Luật Tổng công ty Delaware (DGCL) trao quyền rõ ràng cho hội đồng quản trị chỉ định các ủy ban và giao phó cho họ một loạt trách nhiệm rộng rãi, có thể bao gồm việc ấn định thù lao điều hành. Không có điều khoản nào trong DGCL bắt buộc toàn bộ hội đồng quản trị phải đưa ra những quyết định đó. Tại Disney, trách nhiệm xem xét và phê duyệt thù lao điều hành được giao cho ủy ban thù lao, khác với toàn bộ hội đồng quản trị. Phán quyết của Thẩm phán Chancery—rằng thù lao điều hành sẽ do ủy ban thù lao ấn định—là đúng về mặt pháp lý.</w:t>
      </w:r>
    </w:p>
    <w:p>
      <w:pPr>
        <w:spacing w:after="80"/>
      </w:pPr>
      <w:r>
        <w:rPr>
          <w:b w:val="0"/>
          <w:i w:val="0"/>
        </w:rPr>
        <w:t>Trên thực tế, điều này cho phép hội đồng quản trị chuyển giao quyết định thù lao cho một ủy ban. Điều này tạo ra sự khác biệt gì? Liệu quyết định này có nên là điều đòi hỏi sự phê duyệt của toàn bộ hội đồng quản trị không?</w:t>
      </w:r>
    </w:p>
    <w:p>
      <w:pPr>
        <w:spacing w:after="80"/>
      </w:pPr>
      <w:r>
        <w:rPr>
          <w:b w:val="0"/>
          <w:i w:val="0"/>
        </w:rPr>
        <w:t>—————</w:t>
      </w:r>
    </w:p>
    <w:p>
      <w:pPr>
        <w:spacing w:after="80"/>
      </w:pPr>
      <w:r>
        <w:rPr>
          <w:b w:val="0"/>
          <w:i w:val="0"/>
        </w:rPr>
        <w:t>Các tòa án dường như xem một hội đồng quản trị như vậy là cung cấp đủ sự bảo vệ cho cổ đông để biện minh cho việc áp dụng quy tắc phán đoán kinh doanh. Tuy nhiên, cách tiếp cận này phụ thuộc vào tính hiệu lực của định nghĩa về giám đốc độc lập.</w:t>
      </w:r>
    </w:p>
    <w:p>
      <w:pPr>
        <w:spacing w:after="80"/>
      </w:pPr>
      <w:r>
        <w:rPr>
          <w:b w:val="0"/>
          <w:i w:val="0"/>
        </w:rPr>
        <w:t>Vấn đề về tính độc lập của giám đốc thường xuất hiện trong bối cảnh miễn trừ yêu cầu, một chủ đề được thảo luận trong Chương 10 . Tuy nhiên, các tòa án sử dụng cùng một phân tích để xác định liệu hội đồng quản trị có độc lập cho mục đích của nghĩa vụ trung thành hay không. Các tòa án ở Delaware giả định rằng các giám đốc độc lập và áp đặt lên nguyên đơn nghĩa vụ phải viện dẫn các sự kiện tạo ra nghi ngờ hợp lý về tính độc lập. Tính độc lập có thể bị mất khi giám đốc bị “ràng buộc” hoặc nằm dưới sự kiểm soát của giám đốc có quyền lợi liên quan và do đó, không thể xem xét thương vụ một cách “khách quan”. Đến lượt mình, sự kiểm soát thường phát sinh khi giám đốc có quyền lợi liên quan có thể chấm dứt một lợi ích trọng yếu. Tính trọng yếu được xác định trên cơ sở chủ quan.</w:t>
      </w:r>
    </w:p>
    <w:p>
      <w:pPr>
        <w:spacing w:after="80"/>
      </w:pPr>
      <w:r>
        <w:rPr>
          <w:b w:val="0"/>
          <w:i w:val="0"/>
        </w:rPr>
        <w:t>Vụ án dưới đây, một trong những phán quyết khác phát sinh từ vụ kiện của cổ đông về hợp đồng giữa Michael Ovitz và Disney, minh họa phân tích mà các tòa án sử dụng để xác định tính độc lập.</w:t>
      </w:r>
    </w:p>
    <w:p>
      <w:pPr>
        <w:pStyle w:val="Heading4"/>
      </w:pPr>
      <w:r>
        <w:rPr>
          <w:rFonts w:ascii="Calibri" w:hAnsi="Calibri"/>
          <w:b/>
          <w:i w:val="0"/>
          <w:sz w:val="23"/>
        </w:rPr>
        <w:t>In re the Walt Disney Co. Derivative Litigation</w:t>
      </w:r>
    </w:p>
    <w:p>
      <w:pPr>
        <w:spacing w:after="80"/>
      </w:pPr>
      <w:r>
        <w:rPr>
          <w:b w:val="0"/>
          <w:i w:val="0"/>
        </w:rPr>
        <w:t>Tòa án Chancery Delaware</w:t>
      </w:r>
      <w:r>
        <w:br/>
      </w:r>
      <w:r>
        <w:rPr>
          <w:b w:val="0"/>
          <w:i w:val="0"/>
        </w:rPr>
        <w:t xml:space="preserve"> 731 A.2d 342 (1998), </w:t>
      </w:r>
      <w:r>
        <w:rPr>
          <w:b w:val="0"/>
          <w:i/>
        </w:rPr>
        <w:t>bị lật lại vì các lý do khác</w:t>
      </w:r>
      <w:r>
        <w:rPr>
          <w:b w:val="0"/>
          <w:i w:val="0"/>
        </w:rPr>
        <w:t xml:space="preserve"> , 746 A.2d 244 (Del. 2000)</w:t>
      </w:r>
    </w:p>
    <w:p>
      <w:pPr>
        <w:spacing w:after="80"/>
      </w:pPr>
      <w:r>
        <w:rPr>
          <w:b w:val="0"/>
          <w:i w:val="0"/>
        </w:rPr>
        <w:t>CHANDLER , THẨM PHÁN CHÁNH</w:t>
      </w:r>
    </w:p>
    <w:p>
      <w:pPr>
        <w:spacing w:after="80"/>
      </w:pPr>
      <w:r>
        <w:rPr>
          <w:b w:val="0"/>
          <w:i w:val="0"/>
        </w:rPr>
        <w:t>2. Cáo buộc Eisner thao túng Hội đồng quản trị</w:t>
      </w:r>
    </w:p>
    <w:p>
      <w:pPr>
        <w:spacing w:after="80"/>
      </w:pPr>
      <w:r>
        <w:rPr>
          <w:b w:val="0"/>
          <w:i w:val="0"/>
        </w:rPr>
        <w:t>Giờ tôi chuyển sang các giám đốc Disney mà Nguyên đơn cáo buộc nằm dưới sự kiểm soát của Eisner, để xem xét liệu họ có thể thực hiện phán đoán kinh doanh của mình một cách độc lập với Eisner hay không.</w:t>
      </w:r>
    </w:p>
    <w:p>
      <w:pPr>
        <w:spacing w:after="80"/>
      </w:pPr>
      <w:r>
        <w:rPr>
          <w:b w:val="0"/>
          <w:i w:val="0"/>
        </w:rPr>
        <w:t>* * *</w:t>
      </w:r>
    </w:p>
    <w:p>
      <w:pPr>
        <w:spacing w:after="80"/>
      </w:pPr>
      <w:r>
        <w:rPr>
          <w:b w:val="0"/>
          <w:i w:val="0"/>
        </w:rPr>
        <w:t>e. Wilson</w:t>
      </w:r>
    </w:p>
    <w:p>
      <w:pPr>
        <w:spacing w:after="80"/>
      </w:pPr>
      <w:r>
        <w:rPr>
          <w:b w:val="0"/>
          <w:i w:val="0"/>
        </w:rPr>
        <w:t>Nguyên đơn cáo buộc rằng giám đốc Gary L. Wilson cũng thiếu tính độc lập với Eisner. Wilson từng làm việc dưới quyền Eisner với tư cách phó chủ tịch điều hành kiêm giám đốc tài chính của Disney từ tháng 7 năm 1985 đến tháng 12 năm 1989, nhận được khoản thù lao đáng kể từ Disney mà theo cáo buộc của Nguyên đơn, Eisner có ảnh hưởng đáng kể. Nguyên đơn cũng khẳng định Wilson mang ơn Eisner vì Eisner, nhờ quyền hạn của mình với tư cách chủ tịch, đã thưởng hậu hĩnh cho Wilson khi ông này nghỉ hưu khỏi Disney. Cuối cùng, Nguyên đơn cáo buộc rằng tính độc lập của Wilson còn bị tổn hại vì vào năm 1995 Disney đã trả $121,122 cho một công ty thiết kế thuộc sở hữu của vợ Wilson.</w:t>
      </w:r>
    </w:p>
    <w:p>
      <w:pPr>
        <w:spacing w:after="80"/>
      </w:pPr>
      <w:r>
        <w:rPr>
          <w:b w:val="0"/>
          <w:i w:val="0"/>
        </w:rPr>
        <w:t>Các khiếu nại của Nguyên đơn không làm dấy lên nghi ngờ hợp lý rằng Wilson có quyền lợi trong Thỏa thuận tuyển dụng [Ovitz]. Bất kỳ quyền lợi nào Wilson có khi rời Disney đều đã được trả cho ông ấy. Không có gì cho thấy Wilson kỳ vọng nhận thêm lợi ích tài chính từ Disney để thuận theo ý muốn của Eisner liên quan đến Thỏa thuận tuyển dụng. Nguyên đơn cũng không đưa ra các tình tiết cụ thể nào khiến người ta suy luận rằng Wilson mang ơn Eisner. Khoản thanh toán $121,122 cho công ty thiết kế của vợ Wilson cho các dịch vụ đã thực hiện là không đáng kể đối với Wilson, một người đã nhận được tiền thưởng và quyền chọn cổ phiếu mà theo chính ước tính của Nguyên đơn, đã mang lại hơn $70 triệu thu nhập thực nhận cho đến nay.</w:t>
      </w:r>
    </w:p>
    <w:p>
      <w:pPr>
        <w:spacing w:after="80"/>
      </w:pPr>
      <w:r>
        <w:rPr>
          <w:b w:val="0"/>
          <w:i w:val="0"/>
        </w:rPr>
        <w:t>f. O'Donovan</w:t>
      </w:r>
    </w:p>
    <w:p>
      <w:pPr>
        <w:spacing w:after="80"/>
      </w:pPr>
      <w:r>
        <w:rPr>
          <w:b w:val="0"/>
          <w:i w:val="0"/>
        </w:rPr>
        <w:t xml:space="preserve">Nguyên đơn cũng cáo buộc rằng Linh mục Leo J. O'Donovan, người chỉ tham gia vào quyết định thực hiện Thỏa thuận tuyển dụng, không có khả năng đưa ra phán đoán kinh doanh độc lập. O'Donovan là chủ tịch Đại học Georgetown, </w:t>
      </w:r>
      <w:r>
        <w:rPr>
          <w:b w:val="0"/>
          <w:i/>
        </w:rPr>
        <w:t>alma mater</w:t>
      </w:r>
      <w:r>
        <w:rPr>
          <w:b w:val="0"/>
          <w:i w:val="0"/>
        </w:rPr>
        <w:t xml:space="preserve"> của một trong các con trai của Eisner và là người nhận hơn $1 triệu tiền quyên góp từ Eisner kể từ năm 1989. Theo đó, Nguyên đơn cáo buộc rằng O'Donovan sẽ không hành động trái với ý muốn của Eisner.</w:t>
      </w:r>
    </w:p>
    <w:p>
      <w:pPr>
        <w:spacing w:after="80"/>
      </w:pPr>
      <w:r>
        <w:rPr>
          <w:b w:val="0"/>
          <w:i w:val="0"/>
        </w:rPr>
        <w:t xml:space="preserve">Trường hợp gần nhất với tình huống của O'Donovan mà Tòa án này từng gặp là trong </w:t>
      </w:r>
      <w:r>
        <w:rPr>
          <w:b w:val="0"/>
          <w:i/>
        </w:rPr>
        <w:t>Lewis v. Fuqua.</w:t>
      </w:r>
      <w:r>
        <w:rPr>
          <w:b w:val="0"/>
          <w:i w:val="0"/>
        </w:rPr>
        <w:t xml:space="preserve"> Tuy nhiên, việc Nguyên đơn dựa vào án lệ đó sẽ là sai lầm. Trong </w:t>
      </w:r>
      <w:r>
        <w:rPr>
          <w:b w:val="0"/>
          <w:i/>
        </w:rPr>
        <w:t>Lewis</w:t>
      </w:r>
      <w:r>
        <w:rPr>
          <w:b w:val="0"/>
          <w:i w:val="0"/>
        </w:rPr>
        <w:t xml:space="preserve"> , giám đốc được cho là không có quyền lợi, Sanford, là Hiệu trưởng Đại học Duke. Duke là bên nhận cam kết quyên góp $10 triệu từ thành viên hội đồng quản trị có quyền chi phối, Fuqua. Tuy nhiên, tồn tại một số khác biệt giúp phân biệt vụ đó với vụ hiện tại. Đầu tiên và quan trọng nhất, Sanford có “nhiều giao dịch chính trị và tài chính” với Fuqua, trong khi Nguyên đơn ở đây không cáo buộc bất kỳ mối quan hệ nào như vậy giữa Eisner và O'Donovan. Thứ hai, Fuqua và Sanford cùng phục vụ với tư cách giám đốc cả trên Hội đồng quản trị mà hành động của họ đang bị thách thức lẫn trên Ban Quản trị Đại học Duke. Mối quan hệ đan xen giữa các vị trí giám đốc như vậy, một tình huống có khả năng dẫn đến nghi ngờ hợp lý về tính độc lập của O'Donovan, không tồn tại ở đây, vì Eisner không có mối quan hệ chính thức nào với Đại học Georgetown. Hai khác biệt này đủ để chứng minh rằng </w:t>
      </w:r>
      <w:r>
        <w:rPr>
          <w:b w:val="0"/>
          <w:i/>
        </w:rPr>
        <w:t>Lewis</w:t>
      </w:r>
      <w:r>
        <w:rPr>
          <w:b w:val="0"/>
          <w:i w:val="0"/>
        </w:rPr>
        <w:t xml:space="preserve"> không áp dụng ở đây.</w:t>
      </w:r>
    </w:p>
    <w:p>
      <w:pPr>
        <w:spacing w:after="80"/>
      </w:pPr>
      <w:r>
        <w:rPr>
          <w:b w:val="0"/>
          <w:i w:val="0"/>
        </w:rPr>
        <w:t xml:space="preserve">Vậy câu hỏi đặt ra là liệu Eisner có gây ảnh hưởng đến O'Donovan đến mức O'Donovan không thể thực hiện phán đoán độc lập với tư cách giám đốc hay không. Nguyên đơn không cáo buộc bất kỳ lợi ích cá nhân nào mà O'Donovan nhận được—thực tế, họ thừa nhận rằng O'Donovan bị cấm, với tư cách là một linh mục Dòng Tên, nhận bất kỳ khoản thù lao giám đốc nào. Nguyên đơn viện dẫn án lệ </w:t>
      </w:r>
      <w:r>
        <w:rPr>
          <w:b w:val="0"/>
          <w:i/>
        </w:rPr>
        <w:t>Kahn v. Tremont Corp.</w:t>
      </w:r>
      <w:r>
        <w:rPr>
          <w:b w:val="0"/>
          <w:i w:val="0"/>
        </w:rPr>
        <w:t xml:space="preserve"> “Việc Eisner hào phóng làm từ thiện cho Georgetown không kém phần khiến người ta mất tư cách hơn so với các thỏa thuận tài chính mà các thành viên ủy ban đặc biệt trong </w:t>
      </w:r>
      <w:r>
        <w:rPr>
          <w:b w:val="0"/>
          <w:i/>
        </w:rPr>
        <w:t>Kahn</w:t>
      </w:r>
      <w:r>
        <w:rPr>
          <w:b w:val="0"/>
          <w:i w:val="0"/>
        </w:rPr>
        <w:t xml:space="preserve"> được hưởng.” Tuy nhiên, trong vụ đó, hai trong số ba thành viên ủy ban đặc biệt nhận được lợi ích tài chính cá nhân trực tiếp từ mối liên hệ với bên có quyền lợi, và người thứ ba tìm cách tham gia vào ban quản trị của các thực thể khác do bên có quyền lợi kiểm soát. Sự khác biệt giữa </w:t>
      </w:r>
      <w:r>
        <w:rPr>
          <w:b w:val="0"/>
          <w:i/>
        </w:rPr>
        <w:t>Kahn</w:t>
      </w:r>
      <w:r>
        <w:rPr>
          <w:b w:val="0"/>
          <w:i w:val="0"/>
        </w:rPr>
        <w:t xml:space="preserve"> và vụ này là rõ ràng, và tôi không tin rằng Nguyên đơn đã đưa ra được nghi ngờ hợp lý về tính độc lập của O'Donovan.</w:t>
      </w:r>
    </w:p>
    <w:p>
      <w:pPr>
        <w:spacing w:after="80"/>
      </w:pPr>
      <w:r>
        <w:rPr>
          <w:b w:val="0"/>
          <w:i w:val="0"/>
        </w:rPr>
        <w:t>g. Bowers</w:t>
      </w:r>
    </w:p>
    <w:p>
      <w:pPr>
        <w:spacing w:after="80"/>
      </w:pPr>
      <w:r>
        <w:rPr>
          <w:b w:val="0"/>
          <w:i w:val="0"/>
        </w:rPr>
        <w:t>Giám đốc Reveta F. Bowers là hiệu trưởng trường tiểu học mà các con của Eisner từng theo học. Nguyên đơn cho rằng vì mức lương giáo viên của Bowers thấp so với thù lao giám đốc và quyền chọn cổ phiếu của bà, “chỉ có phân tích cứng nhắc hình thức hoặc thiển cận nhất” mới xem Bowers là không mang ơn Eisner.</w:t>
      </w:r>
    </w:p>
    <w:p>
      <w:pPr>
        <w:spacing w:after="80"/>
      </w:pPr>
      <w:r>
        <w:rPr>
          <w:b w:val="0"/>
          <w:i w:val="0"/>
        </w:rPr>
        <w:t>Nguyên đơn không nhận ra rằng Tòa án Tối cao Delaware đã phán quyết rằng “những cáo buộc như vậy [về việc trả thù lao giám đốc], nếu không có gì thêm, không xác lập bất kỳ quyền lợi tài chính nào.” Việc làm theo lời thúc giục của Nguyên đơn là gạt bỏ “các quan niệm hình thức về quyền lợi và tính độc lập để thay bằng cách tiếp cận thực tế” một cách rõ ràng sẽ là lật ngược phán quyết của Tòa án Tối cao Delaware.</w:t>
      </w:r>
    </w:p>
    <w:p>
      <w:pPr>
        <w:spacing w:after="80"/>
      </w:pPr>
      <w:r>
        <w:rPr>
          <w:b w:val="0"/>
          <w:i w:val="0"/>
        </w:rPr>
        <w:t>Hơn nữa, làm như vậy sẽ là cản trở việc những người có phương tiện không mấy dư dả tham gia vào ban quản trị của các công ty. Những “người bình thường” như vậy sẽ phải đối mặt với các cáo buộc bị các thành viên hội đồng quản trị khác chi phối, chỉ vì khoản thù lao tương đối lớn mà tư cách thành viên hội đồng quản trị mang lại so với mức lương bên ngoài của họ. Tôi đặc biệt không muốn tạo điều kiện cho kết quả như vậy. Nếu không có gì thêm, Nguyên đơn đã không cáo buộc được các tình tiết dẫn đến nghi ngờ hợp lý về tính độc lập của Bowers.</w:t>
      </w:r>
    </w:p>
    <w:p>
      <w:pPr>
        <w:spacing w:after="80"/>
      </w:pPr>
      <w:r>
        <w:rPr>
          <w:b w:val="0"/>
          <w:i w:val="0"/>
        </w:rPr>
        <w:t>h. Mitchell</w:t>
      </w:r>
    </w:p>
    <w:p>
      <w:pPr>
        <w:spacing w:after="80"/>
      </w:pPr>
      <w:r>
        <w:rPr>
          <w:b w:val="0"/>
          <w:i w:val="0"/>
        </w:rPr>
        <w:t>Nguyên đơn đặt câu hỏi về tính độc lập của Thượng nghị sĩ George J. Mitchell. Mitchell làm cố vấn đặc biệt cho một công ty luật đã được Disney thuê trong nhiều vấn đề khác nhau và đã được trả 122.764 đô la cho các dịch vụ của mình trong năm 1996. Disney cũng đã thuê Mitchell với tư cách cá nhân để cung cấp dịch vụ tư vấn cho Công ty. Nguyên đơn cáo buộc rằng trong năm 1996, Disney đã trả cho Mitchell 50.000 đô la để thực hiện các dịch vụ này. Theo đó, Nguyên đơn cáo buộc rằng Mitchell không có khả năng đưa ra các quyết định kinh doanh độc lập với Eisner.</w:t>
      </w:r>
    </w:p>
    <w:p>
      <w:pPr>
        <w:spacing w:after="80"/>
      </w:pPr>
      <w:r>
        <w:rPr>
          <w:b w:val="0"/>
          <w:i w:val="0"/>
        </w:rPr>
        <w:t>Thứ nhất, Nguyên đơn không chỉ ra rằng Mitchell, với tư cách "cố vấn đặc biệt" (chứ không phải "thành viên hợp danh"), được chia phần trong khoản phí pháp lý trả cho công ty của ông. Thứ hai, Nguyên đơn không cáo buộc rằng khoản phí tư vấn 50.000 đô la thậm chí là trọng yếu đối với Mitchell, một nhân vật pháp lý và chính trị nổi tiếng toàn quốc. Nguyên đơn không cáo buộc bất kỳ sự kiện cụ thể nào làm dấy lên nghi ngờ hợp lý rằng Mitchell đã bỏ phiếu ủng hộ Thỏa thuận Việc làm nhằm đạt được một lợi ích tài chính cụ thể. Nếu không có những cáo buộc như vậy, khẳng định kết luận của Nguyên đơn rằng Mitchell chịu ảnh hưởng của Eisner hoặc có lợi ích liên quan đến bất kỳ khía cạnh nào của Thỏa thuận Việc làm là không đủ về mặt pháp lý để làm dấy lên nghi ngờ hợp lý về tính độc lập của Mitchell.</w:t>
      </w:r>
    </w:p>
    <w:p>
      <w:pPr>
        <w:pStyle w:val="Heading5"/>
      </w:pPr>
      <w:r>
        <w:rPr>
          <w:rFonts w:ascii="Calibri" w:hAnsi="Calibri"/>
          <w:b/>
          <w:i/>
          <w:sz w:val="22"/>
        </w:rPr>
        <w:t>Bình luận và Câu hỏi</w:t>
      </w:r>
    </w:p>
    <w:p>
      <w:pPr>
        <w:spacing w:after="80"/>
      </w:pPr>
      <w:r>
        <w:rPr>
          <w:b w:val="0"/>
          <w:i w:val="0"/>
        </w:rPr>
        <w:t>1. Các giám đốc phải độc lập và không có lợi ích liên quan. Sự khác biệt giữa hai thuật ngữ này là gì?</w:t>
      </w:r>
    </w:p>
    <w:p>
      <w:pPr>
        <w:spacing w:after="80"/>
      </w:pPr>
      <w:r>
        <w:rPr>
          <w:b w:val="0"/>
          <w:i w:val="0"/>
        </w:rPr>
        <w:t>2. Bất chấp kết luận của tòa án rằng hội đồng quản trị có đa số giám đốc độc lập, những người khác dường như không đồng ý. Business Week vào tháng 1 năm 2000 đã gọi hội đồng quản trị của Disney là "tệ nhất ở Mỹ" trong một bảng xếp hạng dựa trên các thông lệ quản trị và lưu ý rằng "[c]ác cổ đông tổ chức muốn Eisner đưa nhiều giám đốc độc lập hơn vào một hội đồng quản trị mà, bất chấp một số cải thiện, vẫn đầy ắp những người bạn thân của Eisner." Điều này gợi ý gì về cách tiếp cận tính độc lập mà các tòa án Delaware sử dụng?</w:t>
      </w:r>
    </w:p>
    <w:p>
      <w:pPr>
        <w:spacing w:after="80"/>
      </w:pPr>
      <w:r>
        <w:rPr>
          <w:b w:val="0"/>
          <w:i w:val="0"/>
        </w:rPr>
        <w:t>3. Nói chung, các tòa án Delaware loại bỏ tư cách độc lập đối với những giám đốc nhận được một nguồn thu nhập trọng yếu từ công ty. Tòa án có áp dụng phân tích này cho hiệu trưởng trường tiểu học mà con của Eisner theo học không? Điều này gợi ý gì về quy tắc liên quan đến phí giám đốc ở Delaware?</w:t>
      </w:r>
    </w:p>
    <w:p>
      <w:pPr>
        <w:spacing w:after="80"/>
      </w:pPr>
      <w:r>
        <w:rPr>
          <w:b w:val="0"/>
          <w:i w:val="0"/>
        </w:rPr>
        <w:t xml:space="preserve">4. Một số mối quan hệ gia đình cũng có thể dẫn đến mất tính độc lập. Ví dụ, một người phối ngẫu phục vụ trong hội đồng quản trị có thể sẽ không được coi là độc lập. Còn những mối quan hệ phi gia đình khác như bạn thân thì sao? Vấn đề này được đề cập trong </w:t>
      </w:r>
      <w:r>
        <w:rPr>
          <w:b w:val="0"/>
          <w:i/>
        </w:rPr>
        <w:t>Beam v. Martha Stewart Living Omnimedia, Inc</w:t>
      </w:r>
      <w:r>
        <w:rPr>
          <w:b w:val="0"/>
          <w:i w:val="0"/>
        </w:rPr>
        <w:t xml:space="preserve"> ., 845 A.2d 1040 (Del. 2004), một vụ án được trình bày trong Chương 10 .</w:t>
      </w:r>
    </w:p>
    <w:p>
      <w:pPr>
        <w:spacing w:after="80"/>
      </w:pPr>
      <w:r>
        <w:rPr>
          <w:b w:val="0"/>
          <w:i w:val="0"/>
        </w:rPr>
        <w:t>5. Thượng nghị sĩ Mitchell làm việc cho một công ty luật đã nhận phí từ Disney. Khi phát hiện rằng các khoản thanh toán không dẫn đến mất tính độc lập, tòa án lưu ý rằng nguyên đơn không chỉ ra rằng Mitchell, với tư cách "cố vấn đặc biệt" (chứ không phải "thành viên hợp danh"), "được chia phần trong khoản phí pháp lý trả cho công ty của ông." Có lẽ tòa án ngụ ý rằng nguyên đơn nên biết điều gì đó về việc phân bổ phí nội bộ trong một công ty luật lớn và việc áp dụng cụ thể các quy tắc này đối với Thượng nghị sĩ Mitchell. Khả năng nguyên đơn có được loại thông tin này mà không qua giai đoạn thu thập chứng cứ là bao nhiêu?</w:t>
      </w:r>
    </w:p>
    <w:p>
      <w:pPr>
        <w:spacing w:after="80"/>
      </w:pPr>
      <w:r>
        <w:rPr>
          <w:b w:val="0"/>
          <w:i w:val="0"/>
        </w:rPr>
        <w:t>6. Còn về phân tích đối với Linh mục O'Donovan, hiệu trưởng Đại học Georgetown thì sao? Eisner đã quyên tặng hơn 1 triệu đô la cho Trường Đại học. Tòa án dường như xem khoản thanh toán (và triển vọng về các khoản thanh toán trong tương lai) là không trọng yếu vì nguyên đơn không cáo buộc rằng Linh mục O'Donovan nhận được bất kỳ lợi ích cá nhân nào từ khoản đóng góp. Có phải trường hợp người đứng đầu một tổ chức phi lợi nhuận chỉ bị ảnh hưởng bởi triển vọng đóng góp nếu người đó sẽ được hưởng lợi cá nhân từ khoản đóng góp? Liệu vụ án này có đặt ra quan điểm rằng các khoản đóng góp, bất kể số tiền của chúng, sẽ không bao giờ dẫn đến mất tính độc lập trừ khi giám đốc được hưởng lợi trực tiếp từ các khoản đóng góp? Bạn có đồng ý với phân tích này không? Trong trường hợp một chủ tịch của một tổ chức phi lợi nhuận thực sự được hưởng lợi từ các khoản đóng góp, làm sao nguyên đơn có thể biết được thông tin đó trước khi bất kỳ giai đoạn thu thập chứng cứ nào diễn ra?</w:t>
      </w:r>
    </w:p>
    <w:p>
      <w:pPr>
        <w:spacing w:after="80"/>
      </w:pPr>
      <w:r>
        <w:rPr>
          <w:b w:val="0"/>
          <w:i w:val="0"/>
        </w:rPr>
        <w:t xml:space="preserve">7. Những loại quan hệ kinh doanh nào sẽ loại bỏ tư cách độc lập của một giám đốc? Trong </w:t>
      </w:r>
      <w:r>
        <w:rPr>
          <w:b w:val="0"/>
          <w:i/>
        </w:rPr>
        <w:t>In re Goldman Sachs</w:t>
      </w:r>
      <w:r>
        <w:rPr>
          <w:b w:val="0"/>
          <w:i w:val="0"/>
        </w:rPr>
        <w:t xml:space="preserve"> , 2011 Del. Ch. LEXIS 151 (ngày 7 tháng 9 năm 2011), một trong các giám đốc của Goldman cũng giữ chức CEO và chủ tịch của một công ty có quan hệ kinh doanh với ngân hàng đầu tư này. Nguyên đơn cáo buộc rằng Goldman đã "thu xếp hoặc cung cấp hàng tỷ euro tài chính cho công ty của ông ấy" và rằng "[c]hỉ riêng trong năm 2007 và 2008, Công ty đã cho [công ty đó] vay với tổng số tiền là 464 triệu euro." Tòa án kết luận rằng bằng chứng không làm dấy lên nghi ngờ hợp lý về tính độc lập của giám đốc. Theo tòa án:</w:t>
      </w:r>
    </w:p>
    <w:p>
      <w:pPr>
        <w:spacing w:after="80"/>
      </w:pPr>
      <w:r>
        <w:rPr>
          <w:b w:val="0"/>
          <w:i w:val="0"/>
        </w:rPr>
        <w:t>Goldman là một ngân hàng đầu tư. Việc "[n]ó cung cấp tài chính cho các công ty . . . lớn không nên gây sốc cho bất kỳ ai. Tuy nhiên đây là tất cả những gì nguyên đơn cáo buộc." Nguyên đơn không đưa ra được các sự kiện cho thấy bất cứ điều gì khác ngoài một loạt giao dịch thị trường đã diễn ra giữa [công ty đó] và Goldman. Ví dụ, Nguyên đơn không cáo buộc rằng [công ty đó] đang nhận được lãi suất chiết khấu đối với các khoản vay từ Goldman, rằng [công ty đó] không thể nhận được tài chính từ bất kỳ người cho vay nào khác, hoặc rằng các khoản vay từ Goldman chiếm một phần đáng kể trong nguồn vốn của [công ty đó].</w:t>
      </w:r>
    </w:p>
    <w:p>
      <w:pPr>
        <w:spacing w:after="80"/>
      </w:pPr>
      <w:r>
        <w:rPr>
          <w:b w:val="0"/>
          <w:i w:val="0"/>
        </w:rPr>
        <w:t>Bạn nghĩ gì về phân tích này? Nó có đúng không?</w:t>
      </w:r>
    </w:p>
    <w:p>
      <w:pPr>
        <w:spacing w:after="80"/>
      </w:pPr>
      <w:r>
        <w:rPr>
          <w:b w:val="0"/>
          <w:i w:val="0"/>
        </w:rPr>
        <w:t xml:space="preserve">8. Vấn đề tính độc lập của giám đốc có thể xuất hiện trong bối cảnh một kiến nghị bác bỏ đơn kiện vì không đưa ra yêu cầu hoặc vì không trình bày được khiếu nại. Trường hợp trước yêu cầu nguyên đơn phải đáp ứng các tiêu chuẩn lập luận cao hơn trong Quy tắc 23.1 trong khi trường hợp sau chỉ cần đáp ứng các tiêu chuẩn lập luận thông báo truyền thống. </w:t>
      </w:r>
      <w:r>
        <w:rPr>
          <w:b w:val="0"/>
          <w:i/>
        </w:rPr>
        <w:t>Xem In re INFOUSA, Inc. Shareholders Litig</w:t>
      </w:r>
      <w:r>
        <w:rPr>
          <w:b w:val="0"/>
          <w:i w:val="0"/>
        </w:rPr>
        <w:t xml:space="preserve"> ., 953 A.2d 963 (Del. Ch. 2007). Những khác biệt này có thể quyết định kết quả không? Điều này có làm nảy sinh thêm bất kỳ hàm ý nào liên quan đến cách tiếp cận của các tòa án đối với tính độc lập của giám đốc không?</w:t>
      </w:r>
    </w:p>
    <w:p>
      <w:pPr>
        <w:pStyle w:val="Heading4"/>
      </w:pPr>
      <w:r>
        <w:rPr>
          <w:rFonts w:ascii="Calibri" w:hAnsi="Calibri"/>
          <w:b/>
          <w:i w:val="0"/>
          <w:sz w:val="23"/>
        </w:rPr>
        <w:t>J. Robert Brown, Jr.,</w:t>
      </w:r>
      <w:r>
        <w:br/>
      </w:r>
      <w:r>
        <w:rPr>
          <w:rFonts w:ascii="Calibri" w:hAnsi="Calibri"/>
          <w:b/>
          <w:i w:val="0"/>
          <w:sz w:val="23"/>
        </w:rPr>
        <w:t xml:space="preserve"> </w:t>
      </w:r>
      <w:r>
        <w:rPr>
          <w:rFonts w:ascii="Calibri" w:hAnsi="Calibri"/>
          <w:b/>
          <w:i/>
          <w:sz w:val="23"/>
        </w:rPr>
        <w:t>Trả lại sự Công bằng cho Thù lao Điều hành</w:t>
      </w:r>
    </w:p>
    <w:p>
      <w:pPr>
        <w:spacing w:after="80"/>
      </w:pPr>
      <w:r>
        <w:rPr>
          <w:b w:val="0"/>
          <w:i w:val="0"/>
        </w:rPr>
        <w:t>84 N.D. L. Rev. 1141, 1149–52 (2008)</w:t>
      </w:r>
    </w:p>
    <w:p>
      <w:pPr>
        <w:spacing w:after="80"/>
      </w:pPr>
      <w:r>
        <w:rPr>
          <w:b w:val="0"/>
          <w:i w:val="0"/>
        </w:rPr>
        <w:t>. . . Các giao dịch liên quan đến thù lao và các xung đột lợi ích khác hiếm khi bị soi xét theo tiêu chuẩn "hoàn toàn công bằng" (entire fairness). Nghĩa vụ nhẹ nhàng buộc hội đồng quản trị phải biện minh cho các khoản thù lao lớn bất thường thường không phải là một phần của phân tích. Thay vào đó, các tòa án Delaware dành cho các quyết định về thù lao sự bảo vệ tuyệt đối của quy tắc phán đoán kinh doanh (business judgment rule) [ngay cả khi tồn tại xung đột lợi ích]. Tiêu chuẩn này khiến các điều khoản thực chất gần như không còn liên quan. Số lượng quyền chọn, mức lương, và quy mô tiền thưởng nói chung không phải là một phần của phân tích. Thay vào đó, vấn đề xoay quanh số lượng giám đốc "độc lập" trong hội đồng quản trị.</w:t>
      </w:r>
    </w:p>
    <w:p>
      <w:pPr>
        <w:spacing w:after="80"/>
      </w:pPr>
      <w:r>
        <w:rPr>
          <w:b w:val="0"/>
          <w:i w:val="0"/>
        </w:rPr>
        <w:t>Các tòa án Delaware đạt đến lập trường này thông qua những mánh khóe pháp lý. Quy tắc phán đoán kinh doanh đại diện cho một sự bảo vệ bao trùm quá rộng, được thiết kế để bảo vệ việc chấp nhận rủi ro của các giám đốc. Hội đồng quản trị biết rằng ngay cả khi họ chấp nhận những rủi ro mà nhìn lại thì thấy là sai lầm và có hại, họ vẫn thoát khỏi trách nhiệm pháp lý. Tuy nhiên, giả định này không được thiết kế để bảo vệ những quyết định được thúc đẩy bởi xung đột lợi ích.</w:t>
      </w:r>
    </w:p>
    <w:p>
      <w:pPr>
        <w:spacing w:after="80"/>
      </w:pPr>
      <w:r>
        <w:rPr>
          <w:b w:val="0"/>
          <w:i w:val="0"/>
        </w:rPr>
        <w:t>Các tòa án Delaware tránh cách tiếp cận truyền thống này [trong bối cảnh thù lao cho ban điều hành] phần lớn bằng cách phớt lờ sự tồn tại của xung đột lợi ích trong quá trình ra quyết định. Không có bất kỳ phân tích thực sự nào, họ mở rộng giả định của quy tắc phán đoán kinh doanh cho các hội đồng quản trị có đa số giám đốc độc lập. Cứ như thể sự hiện diện của đa số này khiến vết nhơ của xung đột tan biến. Tuy nhiên, các tòa án không kèm theo việc mở rộng đó bất kỳ nghĩa vụ nào để loại bỏ hoặc cách ly ảnh hưởng của người có lợi ích liên quan. Thật vậy, quy tắc phán đoán kinh doanh vẫn được áp dụng ngay cả khi các giám đốc có lợi ích liên quan tham gia vào quyết định và bỏ phiếu cho kết quả cuối cùng.</w:t>
      </w:r>
    </w:p>
    <w:p>
      <w:pPr>
        <w:spacing w:after="80"/>
      </w:pPr>
      <w:r>
        <w:rPr>
          <w:b w:val="0"/>
          <w:i w:val="0"/>
        </w:rPr>
        <w:t>Có nhiều vấn đề với cách tiếp cận này. Thứ nhất, nó biến lý do nền tảng của quy tắc phán đoán kinh doanh thành trò hề. Bằng cách để xung đột tồn tại trong quá trình ra quyết định, các tòa án Delaware đã mở rộng giả định bao trùm quá rộng vượt ra ngoài mục tiêu truyền thống là bảo vệ việc chấp nhận rủi ro, để bao gồm cả những quyết định được thúc đẩy bởi xung đột lợi ích. Sự hiện diện đơn thuần của đa số giám đốc "độc lập" không hề chứng minh rằng quyết định không bị ảnh hưởng bởi người có lợi ích liên quan.</w:t>
      </w:r>
    </w:p>
    <w:p>
      <w:pPr>
        <w:spacing w:after="80"/>
      </w:pPr>
      <w:r>
        <w:rPr>
          <w:b w:val="0"/>
          <w:i w:val="0"/>
        </w:rPr>
        <w:t>Thứ hai, dù lợi ích nào đến từ sự hiện diện của các giám đốc độc lập, các tòa án Delaware đã làm rất ít để đảm bảo rằng các giám đốc thực sự độc lập. Họ thường xuyên phớt lờ những sự kiện cho thấy sự thiếu độc lập, bằng cách sử dụng các tiêu chuẩn lập luận quá khắt khe và các bài kiểm tra thiếu nhất quán. Các tòa án dứt khoát từ chối xem xét các mối quan hệ phát sinh từ thiên kiến cấu trúc và phần lớn phớt lờ tình bạn như một cơ sở để tìm ra mối quan hệ gây mất tư cách. Do đó, những hội đồng quản trị được mô tả là độc lập trên thực tế có thể có đa số giám đốc chịu sự kiểm soát và ảnh hưởng của CEO.</w:t>
      </w:r>
    </w:p>
    <w:p>
      <w:pPr>
        <w:spacing w:after="80"/>
      </w:pPr>
      <w:r>
        <w:rPr>
          <w:b w:val="0"/>
          <w:i w:val="0"/>
        </w:rPr>
        <w:t>Thứ ba, quy tắc phán đoán kinh doanh đòi hỏi các giám đốc phải được thông tin đầy đủ. Ngày càng nhiều bằng chứng cho thấy, trong bối cảnh thù lao cho ban điều hành, các quyết định được đưa ra mà thiếu thông tin. Để hỗ trợ các quyết định về thù lao, hội đồng quản trị (hoặc ủy ban thù lao) thường dựa vào báo cáo từ các nhà tư vấn. Các nhà tư vấn thù lao thường không phải là cố vấn trung lập, độc lập, mà là những người biện hộ cho CEO. Trong những trường hợp đó, vai trò của họ có thể ít liên quan đến sự công bằng mà chủ yếu là cung cấp lý lẽ biện minh sau khi sự việc đã rồi (post hoc) cho những khoản thù lao đã được định trước. Ngoài ra, họ có thể có các mối quan hệ kinh doanh khác với công ty làm suy giảm tính trung lập.</w:t>
      </w:r>
    </w:p>
    <w:p>
      <w:pPr>
        <w:pStyle w:val="Heading5"/>
      </w:pPr>
      <w:r>
        <w:rPr>
          <w:rFonts w:ascii="Calibri" w:hAnsi="Calibri"/>
          <w:b/>
          <w:i/>
          <w:sz w:val="22"/>
        </w:rPr>
        <w:t>Bình luận và Câu hỏi</w:t>
      </w:r>
    </w:p>
    <w:p>
      <w:pPr>
        <w:spacing w:after="80"/>
      </w:pPr>
      <w:r>
        <w:rPr>
          <w:b w:val="0"/>
          <w:i w:val="0"/>
        </w:rPr>
        <w:t>1. Cách tiếp cận này có đúng không? Các hội đồng quản trị có đa số giám đốc độc lập có nên được hưởng lợi ích của quy tắc phán đoán kinh doanh khi đưa ra các quyết định về thù lao không? Hãy nêu ưu và nhược điểm của mỗi quan điểm.</w:t>
      </w:r>
    </w:p>
    <w:p>
      <w:pPr>
        <w:spacing w:after="80"/>
      </w:pPr>
      <w:r>
        <w:rPr>
          <w:b w:val="0"/>
          <w:i w:val="0"/>
        </w:rPr>
        <w:t>2. Bài viết nêu rằng theo nghĩa vụ cẩn trọng (duty of care), các điều khoản thực chất của thù lao cho ban điều hành, bao gồm cả số tiền, hiếm khi quan trọng. Điều này có đúng không? Nó có hàm ý gì đối với việc phân tích các quyết định về thù lao?</w:t>
      </w:r>
    </w:p>
    <w:p>
      <w:pPr>
        <w:spacing w:after="80"/>
      </w:pPr>
      <w:r>
        <w:rPr>
          <w:b w:val="0"/>
          <w:i w:val="0"/>
        </w:rPr>
        <w:t>3. Quy tắc phán đoán kinh doanh là một sự bảo vệ bao trùm quá rộng, che chắn các giám đốc khỏi trách nhiệm pháp lý đối với những quyết định đi chệch hướng khi không có xung đột lợi ích. Nói cách khác, giả định này bảo vệ các giám đốc khỏi sự cẩu thả của chính họ để tránh làm nản lòng việc chấp nhận rủi ro. Liệu có thích hợp để áp dụng giả định này khi chỉ có đa số giám đốc là độc lập và khi các giám đốc có ảnh hưởng lợi ích liên quan đang ở vị trí có thể gây ảnh hưởng đến việc ra quyết định của hội đồng quản trị không?</w:t>
      </w:r>
    </w:p>
    <w:p>
      <w:pPr>
        <w:spacing w:after="80"/>
      </w:pPr>
      <w:r>
        <w:rPr>
          <w:b w:val="0"/>
          <w:i w:val="0"/>
        </w:rPr>
        <w:t>4. Liệu phân tích có thay đổi nếu "xung đột lợi ích" được cô lập và loại trừ khỏi quá trình ra quyết định không? Điều này có thực sự loại bỏ được ảnh hưởng của giám đốc có lợi ích liên quan không? Làm thế nào để thực hiện được điều này?</w:t>
      </w:r>
    </w:p>
    <w:p>
      <w:pPr>
        <w:spacing w:after="80"/>
      </w:pPr>
      <w:r>
        <w:rPr>
          <w:b w:val="0"/>
          <w:i w:val="0"/>
        </w:rPr>
        <w:t xml:space="preserve">5. Thành phần then chốt của sự thay đổi trong tiêu chuẩn pháp lý là tính độc lập của hội đồng quản trị. Tính độc lập đòi hỏi rằng "quyết định của một giám đốc phải dựa trên các giá trị nội tại của công ty đối với vấn đề được đưa ra trước hội đồng quản trị, chứ không phải dựa trên những cân nhắc hay ảnh hưởng ngoại lai." </w:t>
      </w:r>
      <w:r>
        <w:rPr>
          <w:b w:val="0"/>
          <w:i/>
        </w:rPr>
        <w:t>Aronson v. Lewis</w:t>
      </w:r>
      <w:r>
        <w:rPr>
          <w:b w:val="0"/>
          <w:i w:val="0"/>
        </w:rPr>
        <w:t xml:space="preserve"> , 473 A.2d 805, 816 (Del. 1984). Theo bài kiểm tra này, các giám đốc mất đi tính độc lập nếu họ có mối quan hệ tài chính trọng yếu mà giám đốc có lợi ích liên quan có thể chấm dứt. Tính trọng yếu được xác định trên cơ sở chủ quan. Hơn nữa, ở giai đoạn lập luận (pleading stage), các cổ đông phải đưa ra bằng chứng cho thấy có nghi ngờ hợp lý về tính độc lập của giám đốc. Những tiêu chuẩn này không phải lúc nào cũng dễ đáp ứng, đặc biệt là ở giai đoạn lập luận. Điều này gợi ý gì về tính độc lập của hội đồng quản trị?</w:t>
      </w:r>
    </w:p>
    <w:p>
      <w:pPr>
        <w:spacing w:after="80"/>
      </w:pPr>
      <w:r>
        <w:rPr>
          <w:b w:val="0"/>
          <w:i w:val="0"/>
        </w:rPr>
        <w:t>6. Bằng cách áp dụng nghĩa vụ cẩn trọng, các tòa án tạo ra động lực để đưa các giám đốc độc lập vào hội đồng quản trị. Liệu đây có phải là lợi ích đủ lớn cho các cổ đông để biện minh cho sự thay đổi trong tiêu chuẩn xem xét đối với các vấn đề thù lao không?</w:t>
      </w:r>
    </w:p>
    <w:p>
      <w:pPr>
        <w:spacing w:after="80"/>
      </w:pPr>
      <w:r>
        <w:rPr>
          <w:b w:val="0"/>
          <w:i w:val="0"/>
        </w:rPr>
        <w:t xml:space="preserve">7. Có cách nào khác để khuyến khích việc sử dụng các giám đốc độc lập mà không nhất thiết phải áp dụng nghĩa vụ cẩn trọng không? Còn việc chuyển nghĩa vụ chứng minh sang cho các cổ đông thì sao? </w:t>
      </w:r>
      <w:r>
        <w:rPr>
          <w:b w:val="0"/>
          <w:i/>
        </w:rPr>
        <w:t>Xem Reis v. Hazelett Strip-Casting Corp.</w:t>
      </w:r>
      <w:r>
        <w:rPr>
          <w:b w:val="0"/>
          <w:i w:val="0"/>
        </w:rPr>
        <w:t xml:space="preserve"> , 2011 Del. Ch. LEXIS 11 (Del. Ch. Jan. 21, 2011) ("Nếu cổ đông kiểm soát cho phép hội đồng quản trị thành lập một ủy ban đặc biệt được trao đầy đủ quyền hạn và hoạt động đúng đắn, hoặc nếu giao dịch được đặt điều kiện dựa trên một cuộc bỏ phiếu đúng đắn của đa số cổ đông thiểu số, thì nghĩa vụ chứng minh có thể được chuyển sang cho nguyên đơn để chứng minh rằng giao dịch đó là không công bằng."). Liệu đây có phải là một cách tiếp cận tốt hơn không? Tại sao có hoặc tại sao không?</w:t>
      </w:r>
    </w:p>
    <w:p>
      <w:pPr>
        <w:pStyle w:val="Heading3"/>
      </w:pPr>
      <w:r>
        <w:rPr>
          <w:rFonts w:ascii="Calibri" w:hAnsi="Calibri"/>
          <w:b/>
          <w:i w:val="0"/>
          <w:sz w:val="26"/>
        </w:rPr>
        <w:t>C. Van an toàn của sự lãng phí</w:t>
      </w:r>
    </w:p>
    <w:p>
      <w:pPr>
        <w:spacing w:after="80"/>
      </w:pPr>
      <w:r>
        <w:rPr>
          <w:b w:val="0"/>
          <w:i w:val="0"/>
        </w:rPr>
        <w:t>"Van an toàn" theo nghĩa vụ cẩn trọng là sự lãng phí (waste). Ngay cả khi thù lao được một hội đồng quản trị độc lập và không có lợi ích liên quan phê duyệt, quyết định đó vẫn có thể cấu thành sự lãng phí. Sự lãng phí về cơ bản thừa nhận rằng ngay cả với quy trình đúng đắn, vẫn có một giới hạn tối đa về mức thù lao mà hội đồng quản trị có thể trao.</w:t>
      </w:r>
    </w:p>
    <w:p>
      <w:pPr>
        <w:spacing w:after="80"/>
      </w:pPr>
      <w:r>
        <w:rPr>
          <w:b w:val="0"/>
          <w:i w:val="0"/>
        </w:rPr>
        <w:t>Đúng là không phải, như các vụ án tiếp theo sẽ minh họa, một tiêu chuẩn dễ đáp ứng.</w:t>
      </w:r>
    </w:p>
    <w:p>
      <w:pPr>
        <w:pStyle w:val="Heading4"/>
      </w:pPr>
      <w:r>
        <w:rPr>
          <w:rFonts w:ascii="Calibri" w:hAnsi="Calibri"/>
          <w:b/>
          <w:i w:val="0"/>
          <w:sz w:val="23"/>
        </w:rPr>
        <w:t>Brehm v. Eisner</w:t>
      </w:r>
    </w:p>
    <w:p>
      <w:pPr>
        <w:spacing w:after="80"/>
      </w:pPr>
      <w:r>
        <w:rPr>
          <w:b w:val="0"/>
          <w:i w:val="0"/>
        </w:rPr>
        <w:t>Tòa án Tối cao Delaware</w:t>
      </w:r>
      <w:r>
        <w:br/>
      </w:r>
      <w:r>
        <w:rPr>
          <w:b w:val="0"/>
          <w:i w:val="0"/>
        </w:rPr>
        <w:t xml:space="preserve"> 906 A.2d 27 (2006)</w:t>
      </w:r>
    </w:p>
    <w:p>
      <w:pPr>
        <w:spacing w:after="80"/>
      </w:pPr>
      <w:r>
        <w:rPr>
          <w:b w:val="0"/>
          <w:i w:val="0"/>
        </w:rPr>
        <w:t>JACOBS, THẨM PHÁN</w:t>
      </w:r>
    </w:p>
    <w:p>
      <w:pPr>
        <w:spacing w:after="80"/>
      </w:pPr>
      <w:r>
        <w:rPr>
          <w:b w:val="0"/>
          <w:i w:val="0"/>
        </w:rPr>
        <w:t xml:space="preserve">V. </w:t>
      </w:r>
      <w:r>
        <w:rPr>
          <w:b w:val="0"/>
          <w:i/>
        </w:rPr>
        <w:t>KHIẾU NẠI VỀ HÀNH VI LÃNG PHÍ TÀI SẢN</w:t>
      </w:r>
    </w:p>
    <w:p>
      <w:pPr>
        <w:spacing w:after="80"/>
      </w:pPr>
      <w:r>
        <w:rPr>
          <w:b w:val="0"/>
          <w:i w:val="0"/>
        </w:rPr>
        <w:t>Khiếu nại cuối cùng của các bên kháng cáo là dù cho việc phê duyệt OEA [thỏa thuận tuyển dụng Ovitz] có được bảo vệ bởi các giả định của quy tắc phán đoán kinh doanh (business judgment rule), thì việc chi trả khoản trợ cấp thôi việc cho Ovitz vẫn cấu thành hành vi lãng phí tài sản. Khiếu nại này bắt nguồn từ học thuyết cho rằng nguyên đơn không bác bỏ được các giả định của quy tắc phán đoán kinh doanh thì không được hưởng bất kỳ biện pháp khắc phục nào, trừ khi giao dịch đó cấu thành hành vi lãng phí tài sản. Tòa án Chancery đã bác bỏ khiếu nại về hành vi lãng phí tài sản của các bên kháng cáo, và các bên kháng cáo cho rằng khi làm như vậy Tòa đã mắc sai lầm.</w:t>
      </w:r>
    </w:p>
    <w:p>
      <w:pPr>
        <w:spacing w:after="80"/>
      </w:pPr>
      <w:r>
        <w:rPr>
          <w:b w:val="0"/>
          <w:i w:val="0"/>
        </w:rPr>
        <w:t>Để thắng kiện về hành vi lãng phí tài sản của công ty, các nguyên đơn phải gánh trách nhiệm chứng minh rằng sự trao đổi đó "quá phiến diện đến mức không một doanh nhân nào có phán đoán thông thường, sáng suốt lại có thể kết luận rằng công ty đã nhận được sự đền đáp thỏa đáng." Khiếu nại về hành vi lãng phí tài sản chỉ phát sinh trong trường hợp hiếm hoi, "vô đạo đức khi các giám đốc tiêu xài hoặc cho đi tài sản của công ty một cách phi lý." Tiêu chuẩn khắt khe này đối với hành vi lãng phí tài sản là hệ quả tất yếu của quan điểm rằng khi các giả định về phán đoán kinh doanh được áp dụng, quyết định của hội đồng quản trị sẽ được giữ nguyên trừ khi nó không thể "được quy cho bất kỳ mục đích kinh doanh hợp lý nào."</w:t>
      </w:r>
    </w:p>
    <w:p>
      <w:pPr>
        <w:spacing w:after="80"/>
      </w:pPr>
      <w:r>
        <w:rPr>
          <w:b w:val="0"/>
          <w:i w:val="0"/>
        </w:rPr>
        <w:t xml:space="preserve">Khiếu nại cho rằng việc chi trả khoản tiền NFT [chấm dứt hợp đồng không do lỗi] cho Ovitz, chỉ riêng điều đó, đã cấu thành hành vi lãng phí tài sản là hoàn toàn vô căn cứ ngay từ bề ngoài, bởi vì vào thời điểm các khoản tiền NFT được chi trả, Disney đã có nghĩa vụ theo hợp đồng phải trả chúng. Việc chi trả một khoản tiền thuộc nghĩa vụ hợp đồng không thể cấu thành hành vi lãng phí tài sản, trừ khi chính nghĩa vụ hợp đồng đó là lãng phí. Theo đó, trọng tâm đúng đắn của việc phân tích hành vi lãng phí tài sản phải là liệu các khoản tiền bắt buộc phải trả trong trường hợp xảy ra NFT có phải là lãng phí </w:t>
      </w:r>
      <w:r>
        <w:rPr>
          <w:b w:val="0"/>
          <w:i/>
        </w:rPr>
        <w:t>ex ante</w:t>
      </w:r>
      <w:r>
        <w:rPr>
          <w:b w:val="0"/>
          <w:i w:val="0"/>
        </w:rPr>
        <w:t xml:space="preserve"> (từ trước) hay không.</w:t>
      </w:r>
    </w:p>
    <w:p>
      <w:pPr>
        <w:spacing w:after="80"/>
      </w:pPr>
      <w:r>
        <w:rPr>
          <w:b w:val="0"/>
          <w:i w:val="0"/>
        </w:rPr>
        <w:t>Các bên kháng cáo cho rằng các điều khoản NFT của OEA là lãng phí vì chúng tạo động lực cho Ovitz làm việc kém cỏi để được chi trả theo các điều khoản NFT. Thẩm phán Chancellor đã phát hiện rằng hồ sơ vụ án không ủng hộ lập luận đó:</w:t>
      </w:r>
    </w:p>
    <w:p>
      <w:pPr>
        <w:spacing w:after="80"/>
      </w:pPr>
      <w:r>
        <w:rPr>
          <w:b w:val="0"/>
          <w:i w:val="0"/>
        </w:rPr>
        <w:t>Việc chấm dứt hợp đồng với Ovitz và chi trả NFT không cấu thành hành vi lãng phí tài sản bởi vì ông ta không thể bị chấm dứt hợp đồng vì lý do chính đáng và bởi vì nhiều bị đơn đã đưa ra lời khai đáng tin cậy rằng Công ty sẽ tốt hơn nếu không có Ovitz, nghĩa là tôi không thể kết luận rằng việc chấm dứt hợp đồng và nhận các quyền lợi NFT dẫn đến "một sự trao đổi quá phiến diện đến mức không một doanh nhân nào có phán đoán thông thường, sáng suốt lại có thể kết luận rằng công ty đã nhận được sự đền đáp thỏa đáng," hay một tình huống mà các bị đơn đã "tiêu xài hoặc cho đi tài sản của công ty một cách phi lý." Nói cách khác, các bị đơn đã không thực hiện hành vi lãng phí tài sản.</w:t>
      </w:r>
    </w:p>
    <w:p>
      <w:pPr>
        <w:spacing w:after="80"/>
      </w:pPr>
      <w:r>
        <w:rPr>
          <w:b w:val="0"/>
          <w:i w:val="0"/>
        </w:rPr>
        <w:t>Các bên kháng cáo lập luận rằng phán quyết đó là sai lầm, bởi vì các điều khoản NFT của OEA đã lãng phí ngay trong chính thiết kế của chúng. Cụ thể, OEA đã cho Ovitz mọi động lực để rời khỏi Công ty trước khi phục vụ hết nhiệm kỳ của hợp đồng. Các bên kháng cáo cho rằng mặc dù OEA có thể đã thuyết phục được Ovitz gia nhập Disney với tư cách Chủ tịch, nhưng không có biện pháp bảo đảm hợp đồng nào được đặt ra để giữ ông ta ở vị trí đó. Về bản chất, các bên kháng cáo cho rằng các điều khoản NFT của OEA đã tạo ra một động lực phi lý để Ovitz tự khiến mình bị sa thải.</w:t>
      </w:r>
    </w:p>
    <w:p>
      <w:pPr>
        <w:spacing w:after="80"/>
      </w:pPr>
      <w:r>
        <w:rPr>
          <w:b w:val="0"/>
          <w:i w:val="0"/>
        </w:rPr>
        <w:t>Khiếu nại đó không thể nào đáp ứng được rào cản cao cần thiết để xác lập hành vi lãng phí tài sản. Việc phê duyệt các điều khoản NFT trong OEA có một mục đích kinh doanh hợp lý: thuyết phục Ovitz rời khỏi CAA, với cái giá mà nếu không thì sẽ rất đắt đỏ đối với ông ta, để gia nhập Disney. Thẩm phán Chancellor đã phát hiện rằng bằng chứng không ủng hộ bất kỳ quan điểm nào cho rằng OEA đã tạo động lực phi lý để Ovitz tự khiến mình bị sa thải. Ovitz không có quyền kiểm soát việc liệu ông ta có bị sa thải hay không, dù là có lý do chính đáng hay không. Để cho rằng vào thời điểm ký kết OEA, Ovitz sẽ dàn dựng một cuộc ra đi sớm với cái giá là danh tiếng phi thường của ông ta trong ngành giải trí và tình bạn lâu dài với Eisner, thì không chỉ viển vông mà còn không có bằng chứng trong hồ sơ. Thực vậy, Thẩm phán Chancellor đã phát hiện rằng "thật vô lý một cách rõ ràng khi cho rằng Ovitz có ý định làm việc kém cỏi vừa đủ để bị sa thải nhanh chóng, nhưng không kém cỏi đến mức ông ta có thể bị chấm dứt hợp đồng vì lý do chính đáng."</w:t>
      </w:r>
    </w:p>
    <w:p>
      <w:pPr>
        <w:spacing w:after="80"/>
      </w:pPr>
      <w:r>
        <w:rPr>
          <w:b w:val="0"/>
          <w:i w:val="0"/>
        </w:rPr>
        <w:t>Chúng tôi đồng ý. Bởi vì các bên kháng cáo đã không chứng minh được rằng việc phê duyệt các điều khoản NFT của OEA không phải là một quyết định kinh doanh hợp lý, nên khiếu nại về hành vi lãng phí tài sản của họ phải bị bác bỏ.</w:t>
      </w:r>
    </w:p>
    <w:p>
      <w:pPr>
        <w:pStyle w:val="Heading5"/>
      </w:pPr>
      <w:r>
        <w:rPr>
          <w:rFonts w:ascii="Calibri" w:hAnsi="Calibri"/>
          <w:b/>
          <w:i/>
          <w:sz w:val="22"/>
        </w:rPr>
        <w:t>Bình luận và Câu hỏi</w:t>
      </w:r>
    </w:p>
    <w:p>
      <w:pPr>
        <w:spacing w:after="80"/>
      </w:pPr>
      <w:r>
        <w:rPr>
          <w:b w:val="0"/>
          <w:i w:val="0"/>
        </w:rPr>
        <w:t xml:space="preserve">1. Các tòa án đã mô tả hành vi lãng phí tài sản là một "giới hạn ngoài cùng." </w:t>
      </w:r>
      <w:r>
        <w:rPr>
          <w:b w:val="0"/>
          <w:i/>
        </w:rPr>
        <w:t>Xem In re Citigroup Inc. Shareholder Derivative Litig.</w:t>
      </w:r>
      <w:r>
        <w:rPr>
          <w:b w:val="0"/>
          <w:i w:val="0"/>
        </w:rPr>
        <w:t>, 964 A.2d 106 (Del. Ch. 2009) (lưu ý rằng hành vi lãng phí tài sản là một "'giới hạn ngoài cùng' đối với quyền tùy nghi của hội đồng quản trị trong việc ấn định thù lao cho ban điều hành"). Điều đó có nghĩa là gì và tại sao, về mặt khái niệm, đây lại là một yếu tố đồng hành cần thiết với quy tắc phán đoán kinh doanh theo định hướng quy trình?</w:t>
      </w:r>
    </w:p>
    <w:p>
      <w:pPr>
        <w:spacing w:after="80"/>
      </w:pPr>
      <w:r>
        <w:rPr>
          <w:b w:val="0"/>
          <w:i w:val="0"/>
        </w:rPr>
        <w:t>2. Bạn nghĩ gì về tiêu chuẩn đối với hành vi lãng phí tài sản được đưa ra trong phán quyết này? Nó áp đặt loại trách nhiệm nào lên các cổ đông? Liệu tiêu chuẩn này có thực sự áp đặt một giới hạn ngoài cùng đối với thù lao của ban điều hành không?</w:t>
      </w:r>
    </w:p>
    <w:p>
      <w:pPr>
        <w:spacing w:after="80"/>
      </w:pPr>
      <w:r>
        <w:rPr>
          <w:b w:val="0"/>
          <w:i w:val="0"/>
        </w:rPr>
        <w:t xml:space="preserve">3. Liệu các cổ đông có thể chứng minh sự lãng phí bằng cách lập luận rằng mức thù lao là quá cao vì các viên chức "không đi đâu cả"? Nói cách khác, không cần thiết phải trả những khoản tiền đáng kể vì số tiền đó là không cần thiết để giữ chân các viên chức? Để có chút hiểu biết, xem </w:t>
      </w:r>
      <w:r>
        <w:rPr>
          <w:b w:val="0"/>
          <w:i/>
        </w:rPr>
        <w:t>Friedman v. Dolan</w:t>
      </w:r>
      <w:r>
        <w:rPr>
          <w:b w:val="0"/>
          <w:i w:val="0"/>
        </w:rPr>
        <w:t xml:space="preserve"> , CA No. 9425 (Del. Ch. Jan. 23, 2015) (luật Delaware).</w:t>
      </w:r>
    </w:p>
    <w:p>
      <w:pPr>
        <w:spacing w:after="80"/>
      </w:pPr>
      <w:r>
        <w:rPr>
          <w:b w:val="0"/>
          <w:i w:val="0"/>
        </w:rPr>
        <w:t xml:space="preserve">4. Một nhà bình luận khẳng định rằng học thuyết này "về cơ bản nằm im không được dùng đến. . . ." Andrea M. Matwyshyn, </w:t>
      </w:r>
      <w:r>
        <w:rPr>
          <w:b w:val="0"/>
          <w:i/>
        </w:rPr>
        <w:t>Imagining the Intangible</w:t>
      </w:r>
      <w:r>
        <w:rPr>
          <w:b w:val="0"/>
          <w:i w:val="0"/>
        </w:rPr>
        <w:t xml:space="preserve"> , 34 Del. J. Corp. L. 965, 1004 (2009). Điều này có phải là không thể tránh khỏi? Điều này cho chúng ta biết gì về cách các tòa án Delaware giải thích tiêu chuẩn này?</w:t>
      </w:r>
    </w:p>
    <w:p>
      <w:pPr>
        <w:spacing w:after="80"/>
      </w:pPr>
      <w:r>
        <w:rPr>
          <w:b w:val="0"/>
          <w:i w:val="0"/>
        </w:rPr>
        <w:t>5. Một khiếu nại về sự lãng phí sẽ có khả năng được xử lý như thế nào theo một điều khoản miễn trừ trách nhiệm? Mặc dù điều khoản này loại trừ cụ thể thiện chí và nghĩa vụ trung thành, nhưng nó không đề cập cụ thể đến sự lãng phí.</w:t>
      </w:r>
    </w:p>
    <w:p>
      <w:pPr>
        <w:spacing w:after="80"/>
      </w:pPr>
      <w:r>
        <w:rPr>
          <w:b w:val="0"/>
          <w:i w:val="0"/>
        </w:rPr>
        <w:t>—————</w:t>
      </w:r>
    </w:p>
    <w:p>
      <w:pPr>
        <w:spacing w:after="80"/>
      </w:pPr>
      <w:r>
        <w:rPr>
          <w:b w:val="0"/>
          <w:i w:val="0"/>
        </w:rPr>
        <w:t>Các khiếu nại về sự lãng phí rất khó để thắng. Chỉ trong một vài trường hợp các tòa án đã cho phép chúng được tiến hành. Vụ án sau đây là một ví dụ về một trường hợp đã thành công.</w:t>
      </w:r>
    </w:p>
    <w:p>
      <w:pPr>
        <w:pStyle w:val="Heading4"/>
      </w:pPr>
      <w:r>
        <w:rPr>
          <w:rFonts w:ascii="Calibri" w:hAnsi="Calibri"/>
          <w:b/>
          <w:i w:val="0"/>
          <w:sz w:val="23"/>
        </w:rPr>
        <w:t>In re InfoUSA</w:t>
      </w:r>
    </w:p>
    <w:p>
      <w:pPr>
        <w:spacing w:after="80"/>
      </w:pPr>
      <w:r>
        <w:rPr>
          <w:b w:val="0"/>
          <w:i w:val="0"/>
        </w:rPr>
        <w:t>Tòa án Chancery Delaware</w:t>
      </w:r>
      <w:r>
        <w:br/>
      </w:r>
      <w:r>
        <w:rPr>
          <w:b w:val="0"/>
          <w:i w:val="0"/>
        </w:rPr>
        <w:t xml:space="preserve"> 953 A.2d 963 (2007)</w:t>
      </w:r>
    </w:p>
    <w:p>
      <w:pPr>
        <w:spacing w:after="80"/>
      </w:pPr>
      <w:r>
        <w:rPr>
          <w:b w:val="0"/>
          <w:i w:val="0"/>
        </w:rPr>
        <w:t>CHANDLER , CHANCELLOR :</w:t>
      </w:r>
    </w:p>
    <w:p>
      <w:pPr>
        <w:spacing w:after="80"/>
      </w:pPr>
      <w:r>
        <w:rPr>
          <w:b w:val="0"/>
          <w:i w:val="0"/>
        </w:rPr>
        <w:t>Trọng tâm của đơn khiếu nại là cáo buộc rằng Vinod Gupta và, ở mức độ ít hơn nhiều, các bị đơn cá nhân khác từ lâu đã sử dụng infoUSA để làm giàu cho bản thân bằng cách hy sinh lợi ích của các cổ đông. Thật vậy, phần lớn đơn khiếu nại trình bày một bức tranh rộng lớn, hào nhoáng về sự xa hoa mạ vàng, được thể hiện thông qua các giao dịch với bên liên quan thường xuyên và được cho là không bị chất vấn hoặc thông qua các khoản thanh toán được thực hiện trực tiếp vì lợi ích của Vinod Gupta và gia đình ông.</w:t>
      </w:r>
    </w:p>
    <w:p>
      <w:pPr>
        <w:spacing w:after="80"/>
      </w:pPr>
      <w:r>
        <w:rPr>
          <w:b w:val="0"/>
          <w:i w:val="0"/>
        </w:rPr>
        <w:t>1. Các khoản thanh toán cho bên liên quan cho các chi phí "kinh doanh": máy bay, du thuyền, ô tô, và nhiều hơn nữa</w:t>
      </w:r>
    </w:p>
    <w:p>
      <w:pPr>
        <w:spacing w:after="80"/>
      </w:pPr>
      <w:r>
        <w:rPr>
          <w:b w:val="0"/>
          <w:i w:val="0"/>
        </w:rPr>
        <w:t xml:space="preserve">Danh sách các giao dịch với bên liên quan chỉ riêng liên quan đến phương tiện đi lại đã khiến việc đọc trở nên dài dòng. Từ năm 2001 đến 2005, infoUSA đã trả khoảng $8.2 triệu cho Annapurna Corporation, một thực thể được sở hữu 100% bởi V. Gupta. Những khoản chi này bao gồm việc sử dụng máy bay phản lực tư nhân, việc sử dụng du thuyền </w:t>
      </w:r>
      <w:r>
        <w:rPr>
          <w:b w:val="0"/>
          <w:i/>
        </w:rPr>
        <w:t>American Princess</w:t>
      </w:r>
      <w:r>
        <w:rPr>
          <w:b w:val="0"/>
          <w:i w:val="0"/>
        </w:rPr>
        <w:t>, và việc sử dụng một dinh thự cá nhân ở California, cũng như các chi phí đi lại không được xác định. Bản thân Vinod Gupta đã phát sinh phần lớn các chi phí đi lại, và Dolphin cáo buộc rằng không có tài liệu nào được cung cấp để đáp ứng yêu cầu § 220 của họ xác định được mục đích kinh doanh cho một số lượng đáng kể các khoản thanh toán này. Sổ nhật ký của du thuyền American Princess tiết lộ rất ít về lý do biện minh cho những chi phí "kinh doanh" này. Các bị đơn cũng không đưa ra biên bản hoặc văn bản đồng ý phản ánh sự chấp thuận của hội đồng quản trị đối với những giao dịch đáng kể này như một phần trong phản hồi của họ đối với yêu cầu § 220 của Dolphin. Nguyên đơn cáo buộc rằng nhiều khoản chi phí đi lại này hoặc là mang tính cá nhân hoặc được Vinod Gupta tặng như quà cho bạn bè cá nhân hoặc chính trị.</w:t>
      </w:r>
    </w:p>
    <w:p>
      <w:pPr>
        <w:spacing w:after="80"/>
      </w:pPr>
      <w:r>
        <w:rPr>
          <w:b w:val="0"/>
          <w:i w:val="0"/>
        </w:rPr>
        <w:t>* * *</w:t>
      </w:r>
    </w:p>
    <w:p>
      <w:pPr>
        <w:spacing w:after="80"/>
      </w:pPr>
      <w:r>
        <w:rPr>
          <w:b w:val="0"/>
          <w:i w:val="0"/>
        </w:rPr>
        <w:t>5. Điều khoản V: Sự lãng phí</w:t>
      </w:r>
    </w:p>
    <w:p>
      <w:pPr>
        <w:spacing w:after="80"/>
      </w:pPr>
      <w:r>
        <w:rPr>
          <w:b w:val="0"/>
          <w:i w:val="0"/>
        </w:rPr>
        <w:t>Đơn khiếu nại hợp nhất sửa đổi khẳng định rằng các bị đơn đã thực hiện hai hình thức lãng phí riêng biệt: hàng triệu đô la từ các giao dịch với bên liên quan vì lợi ích của Vinod Gupta và các thỏa thuận tư vấn với [cựu Tổng thống] Clinton. Tiêu chuẩn để xác định sự lãng phí là một tiêu chuẩn khắt khe. Tòa án phải "áp dụng tiêu chuẩn người hợp lý và bác bỏ khiếu nại về sự lãng phí bất cứ khi nào một người hợp lý có thể coi khoản đối giá nhận được là thỏa đáng. Khi tiêu chuẩn khó khăn này được áp dụng trong bối cảnh rộng rãi của một động thái yêu cầu bác bỏ đơn kiện, để đơn khiếu nại có thể vượt qua động thái đó, Tòa án phải thấy rằng trong bất kỳ tập hợp tình huống khả thi nào có thể suy ra từ các sự kiện được cáo buộc trong đơn khiếu nại, không một người hợp lý nào có thể coi khoản đối giá nhận được là thỏa đáng." Nguyên đơn đã không đáp ứng được gánh nặng khắt khe này đối với các hợp đồng với Clinton.</w:t>
      </w:r>
    </w:p>
    <w:p>
      <w:pPr>
        <w:spacing w:after="80"/>
      </w:pPr>
      <w:r>
        <w:rPr>
          <w:b w:val="0"/>
          <w:i w:val="0"/>
        </w:rPr>
        <w:t>Tuy nhiên, nguyên đơn đã thành công trong việc đưa ra một khiếu nại thành công về sự lãng phí. Đơn khiếu nại hợp nhất sửa đổi trình bày một loạt các giao dịch với bên liên quan và những lợi ích không chính đáng được phép chảy đến Vinod Gupta từ một hội đồng quản trị bị ông chi phối và kiểm soát. Hãy xem xét, ví dụ, phòng VIP tại Sân vận động Bóng bầu dục Đại học Nebraska-Lincoln, được infoUSA mua lại từ Annapurna vào năm 2003. Hợp đồng thuê còn lại của phòng VIP kéo dài hai mươi mốt năm, mà công ty đã trả $617,000. Tuyên bố ủy quyền năm 2006 của công ty nêu rằng Vinod Gupta ban đầu đã trả $2 triệu cho phòng VIP, và đơn khiếu nại hợp nhất sửa đổi khẳng định rằng ông đã nhận được khoản khấu trừ thuế từ thiện $1.3 triệu cho việc mua này. Đơn khiếu nại cáo buộc rằng giá mua được dựa trên chi phí $29,400 mỗi năm cho hai mươi tám vé, nhưng giá trị của những vé này không được chiết khấu về giá trị hiện tại. Hơn nữa, giá mua không phản ánh bất kỳ khoản tiền nào đã trả cho Annapurna cho việc sử dụng phòng VIP trong những năm trước đó. Những cáo buộc này, nếu được chứng minh, cho thấy rằng một hội đồng quản trị bị chi phối đã mua quyền vĩnh viễn đối với một phòng VIP mà nó đã thuê từ CEO của mình, trong khi tiện thể quên chiết khấu giá trị của những vé đáo hạn vào thời điểm mà một đứa trẻ sinh ra vào lúc giao dịch sẽ đủ tuổi hợp pháp để mua bia từ một người bán hàng tại sân vận động. Một người hợp lý có thể coi đây là một thỏa thuận có lợi cho Vinod Gupta, nhưng sẽ khó tìm thấy rằng khoản đối giá là thỏa đáng.</w:t>
      </w:r>
    </w:p>
    <w:p>
      <w:pPr>
        <w:spacing w:after="80"/>
      </w:pPr>
      <w:r>
        <w:rPr>
          <w:b w:val="0"/>
          <w:i w:val="0"/>
        </w:rPr>
        <w:t>Giống như phần còn lại của các giao dịch với bên liên quan, câu chuyện về phòng VIP hỗ trợ suy luận rằng hội đồng quản trị đã cho phép Vinod Gupta rút giá trị ra khỏi công ty bằng cách bán tài sản của chính mình cho công ty với giá không công bằng. Mặc dù các bị đơn sẽ có cơ hội phản bác bằng chứng này tại phiên tòa, nhưng hiện tại nguyên đơn đã trình bày đủ sự kiện để duy trì một vụ kiện về sự lãng phí.</w:t>
      </w:r>
    </w:p>
    <w:p>
      <w:pPr>
        <w:pStyle w:val="Heading5"/>
      </w:pPr>
      <w:r>
        <w:rPr>
          <w:rFonts w:ascii="Calibri" w:hAnsi="Calibri"/>
          <w:b/>
          <w:i/>
          <w:sz w:val="22"/>
        </w:rPr>
        <w:t>Bình luận và Câu hỏi</w:t>
      </w:r>
    </w:p>
    <w:p>
      <w:pPr>
        <w:spacing w:after="80"/>
      </w:pPr>
      <w:r>
        <w:rPr>
          <w:b w:val="0"/>
          <w:i w:val="0"/>
        </w:rPr>
        <w:t>1. Vụ án này gợi ý điều gì về những trường hợp mà tòa án sẽ xác định là hành vi lãng phí (waste)?</w:t>
      </w:r>
    </w:p>
    <w:p>
      <w:pPr>
        <w:spacing w:after="80"/>
      </w:pPr>
      <w:r>
        <w:rPr>
          <w:b w:val="0"/>
          <w:i w:val="0"/>
        </w:rPr>
        <w:t xml:space="preserve">2. Tòa án dường như suy ra hành vi lãng phí từ tính bất hợp lý của giao dịch. Tuy nhiên, các tòa án Delaware đã gợi ý rằng cách tiếp cận này sẽ không khả dụng đối với thù lao. </w:t>
      </w:r>
      <w:r>
        <w:rPr>
          <w:b w:val="0"/>
          <w:i/>
        </w:rPr>
        <w:t>Xem In re 3Com Shareholder Litig.</w:t>
      </w:r>
      <w:r>
        <w:rPr>
          <w:b w:val="0"/>
          <w:i w:val="0"/>
        </w:rPr>
        <w:t xml:space="preserve"> , 1999 Del. Ch. Lexis 215 (ngày 25 tháng 10 năm 1999) (“những cáo buộc trống rỗng” rằng quyền chọn cổ phiếu là “quá mức hoặc thậm chí xa hoa” sẽ không đủ để biện luận về hành vi lãng phí). Bạn có thể dung hòa những quan điểm này không?</w:t>
      </w:r>
    </w:p>
    <w:p>
      <w:pPr>
        <w:spacing w:after="80"/>
      </w:pPr>
      <w:r>
        <w:rPr>
          <w:b w:val="0"/>
          <w:i w:val="0"/>
        </w:rPr>
        <w:t>3. Vụ án liên quan đến một số nhân vật quan trọng. Một trong những khiếu nại về hành vi lãng phí tập trung vào một hợp đồng tư vấn với Bill Clinton. Theo bản án, cựu Tổng thống đã nhận được các khoản thanh toán 3.3 triệu đô la trong sáu năm và 100,000 quyền chọn cổ phiếu. Tòa án đã bác bỏ khiếu nại, kết luận rằng “không có gì trong đơn khiếu nại hợp nhất sửa đổi, ngoài những cáo buộc mang tính kết luận của nguyên đơn, hỗ trợ một suy luận hợp lý rằng nó là bất hợp lý, chứ chưa nói đến việc vô cớ và không có đối价.” Bạn có nghĩ rằng nhân vật liên quan có đóng vai trò nào trong phân tích của tòa án không?</w:t>
      </w:r>
    </w:p>
    <w:p>
      <w:pPr>
        <w:spacing w:after="80"/>
      </w:pPr>
      <w:r>
        <w:rPr>
          <w:b w:val="0"/>
          <w:i w:val="0"/>
        </w:rPr>
        <w:t xml:space="preserve">4. Ủy ban Chứng khoán và Giao dịch (Securities and Exchange Commission) đã đệ trình vụ án riêng của mình chống lại InfoUSA. </w:t>
      </w:r>
      <w:r>
        <w:rPr>
          <w:b w:val="0"/>
          <w:i/>
        </w:rPr>
        <w:t>Xem In re InfoUSA, Inc.</w:t>
      </w:r>
      <w:r>
        <w:rPr>
          <w:b w:val="0"/>
          <w:i w:val="0"/>
        </w:rPr>
        <w:t xml:space="preserve"> , Exchange Act Release No. 61708 (thủ tục hành chính ngày 15 tháng 3 năm 2010) (phát hiện vi phạm Rule 14a-9 vì không công bố đúng đắn các giao dịch với bên liên quan).</w:t>
      </w:r>
    </w:p>
    <w:p>
      <w:pPr>
        <w:pStyle w:val="Heading2"/>
      </w:pPr>
      <w:r>
        <w:rPr>
          <w:rFonts w:ascii="Calibri" w:hAnsi="Calibri"/>
          <w:b/>
          <w:i w:val="0"/>
          <w:sz w:val="32"/>
        </w:rPr>
        <w:t>III. Thù lao và SEC</w:t>
      </w:r>
    </w:p>
    <w:p>
      <w:pPr>
        <w:spacing w:after="80"/>
      </w:pPr>
      <w:r>
        <w:rPr>
          <w:b w:val="0"/>
          <w:i w:val="0"/>
        </w:rPr>
        <w:t xml:space="preserve">Khi thông qua Exchange Act, Quốc hội đã trao cho SEC một vai trò trong quá trình thù lao. SEC được giao nhiệm vụ đảm bảo công bố đầy đủ về thù lao. Quốc hội dự đoán rằng luồng ánh sáng kết quả sẽ làm giảm sự lạm dụng được nhận thức trong lĩnh vực này. Do đó, không ngạc nhiên khi một số sáng kiến quản lý sớm nhất của cơ quan non trẻ này liên quan đến thù lao điều hành. </w:t>
      </w:r>
      <w:r>
        <w:rPr>
          <w:b w:val="0"/>
          <w:i/>
        </w:rPr>
        <w:t>Xem</w:t>
      </w:r>
      <w:r>
        <w:rPr>
          <w:b w:val="0"/>
          <w:i w:val="0"/>
        </w:rPr>
        <w:t xml:space="preserve"> Exchange Act Release No. 1823 (ngày 13 tháng 8 năm 1938) (yêu cầu công bố “thù lao” cho bất kỳ người được đề cử vào hội đồng quản trị nào cũng là một trong ba quan chức được trả lương cao nhất của công ty).</w:t>
      </w:r>
    </w:p>
    <w:p>
      <w:pPr>
        <w:spacing w:after="80"/>
      </w:pPr>
      <w:r>
        <w:rPr>
          <w:b w:val="0"/>
          <w:i w:val="0"/>
        </w:rPr>
        <w:t xml:space="preserve">Tuy nhiên, phải đến năm 1992, Ủy ban mới thông qua một bộ quy tắc toàn diện và kỹ lưỡng điều chỉnh việc công bố thù lao điều hành. </w:t>
      </w:r>
      <w:r>
        <w:rPr>
          <w:b w:val="0"/>
          <w:i/>
        </w:rPr>
        <w:t>Xem</w:t>
      </w:r>
      <w:r>
        <w:rPr>
          <w:b w:val="0"/>
          <w:i w:val="0"/>
        </w:rPr>
        <w:t xml:space="preserve"> Exchange Act Release No. 31327 (ngày 16 tháng 10 năm 1992). Những quy tắc này được thiết kế để cho phép “các lực lượng thị trường, thay vì các nhà lập pháp hay quan chức quan liêu, [định hình] các chính sách thù lao doanh nghiệp.” Reform of Executive Compensation Disclosure Rules, Fact Sheet, 1992 SEC Lexis 2466 (ngày 15 tháng 10 năm 1992).</w:t>
      </w:r>
    </w:p>
    <w:p>
      <w:pPr>
        <w:spacing w:after="80"/>
      </w:pPr>
      <w:r>
        <w:rPr>
          <w:b w:val="0"/>
          <w:i w:val="0"/>
        </w:rPr>
        <w:t>Trong số những đổi mới có việc sử dụng “bảng tóm tắt thù lao” (summary compensation table), một thứ được mô tả là “trụ cột của kế hoạch công bố thù lao điều hành đã được sửa đổi của Ủy ban.” Bảng này bao gồm tất cả các hình thức thù lao bao gồm lương, tiền thưởng, giải thưởng cổ phiếu, giải thưởng quyền chọn, thù lao khuyến khích phi vốn chủ sở hữu, thù lao hoãn lại, và “thù lao khác.” Item 402(c), 17 C.F.R. 229.402(c). Tóm lại, bảng này phản ánh mọi loại thù lao được trả cho các quan chức hàng đầu và cho phép thù lao được quy giản thành một con số đô la duy nhất.</w:t>
      </w:r>
    </w:p>
    <w:p>
      <w:pPr>
        <w:spacing w:after="80"/>
      </w:pPr>
      <w:r>
        <w:rPr>
          <w:b w:val="0"/>
          <w:i w:val="0"/>
        </w:rPr>
        <w:t>Tuy nhiên, những cải cách năm 1992 mang tính khởi đầu nhiều hơn là kết thúc. Một điều là chúng dường như không tạo áp lực giảm đối với thù lao. Thù lao leo thang trong những năm 1990, khiến một số người lập luận rằng, bằng cách làm cho thù lao trở nên minh bạch như vậy, nó đã tạo áp lực tăng đối với các khoản tiền. Các hội đồng quản trị và CEO có thể dễ dàng so sánh các khoản tiền được trả và, nếu thấp hơn các công ty tương đương, lập luận để tăng.</w:t>
      </w:r>
    </w:p>
    <w:p>
      <w:pPr>
        <w:spacing w:after="80"/>
      </w:pPr>
      <w:r>
        <w:rPr>
          <w:b w:val="0"/>
          <w:i w:val="0"/>
        </w:rPr>
        <w:t xml:space="preserve">Những cải cách đáng kể đã diễn ra vào năm 2006. </w:t>
      </w:r>
      <w:r>
        <w:rPr>
          <w:b w:val="0"/>
          <w:i/>
        </w:rPr>
        <w:t>Xem</w:t>
      </w:r>
      <w:r>
        <w:rPr>
          <w:b w:val="0"/>
          <w:i w:val="0"/>
        </w:rPr>
        <w:t xml:space="preserve"> Exchange Act Release No. 54302A (ngày 29 tháng 8 năm 2006) (mô tả các sửa đổi là “một sự suy nghĩ lại kỹ lưỡng về các quy tắc.”). Ở một mức độ nào đó, những thay đổi được thiết kế để lấp đầy những khoảng trống còn lại từ các yêu cầu trước đó. Các cải cách đã thắt chặt đáng kể việc công bố các đặc quyền (perquisites) được trả cho các giám đốc điều hành hàng đầu. Các yêu cầu mới bắt buộc công bố thù lao được trả cho CFO, ngoài CEO. Thù lao giám đốc lần đầu tiên phải xuất hiện dưới dạng bảng bao gồm tổng thù lao. </w:t>
      </w:r>
      <w:r>
        <w:rPr>
          <w:b w:val="0"/>
          <w:i/>
        </w:rPr>
        <w:t>Xem</w:t>
      </w:r>
      <w:r>
        <w:rPr>
          <w:b w:val="0"/>
          <w:i w:val="0"/>
        </w:rPr>
        <w:t xml:space="preserve"> Item 402(d), 17 C.F.R. 229.402(d).</w:t>
      </w:r>
    </w:p>
    <w:p>
      <w:pPr>
        <w:spacing w:after="80"/>
      </w:pPr>
      <w:r>
        <w:rPr>
          <w:b w:val="0"/>
          <w:i w:val="0"/>
        </w:rPr>
        <w:t>Tuy nhiên, những cải cách năm 2006 đã đi xa hơn nhiều so với việc công bố các khoản tiền được trả. Như Ủy ban đã lưu ý:</w:t>
      </w:r>
    </w:p>
    <w:p>
      <w:pPr>
        <w:spacing w:after="80"/>
      </w:pPr>
      <w:r>
        <w:rPr>
          <w:b w:val="0"/>
          <w:i w:val="0"/>
        </w:rPr>
        <w:t>Phần Thảo luận và Phân tích Thù lao (Compensation Discussion and Analysis) mới yêu cầu thảo luận và phân tích các yếu tố trọng yếu làm cơ sở cho các chính sách và quyết định thù lao được phản ánh trong dữ liệu trình bày trong các bảng. Tổng quan này đề cập ở một nơi những yếu tố này đối với cả các thành phần riêng lẻ của thù lao điều hành và thù lao điều hành nói chung.</w:t>
      </w:r>
    </w:p>
    <w:p>
      <w:pPr>
        <w:spacing w:after="80"/>
      </w:pPr>
      <w:r>
        <w:rPr>
          <w:b w:val="0"/>
          <w:i w:val="0"/>
        </w:rPr>
        <w:t>Exchange Act Release No. 54302A (ngày 29 tháng 8 năm 2006). Nói cách khác, việc công bố đã chuyển từ số tiền sang quy trình, có lẽ với ý định gây ảnh hưởng đến cách thức tính toán thù lao. Điều này sẽ tạo ra vô số thách thức cho Ủy ban và các hội đồng quản trị doanh nghiệp.</w:t>
      </w:r>
    </w:p>
    <w:p>
      <w:pPr>
        <w:pStyle w:val="Heading3"/>
      </w:pPr>
      <w:r>
        <w:rPr>
          <w:rFonts w:ascii="Calibri" w:hAnsi="Calibri"/>
          <w:b/>
          <w:i w:val="0"/>
          <w:sz w:val="26"/>
        </w:rPr>
        <w:t>A. Thù lao và Công bố</w:t>
      </w:r>
    </w:p>
    <w:p>
      <w:pPr>
        <w:spacing w:after="80"/>
      </w:pPr>
      <w:r>
        <w:rPr>
          <w:b w:val="0"/>
          <w:i w:val="0"/>
        </w:rPr>
        <w:t>Thù lao điều hành được công bố trong báo cáo thường niên theo Mẫu 10-K và trong bản tuyên bố ủy quyền (proxy statement). Tuy nhiên, trên thực tế, nó xuất hiện trong bản tuyên bố ủy quyền và được đưa vào báo cáo thường niên bằng cách tham chiếu. Các hướng dẫn cho việc công bố thù lao điều hành xuất hiện trong Item 402 của Regulation S-K. 17 C.F.R. 229.402. Như ghi chú giới thiệu nêu rõ, Item 402 “yêu cầu công bố rõ ràng, súc tích và dễ hiểu về tất cả thù lao theo kế hoạch và ngoài kế hoạch được trao cho, kiếm được bởi, hoặc trả cho các giám đốc điều hành được nêu tên.”</w:t>
      </w:r>
    </w:p>
    <w:p>
      <w:pPr>
        <w:spacing w:after="80"/>
      </w:pPr>
      <w:r>
        <w:rPr>
          <w:b w:val="0"/>
          <w:i w:val="0"/>
        </w:rPr>
        <w:t>Cụm từ “earned by” (được hưởng) là cố ý. Tổng thù lao không phản ánh số tiền thực tế đã trả cho viên chức liên quan. Nó bao gồm giá trị của một số phúc lợi nhất định, chẳng hạn như đặc quyền (perquisites) hoặc quyền chọn cổ phiếu (stock options), tính đến một ngày cụ thể. Đặc biệt đối với thù lao được trả dưới hình thức vốn chủ sở hữu (cổ phiếu hoặc quyền chọn), giá trị có thể đã thay đổi đáng kể vào thời điểm công bố thông tin.</w:t>
      </w:r>
    </w:p>
    <w:p>
      <w:pPr>
        <w:spacing w:after="80"/>
      </w:pPr>
      <w:r>
        <w:rPr>
          <w:b w:val="0"/>
          <w:i w:val="0"/>
        </w:rPr>
        <w:t>Một trong những lĩnh vực được chứng minh là khó quản lý là việc công bố các đặc quyền (perquisites). Bảng tóm tắt thù lao được quy định bởi Mục 402(c) phải bao gồm tất cả “thù lao khác” được trả cho CEO và CFO. Điều này bao gồm giá trị của bất kỳ “[đ]ặc quyền và phúc lợi cá nhân khác, hoặc tài sản, trừ khi tổng số tiền thù lao đó dưới 10.000 đô la.” 17 C.F.R. 229.402(c) (2). Các đặc quyền phổ biến bao gồm việc sử dụng máy bay của công ty cho mục đích cá nhân, phí hội viên câu lạc bộ đồng quê, lắp đặt hệ thống an ninh tại nhà của viên chức, sử dụng tài xế riêng, và các khoản bù thuế (tax gross ups).</w:t>
      </w:r>
    </w:p>
    <w:p>
      <w:pPr>
        <w:spacing w:after="80"/>
      </w:pPr>
      <w:r>
        <w:rPr>
          <w:b w:val="0"/>
          <w:i w:val="0"/>
        </w:rPr>
        <w:t>Một đặc quyền có thể phục vụ cả mục đích kinh doanh lẫn cá nhân. Việc quyết định phúc lợi nào trong số này phải được coi là thù lao không phải lúc nào cũng dễ dàng. SEC đã sửa đổi Mục 402 và cung cấp thêm hướng dẫn đáng kể về vấn đề này trong các cải cách năm 2006.</w:t>
      </w:r>
    </w:p>
    <w:p>
      <w:pPr>
        <w:pStyle w:val="Heading4"/>
      </w:pPr>
      <w:r>
        <w:rPr>
          <w:rFonts w:ascii="Calibri" w:hAnsi="Calibri"/>
          <w:b/>
          <w:i w:val="0"/>
          <w:sz w:val="23"/>
        </w:rPr>
        <w:t>Thù lao Điều hành và Công bố Thông tin về Người có Liên quan</w:t>
      </w:r>
    </w:p>
    <w:p>
      <w:pPr>
        <w:spacing w:after="80"/>
      </w:pPr>
      <w:r>
        <w:rPr>
          <w:b w:val="0"/>
          <w:i w:val="0"/>
        </w:rPr>
        <w:t>Exchange Act Release No. 54302A (ngày 29 tháng 8 năm 2006)</w:t>
      </w:r>
    </w:p>
    <w:p>
      <w:pPr>
        <w:spacing w:after="80"/>
      </w:pPr>
      <w:r>
        <w:rPr>
          <w:b w:val="0"/>
          <w:i w:val="0"/>
        </w:rPr>
        <w:t>Trong số các yếu tố cần xem xét để xác định liệu một khoản mục có phải là đặc quyền hay phúc lợi cá nhân khác hay không, bao gồm những yếu tố sau:</w:t>
      </w:r>
    </w:p>
    <w:p>
      <w:pPr>
        <w:spacing w:after="80"/>
        <w:ind w:left="360"/>
      </w:pPr>
      <w:r>
        <w:t xml:space="preserve">• </w:t>
      </w:r>
      <w:r>
        <w:rPr>
          <w:b w:val="0"/>
          <w:i w:val="0"/>
        </w:rPr>
        <w:t>Một khoản mục không phải là đặc quyền hay phúc lợi cá nhân nếu nó gắn bó hữu cơ và trực tiếp với việc thực hiện nhiệm vụ của người điều hành.</w:t>
      </w:r>
    </w:p>
    <w:p>
      <w:pPr>
        <w:spacing w:after="80"/>
        <w:ind w:left="360"/>
      </w:pPr>
      <w:r>
        <w:t xml:space="preserve">• </w:t>
      </w:r>
      <w:r>
        <w:rPr>
          <w:b w:val="0"/>
          <w:i w:val="0"/>
        </w:rPr>
        <w:t>Nếu không, một khoản mục là đặc quyền hay phúc lợi cá nhân nếu nó mang lại lợi ích trực tiếp hoặc gián tiếp có khía cạnh cá nhân, bất kể nó có thể được cung cấp vì lý do kinh doanh nào đó hay vì sự thuận tiện của công ty, trừ khi nó được cung cấp một cách phổ biến trên cơ sở không phân biệt đối xử cho tất cả nhân viên.</w:t>
      </w:r>
    </w:p>
    <w:p>
      <w:pPr>
        <w:spacing w:after="80"/>
      </w:pPr>
      <w:r>
        <w:rPr>
          <w:b w:val="0"/>
          <w:i w:val="0"/>
        </w:rPr>
        <w:t>Chúng tôi tin rằng cách tiếp cận vấn đề này là trước tiên đánh giá nhánh thứ nhất của phân tích. Nếu một khoản mục gắn bó hữu cơ và trực tiếp với việc thực hiện nhiệm vụ của người điều hành, thì phân tích kết thúc ở đó—khoản mục đó không phải là đặc quyền hay phúc lợi cá nhân và không cần công bố thù lao. Hơn nữa, nếu một khoản mục gắn bó hữu cơ và trực tiếp với việc thực hiện nhiệm vụ của người điều hành theo phân tích này, thì không có yêu cầu phải công bố bất kỳ chi phí tăng thêm nào so với một lựa chọn thay thế rẻ hơn. Ví dụ, đối với việc đi lại công tác, không cần thiết phải công bố chênh lệch chi phí giữa việc thuê xe cỡ trung so với xe cỡ nhỏ.</w:t>
      </w:r>
    </w:p>
    <w:p>
      <w:pPr>
        <w:spacing w:after="80"/>
      </w:pPr>
      <w:r>
        <w:rPr>
          <w:b w:val="0"/>
          <w:i w:val="0"/>
        </w:rPr>
        <w:t>Do mối liên hệ hữu cơ và trực tiếp với việc thực hiện công việc, các yếu tố của phần thứ hai trong phân tích (ví dụ: liệu có đồng thời là phúc lợi cá nhân hay không, hoặc liệu khoản mục đó có được cung cấp phổ biến cho nhân viên khác hay không) là không liên quan. Một ví dụ về khoản mục như vậy có thể là “Blackberry” hoặc máy tính xách tay nếu công ty tin rằng việc người điều hành có thể truy cập email cho đồng nghiệp và khách hàng khi ra ngoài văn phòng là một phần thiết yếu trong nhiệm vụ của họ. Cũng giống như những thiết bị này đại diện cho sự tiến bộ so với công nghệ trước đó (chẳng hạn như thư thoại), chúng tôi kỳ vọng rằng khi công nghệ mới tạo điều kiện cho công việc được thực hiện bên ngoài văn phòng ở mức độ lớn hơn, các thiết bị bổ sung có thể sẽ được phát triển và thuộc vào danh mục này.</w:t>
      </w:r>
    </w:p>
    <w:p>
      <w:pPr>
        <w:spacing w:after="80"/>
      </w:pPr>
      <w:r>
        <w:rPr>
          <w:b w:val="0"/>
          <w:i w:val="0"/>
        </w:rPr>
        <w:t>Khái niệm về một phúc lợi “gắn bó hữu cơ và trực tiếp” với việc thực hiện công việc là một khái niệm hẹp. Phân tích này tạo ra sự phân biệt quan trọng giữa một khoản mục mà công ty cung cấp vì người điều hành cần nó để làm việc, khiến nó gắn bó hữu cơ và trực tiếp với việc thực hiện nhiệm vụ, và một khoản mục được cung cấp vì lý do nào đó khác, ngay cả khi lý do khác đó có thể liên quan đến cả lợi ích công ty lẫn lợi ích cá nhân. Một số người bình luận phản đối rằng “gắn bó hữu cơ và trực tiếp” là một tiêu chuẩn quá hẹp, cho rằng các lý do kinh doanh khác để cung cấp một khoản mục không nên bị bỏ qua khi xác định liệu một khoản mục có phải là đặc quyền hay không. Chúng tôi không áp dụng cách tiếp cận được đề xuất này. Như chúng tôi đã nêu trong Proposing Release, việc công ty đã xác định rằng một khoản chi là chi phí kinh doanh “thông thường” hoặc “cần thiết” cho mục đích thuế hay mục đích khác, hoặc rằng một khoản chi là vì lợi ích hay sự thuận tiện của công ty, không giải đáp được câu hỏi liệu khoản chi đó có mang lại đặc quyền hay phúc lợi cá nhân khác cho mục đích công bố thông tin hay không. Việc công ty có nên chi trả cho một khoản chi hay liệu nó có được khấu trừ thuế hay không chủ yếu liên quan đến các câu hỏi về luật tiểu bang regarding việc sử dụng tài sản công ty và luật thuế; các yêu cầu công bố thông tin của chúng tôi được kích hoạt bởi những khái niệm khác và rộng hơn.</w:t>
      </w:r>
    </w:p>
    <w:p>
      <w:pPr>
        <w:spacing w:after="80"/>
      </w:pPr>
      <w:r>
        <w:rPr>
          <w:b w:val="0"/>
          <w:i w:val="0"/>
        </w:rPr>
        <w:t>Như chúng tôi đã lưu ý trong Proposing Release, mục đích kinh doanh hay sự thuận tiện không ảnh hưởng đến việc phân loại một khoản mục là đặc quyền hay phúc lợi cá nhân khi nó không gắn bó hữu cơ và trực tiếp với việc người điều hành thực hiện công việc của mình. Do đó, ví dụ, quyết định của công ty cung cấp một khoản mục phúc lợi cá nhân vì mục đích an ninh không ảnh hưởng đến việc phân loại nó là đặc quyền hay phúc lợi cá nhân. Một chính sách công ty rằng vì mục đích an ninh, người điều hành (hoặc người điều hành và gia đình của họ) phải sử dụng máy bay của công ty hoặc phương tiện đi lại khác của công ty cho việc đi lại cá nhân, hoặc phải sử dụng tài sản của công ty hoặc do công ty cung cấp cho các kỳ nghỉ, không ảnh hưởng đến kết luận rằng khoản mục được cung cấp là đặc quyền hay phúc lợi cá nhân.</w:t>
      </w:r>
    </w:p>
    <w:p>
      <w:pPr>
        <w:spacing w:after="80"/>
      </w:pPr>
      <w:r>
        <w:rPr>
          <w:b w:val="0"/>
          <w:i w:val="0"/>
        </w:rPr>
        <w:t>Nếu một khoản mục không gắn bó hữu cơ và trực tiếp với việc thực hiện nhiệm vụ của người điều hành, thì bước thứ hai của phân tích sẽ được áp dụng. Liệu khoản mục đó có mang lại lợi ích trực tiếp hoặc gián tiếp có khía cạnh cá nhân hay không (bất kể nó có thể được cung cấp vì lý do kinh doanh nào đó hay vì sự thuận tiện của công ty)? Nếu có, liệu nó có được cung cấp một cách phổ biến trên cơ sở không phân biệt đối xử cho tất cả nhân viên hay không? Ví dụ, việc công ty cung cấp dịch vụ trực thăng cho một người điều hành để đi lại từ nhà đến nơi làm việc không gắn bó hữu cơ và trực tiếp với việc thực hiện công việc (mặc dù nó sẽ có lợi cho công ty bằng cách đưa người điều hành đến nơi làm việc nhanh hơn), rõ ràng mang lại một phúc lợi có khía cạnh cá nhân, và không được cung cấp phổ biến cho tất cả nhân viên trên cơ sở không phân biệt đối xử. Như chúng tôi đã lưu ý, mục đích kinh doanh hay sự thuận tiện không ảnh hưởng đến việc phân loại một khoản mục là đặc quyền hay phúc lợi cá nhân khi nó không gắn bó hữu cơ và trực tiếp với việc người điều hành thực hiện công việc của mình.</w:t>
      </w:r>
    </w:p>
    <w:p>
      <w:pPr>
        <w:spacing w:after="80"/>
      </w:pPr>
      <w:r>
        <w:rPr>
          <w:b w:val="0"/>
          <w:i w:val="0"/>
        </w:rPr>
        <w:t>Một công ty có thể kết luận một cách hợp lý rằng một khoản mục được cung cấp phổ biến cho tất cả nhân viên trên cơ sở không phân biệt đối xử nếu nó được cung cấp cho những nhân viên mà công ty có thể cung cấp một cách hợp pháp. Vì mục đích này, một công ty có thể ghi nhận các hạn chế pháp lý dựa trên thẩm quyền tài phán (chẳng hạn như đối với nhân viên nước ngoài) hoặc tình trạng “nhà đầu tư được công nhận” (accredited investor) của nhân viên. Ngược lại, việc chỉ cung cấp một phúc lợi nhất quán với việc cung cấp nó cho nhân viên ở cùng nhóm công việc hoặc cùng thang lương không chứng minh rằng nó được cung cấp phổ biến trên cơ sở không phân biệt đối xử cho tất cả nhân viên.</w:t>
      </w:r>
    </w:p>
    <w:p>
      <w:pPr>
        <w:spacing w:after="80"/>
      </w:pPr>
      <w:r>
        <w:rPr>
          <w:b w:val="0"/>
          <w:i w:val="0"/>
        </w:rPr>
        <w:t>Áp dụng các khái niệm mà chúng tôi đã nêu ở trên, các ví dụ về khoản mục yêu cầu công bố như đặc quyền hay phúc lợi cá nhân theo Mục 402 bao gồm, nhưng không giới hạn ở: tư cách hội viên câu lạc bộ không được sử dụng độc quyền cho mục đích giải trí kinh doanh, tư vấn tài chính hoặc thuế cá nhân, đi lại cá nhân bằng phương tiện do công ty sở hữu hoặc thuê, đi lại cá nhân được công ty tài trợ theo cách khác, sử dụng cá nhân tài sản khác do công ty sở hữu hoặc thuê, chi phí nhà ở và sinh hoạt khác (bao gồm nhưng không giới hạn ở hỗ trợ tái định cư và các khoản thanh toán để người điều hành hoặc giám đốc ở tại nhà riêng của họ), dịch vụ an ninh được cung cấp tại nhà riêng hoặc trong chuyến đi cá nhân, chi phí đi lại hàng ngày (dù vì sự thuận tiện hay lợi ích của công ty hay không), và chiết khấu đối với sản phẩm hoặc dịch vụ của công ty không được cung cấp phổ biến cho nhân viên trên cơ sở không phân biệt đối xử.</w:t>
      </w:r>
    </w:p>
    <w:p>
      <w:pPr>
        <w:pStyle w:val="Heading5"/>
      </w:pPr>
      <w:r>
        <w:rPr>
          <w:rFonts w:ascii="Calibri" w:hAnsi="Calibri"/>
          <w:b/>
          <w:i/>
          <w:sz w:val="22"/>
        </w:rPr>
        <w:t>Bình luận và Câu hỏi</w:t>
      </w:r>
    </w:p>
    <w:p>
      <w:pPr>
        <w:spacing w:after="80"/>
      </w:pPr>
      <w:r>
        <w:rPr>
          <w:b w:val="0"/>
          <w:i w:val="0"/>
        </w:rPr>
        <w:t>1. Mục đích của hướng dẫn này là gì và tại sao nó lại được đặt kín đáo trong văn bản ban hành các thay đổi đối với Mục 402?</w:t>
      </w:r>
    </w:p>
    <w:p>
      <w:pPr>
        <w:spacing w:after="80"/>
      </w:pPr>
      <w:r>
        <w:rPr>
          <w:b w:val="0"/>
          <w:i w:val="0"/>
        </w:rPr>
        <w:t>2. Việc công bố thông tin có tác động gì đến thù lao điều hành? Rõ ràng là kể từ những thay đổi được thực hiện đối với Mục 402 vào năm 2006, chi tiêu của doanh nghiệp cho phí hội viên câu lạc bộ đồng quê đã giảm. Không rõ liệu điều tương tự có xảy ra với việc sử dụng máy bay của công ty cho mục đích cá nhân hay không. Điều gì có thể giải thích những kết quả này?</w:t>
      </w:r>
    </w:p>
    <w:p>
      <w:pPr>
        <w:spacing w:after="80"/>
      </w:pPr>
      <w:r>
        <w:rPr>
          <w:b w:val="0"/>
          <w:i w:val="0"/>
        </w:rPr>
        <w:t xml:space="preserve">3. Việc công bố thông tin về các đặc quyền (perks) có thể tác động đến giá cổ phiếu không? Mặc dù số tiền có thể khiêm tốn so với lợi nhuận của công ty, nhưng câu trả lời là có thể. </w:t>
      </w:r>
      <w:r>
        <w:rPr>
          <w:b w:val="0"/>
          <w:i/>
        </w:rPr>
        <w:t>Xem</w:t>
      </w:r>
      <w:r>
        <w:rPr>
          <w:b w:val="0"/>
          <w:i w:val="0"/>
        </w:rPr>
        <w:t xml:space="preserve"> Carola Frydman &amp; Dirk Jenter, </w:t>
      </w:r>
      <w:r>
        <w:rPr>
          <w:b w:val="0"/>
          <w:i/>
        </w:rPr>
        <w:t>CEO Compensation</w:t>
      </w:r>
      <w:r>
        <w:rPr>
          <w:b w:val="0"/>
          <w:i w:val="0"/>
        </w:rPr>
        <w:t xml:space="preserve"> , Working Paper No. 77, Rock Center for Corporate Governance, Stanford University, at 6 (March 19, 2010). Tại sao? “[C]ác bằng chứng hiện có cho thấy rằng ít nhất một phần việc tiêu dùng đặc quyền là sự phản ánh của việc lạm dụng quyền lực quản lý và làm giảm giá trị cổ đông.” </w:t>
      </w:r>
      <w:r>
        <w:rPr>
          <w:b w:val="0"/>
          <w:i/>
        </w:rPr>
        <w:t>Id.</w:t>
      </w:r>
      <w:r>
        <w:rPr>
          <w:b w:val="0"/>
          <w:i w:val="0"/>
        </w:rPr>
        <w:t xml:space="preserve"> Điều này có luôn đúng không?</w:t>
      </w:r>
    </w:p>
    <w:p>
      <w:pPr>
        <w:spacing w:after="80"/>
      </w:pPr>
      <w:r>
        <w:rPr>
          <w:b w:val="0"/>
          <w:i w:val="0"/>
        </w:rPr>
        <w:t>4. Một số ví dụ về các phúc lợi “gắn bó hữu cơ và trực tiếp” với hiệu suất công việc là gì? Những phúc lợi này cũng có thể có mục đích sử dụng cá nhân, phi kinh doanh không? Chúng khác gì so với hệ thống an ninh tại tư dinh riêng của CEO hoặc việc hội đồng quản trị yêu cầu CEO sử dụng máy bay của công ty vì lý do an toàn?</w:t>
      </w:r>
    </w:p>
    <w:p>
      <w:pPr>
        <w:spacing w:after="80"/>
      </w:pPr>
      <w:r>
        <w:rPr>
          <w:b w:val="0"/>
          <w:i w:val="0"/>
        </w:rPr>
        <w:t>5. Mục 402 rất dài (hơn 15,000 từ) và phức tạp. Hơn nữa, như bài đọc này cho thấy, bản thân quy định không cung cấp tất cả các câu trả lời cho các vấn đề liên quan đến công bố thông tin. Nhiều câu trả lời chỉ có thể được tìm thấy thông qua việc tham khảo văn bản ban hành. Bạn có thể nghĩ ra lý do nào khiến việc công bố thông tin về thù lao đặc biệt đòi hỏi chi tiết quy định như vậy không?</w:t>
      </w:r>
    </w:p>
    <w:p>
      <w:pPr>
        <w:spacing w:after="80"/>
      </w:pPr>
      <w:r>
        <w:rPr>
          <w:b w:val="0"/>
          <w:i w:val="0"/>
        </w:rPr>
        <w:t>6. Ủy ban cũng đã tìm cách yêu cầu các công ty công bố quy trình được sử dụng để đi đến thù lao điều hành. Như Ủy ban đã lưu ý:</w:t>
      </w:r>
    </w:p>
    <w:p>
      <w:pPr>
        <w:spacing w:after="80"/>
      </w:pPr>
      <w:r>
        <w:rPr>
          <w:b w:val="0"/>
          <w:i w:val="0"/>
        </w:rPr>
        <w:t>Chúng tôi đang ban hành các hướng dẫn để làm rõ rằng Phân tích và Thảo luận về Thù lao nên tập trung vào các nguyên tắc trọng yếu làm nền tảng cho các chính sách và quyết định thù lao điều hành của công ty, và các yếu tố quan trọng nhất liên quan đến việc phân tích các chính sách và quyết định đó, mà không sử dụng ngôn ngữ khuôn mẫu hoặc lặp lại thông tin chi tiết hơn được nêu trong các bảng và thuyết minh tường thuật liên quan ở phần sau. . . .</w:t>
      </w:r>
    </w:p>
    <w:p>
      <w:pPr>
        <w:spacing w:after="80"/>
      </w:pPr>
      <w:r>
        <w:rPr>
          <w:b w:val="0"/>
          <w:i w:val="0"/>
        </w:rPr>
        <w:t>Executive Compensation and Related Person Disclosure, Exchange Act Release No. 54302A (Aug. 29, 2006). Loại công bố thông tin này đạt được điều gì? Cách tiếp cận này có khả năng thành công đến mức nào?</w:t>
      </w:r>
    </w:p>
    <w:p>
      <w:pPr>
        <w:spacing w:after="80"/>
      </w:pPr>
      <w:r>
        <w:rPr>
          <w:b w:val="0"/>
          <w:i w:val="0"/>
        </w:rPr>
        <w:t>10. Việc không có quyền khởi kiện tư nhân có tác động gì đến bản chất của loại công bố thông tin này? Vào những năm 1980, Ủy ban đã đầu tư đáng kể nguồn lực quan liêu và thực thi vào việc cố gắng cải thiện chất lượng công bố thông tin được thực hiện trong Mục 303 của Regulation S-K, Phân tích và Thảo luận của Ban Giám đốc. Những nỗ lực này được cho là đã dẫn đến một số cải thiện về chất lượng trong công bố thông tin. Tuy nhiên, cuối cùng Ủy ban đã ngừng nhắm mục tiêu vào lĩnh vực này và chuyển sang các vấn đề khác. Điều gì có thể đã xảy ra với những cải thiện về chất lượng do sự thay đổi trong ưu tiên thực thi này?</w:t>
      </w:r>
    </w:p>
    <w:p>
      <w:pPr>
        <w:spacing w:after="80"/>
      </w:pPr>
      <w:r>
        <w:rPr>
          <w:b w:val="0"/>
          <w:i w:val="0"/>
        </w:rPr>
        <w:t>—————</w:t>
      </w:r>
    </w:p>
    <w:p>
      <w:pPr>
        <w:spacing w:after="80"/>
      </w:pPr>
      <w:r>
        <w:rPr>
          <w:b w:val="0"/>
          <w:i w:val="0"/>
        </w:rPr>
        <w:t>Các yêu cầu được quy định bởi Mục 402 được coi là mức tối thiểu. Các công ty cũng phải công bố bất kỳ thông tin nào khác cần thiết để làm cho tài liệu ủy quyền (proxy materials) trở nên chính xác và đầy đủ.</w:t>
      </w:r>
    </w:p>
    <w:p>
      <w:pPr>
        <w:pStyle w:val="Heading4"/>
      </w:pPr>
      <w:r>
        <w:rPr>
          <w:rFonts w:ascii="Calibri" w:hAnsi="Calibri"/>
          <w:b/>
          <w:i w:val="0"/>
          <w:sz w:val="23"/>
        </w:rPr>
        <w:t>In the Matter of Musclepharm Corporation</w:t>
      </w:r>
    </w:p>
    <w:p>
      <w:pPr>
        <w:spacing w:after="80"/>
      </w:pPr>
      <w:r>
        <w:rPr>
          <w:b w:val="0"/>
          <w:i w:val="0"/>
        </w:rPr>
        <w:t>Administrative Proceeding File No. 3-16788 (Sept. 8, 2015)</w:t>
      </w:r>
    </w:p>
    <w:p>
      <w:pPr>
        <w:spacing w:after="80"/>
      </w:pPr>
      <w:r>
        <w:rPr>
          <w:b w:val="0"/>
          <w:i w:val="0"/>
        </w:rPr>
        <w:t>LỆNH KHỞI TỐ THỦ TỤC ĐÌNH CHỈ VÀ NGỪNG</w:t>
      </w:r>
      <w:r>
        <w:br/>
      </w:r>
      <w:r>
        <w:rPr>
          <w:b w:val="0"/>
          <w:i w:val="0"/>
        </w:rPr>
        <w:t xml:space="preserve"> THEO MỤC 8A CỦA LUẬT CHỨNG KHOÁN NĂM 1933 VÀ</w:t>
      </w:r>
      <w:r>
        <w:br/>
      </w:r>
      <w:r>
        <w:rPr>
          <w:b w:val="0"/>
          <w:i w:val="0"/>
        </w:rPr>
        <w:t xml:space="preserve"> MỤC 21C CỦA LUẬT GIAO DỊCH CHỨNG KHOÁN NĂM 1934, ĐƯA RA</w:t>
      </w:r>
      <w:r>
        <w:br/>
      </w:r>
      <w:r>
        <w:rPr>
          <w:b w:val="0"/>
          <w:i w:val="0"/>
        </w:rPr>
        <w:t xml:space="preserve"> CÁC PHÁT HIỆN, VÀ BAN HÀNH LỆNH ĐÌNH CHỈ VÀ NGỪNG</w:t>
      </w:r>
    </w:p>
    <w:p>
      <w:pPr>
        <w:spacing w:after="80"/>
      </w:pPr>
      <w:r>
        <w:rPr>
          <w:b w:val="0"/>
          <w:i w:val="0"/>
        </w:rPr>
        <w:t>II.</w:t>
      </w:r>
    </w:p>
    <w:p>
      <w:pPr>
        <w:spacing w:after="80"/>
      </w:pPr>
      <w:r>
        <w:rPr>
          <w:b w:val="0"/>
          <w:i w:val="0"/>
        </w:rPr>
        <w:t>Để chuẩn bị cho việc khởi tố các thủ tục tố tụng này, Bị đơn đã đệ trình một Đề nghị Dàn xếp (“Đề nghị”) mà Ủy ban đã quyết định chấp nhận. Chỉ nhằm mục đích của các thủ tục tố tụng này và bất kỳ thủ tục tố tụng nào khác do Ủy ban hoặc thay mặt Ủy ban khởi xướng, hoặc mà Ủy ban là một bên, và không thừa nhận cũng không phủ nhận các phát hiện trong đây, ngoại trừ thẩm quyền của Ủy ban đối với Bị đơn và đối tượng của các thủ tục tố tụng này, những điều được thừa nhận, Bị đơn đồng ý với việc ban hành Lệnh Khởi tố Thủ tục Đình chỉ và Ngừng theo Mục 8A của Luật Chứng khoán năm 1933 và Mục 21C của Luật Giao dịch Chứng khoán năm 1934, Đưa ra các Phát hiện, và Ban hành Lệnh Đình chỉ và Ngừng (“Lệnh”), như được nêu dưới đây.</w:t>
      </w:r>
    </w:p>
    <w:p>
      <w:pPr>
        <w:spacing w:after="80"/>
      </w:pPr>
      <w:r>
        <w:rPr>
          <w:b w:val="0"/>
          <w:i w:val="0"/>
        </w:rPr>
        <w:t>III.</w:t>
      </w:r>
    </w:p>
    <w:p>
      <w:pPr>
        <w:spacing w:after="80"/>
      </w:pPr>
      <w:r>
        <w:rPr>
          <w:b w:val="0"/>
          <w:i w:val="0"/>
        </w:rPr>
        <w:t>Căn cứ vào Lệnh này và Đề nghị của Bị đơn, Ủy ban nhận thấy¹ rằng:</w:t>
      </w:r>
    </w:p>
    <w:p>
      <w:pPr>
        <w:spacing w:after="80"/>
      </w:pPr>
      <w:r>
        <w:rPr>
          <w:b w:val="0"/>
          <w:i/>
        </w:rPr>
        <w:t>Tóm tắt</w:t>
      </w:r>
    </w:p>
    <w:p>
      <w:pPr>
        <w:spacing w:after="80"/>
      </w:pPr>
      <w:r>
        <w:rPr>
          <w:b w:val="0"/>
          <w:i w:val="0"/>
        </w:rPr>
        <w:t>MSLP là một công ty dinh dưỡng thể thao có trụ sở tại Denver, chuyên phát triển, sản xuất và tiếp thị các sản phẩm dinh dưỡng thể thao. Khi MSLP trở thành công ty đại chúng vào năm 2010, công ty chưa sẵn sàng cho các yêu cầu báo cáo của Ủy ban và thiếu cơ sở hạ tầng đầy đủ để hỗ trợ sự tăng trưởng nhanh chóng của mình. Doanh thu của MSLP tăng mạnh mỗi năm (doanh thu được báo cáo của MSLP là 3 triệu đô la vào năm 2010, 17 triệu đô la vào năm 2011, 67 triệu đô la vào năm 2012 và 111 triệu đô la vào năm 2013). Ban lãnh đạo cấp cao của MSLP thiếu kinh nghiệm về công ty đại chúng hoặc kế toán. Trong khi công ty tập trung vào tăng trưởng doanh thu, công ty đã không thiết lập được các kiểm soát nội bộ đầy đủ và không duy trì sổ sách, hồ sơ đúng đắn. Kết quả là, từ năm 2010 đến năm 2013, MSLP đã thực hiện một loạt các sai sót về kế toán và công bố thông tin, dẫn đến việc công ty nộp cho Ủy ban các hồ sơ sai lệch trọng yếu và gây hiểu nhầm từ năm 2010 đến tháng 7 năm 2014. Cụ thể, như được mô tả chi tiết hơn dưới đây, MSLP đã không công bố các khoản thù lao phụ cấp (perquisite) cho các giám đốc điều hành của mình, không công bố các giao dịch với bên liên quan, không công bố các vụ phá sản của các giám đốc điều hành, và mắc các sai sót khác về báo cáo tài chính, kế toán và công bố thông tin. Ngoài ra, MSLP đã thực hiện việc chào bán và bán chứng khoán của mình mà không đăng ký.</w:t>
      </w:r>
    </w:p>
    <w:p>
      <w:pPr>
        <w:spacing w:after="80"/>
      </w:pPr>
      <w:r>
        <w:rPr>
          <w:b w:val="0"/>
          <w:i/>
        </w:rPr>
        <w:t>Bị đơn</w:t>
      </w:r>
    </w:p>
    <w:p>
      <w:pPr>
        <w:spacing w:after="80"/>
      </w:pPr>
      <w:r>
        <w:rPr>
          <w:b w:val="0"/>
          <w:i w:val="0"/>
        </w:rPr>
        <w:t>1. MSLP là một công ty được thành lập tại Nevada, có trụ sở tại Denver, Colorado, chuyên sản xuất và tiếp thị các sản phẩm dinh dưỡng thể thao. Từ năm 2010 đến nay, cổ phiếu phổ thông của MSLP đã được đăng ký với Ủy ban theo Mục 12(g) của Đạo luật Giao dịch (Exchange Act) và được niêm yết trên OTC Bulletin Board.</w:t>
      </w:r>
    </w:p>
    <w:p>
      <w:pPr>
        <w:spacing w:after="80"/>
      </w:pPr>
      <w:r>
        <w:rPr>
          <w:b w:val="0"/>
          <w:i/>
        </w:rPr>
        <w:t>Việc MSLP không công bố các khoản phụ cấp từ năm 2010 đến tháng 7 năm 2014</w:t>
      </w:r>
    </w:p>
    <w:p>
      <w:pPr>
        <w:spacing w:after="80"/>
      </w:pPr>
      <w:r>
        <w:rPr>
          <w:b w:val="0"/>
          <w:i w:val="0"/>
        </w:rPr>
        <w:t>2. Từ năm 2010 đến tháng 7 năm 2014, MSLP đã khai thiếu đáng kể các khoản phụ cấp được công bố của mình khoảng 482.000 đô la, tương đương 76%, trong các Mẫu 10-K, Mẫu S-1 và bản tuyên bố ủy quyền (proxy statement) nộp cho Ủy ban. MSLP đã khai thiếu các khoản phụ cấp được công bố của mình vào (1) năm 2010 khoảng 37.000 đô la, tương đương 100%; (2) năm 2011 khoảng 160.000 đô la, tương đương 100%; (3) năm 2012 khoảng 214.000 đô la, tương đương 93%; và (4) năm 2013 khoảng 71.000 đô la, tương đương 35%.</w:t>
      </w:r>
    </w:p>
    <w:p>
      <w:pPr>
        <w:spacing w:after="80"/>
      </w:pPr>
      <w:r>
        <w:rPr>
          <w:b w:val="0"/>
          <w:i w:val="0"/>
        </w:rPr>
        <w:t>3. MSLP đã trả cho giám đốc điều hành (“CEO”) của mình khoảng 244.000 đô la tiền phụ cấp không được công bố trong khoảng thời gian này. Các khoản phụ cấp bao gồm các khoản liên quan đến bữa ăn, xe hơi, quần áo, dịch vụ thuế và pháp lý cá nhân chuyên nghiệp, và hai thẻ hội viên câu lạc bộ golf. Trong thời gian này, MSLP cũng đã chi trả cho các khoản phụ cấp của các giám đốc điều hành khác mà không được công bố, bao gồm các khoản như chi phí y tế cho việc sinh con, phẫu thuật mắt, và thẻ hội viên câu lạc bộ golf cá nhân.</w:t>
      </w:r>
    </w:p>
    <w:p>
      <w:pPr>
        <w:spacing w:after="80"/>
      </w:pPr>
      <w:r>
        <w:rPr>
          <w:b w:val="0"/>
          <w:i w:val="0"/>
        </w:rPr>
        <w:t>4. Từ năm 2010 đến giữa năm 2012, các giám đốc điều hành của MSLP đã biết hoặc lẽ ra phải biết rằng thù lao của giám đốc điều hành phải được công bố trong các hồ sơ nộp cho Ủy ban, nhưng đã không tự tìm hiểu về yêu cầu báo cáo thù lao giám đốc điều hành trong các hồ sơ nộp cho Ủy ban hoặc về những gì được coi là phụ cấp đối với các giám đốc điều hành. Do đó, MSLP đã không công bố bất kỳ khoản phụ cấp nào trong các hồ sơ nộp cho Ủy ban trước tháng 10 năm 2012.</w:t>
      </w:r>
    </w:p>
    <w:p>
      <w:pPr>
        <w:spacing w:after="80"/>
      </w:pPr>
      <w:r>
        <w:rPr>
          <w:b w:val="0"/>
          <w:i w:val="0"/>
        </w:rPr>
        <w:t>5. Từ giữa năm 2012 đến năm 2013, các giám đốc điều hành của MSLP đã không xác định đúng hoặc điều tra đầy đủ các khoản phụ cấp không được công bố. Kết quả là, MSLP tiếp tục không xác định hoặc công bố nhiều khoản phụ cấp trong các hồ sơ nộp cho Ủy ban cho đến tháng 7 năm 2014.</w:t>
      </w:r>
    </w:p>
    <w:p>
      <w:pPr>
        <w:spacing w:after="80"/>
      </w:pPr>
      <w:r>
        <w:rPr>
          <w:b w:val="0"/>
          <w:i w:val="0"/>
        </w:rPr>
        <w:t>6. Vào tháng 9 năm 2012, hội đồng quản trị của MSLP đã quyết định rằng các khoản phụ cấp liên quan đến xe hơi, thẻ hội viên câu lạc bộ golf, và việc sử dụng máy bay riêng sẽ được công bố trong các hồ sơ nộp cho Ủy ban. Tuy nhiên, MSLP đã nộp một số hồ sơ cho Ủy ban cho đến tháng 7 năm 2014 mà không bao gồm công bố đầy đủ các khoản phụ cấp được xác định tại cuộc họp hội đồng quản trị và những khoản khác mà ban lãnh đạo cấp cao đã biết.</w:t>
      </w:r>
    </w:p>
    <w:p>
      <w:pPr>
        <w:spacing w:after="80"/>
      </w:pPr>
      <w:r>
        <w:rPr>
          <w:b w:val="0"/>
          <w:i w:val="0"/>
        </w:rPr>
        <w:t>7. Đến mùa hè năm 2013, MSLP bắt đầu một cuộc rà soát nội bộ để xác định số tiền phụ cấp không được công bố mà MSLP đã trả cho các giám đốc điều hành của mình kể từ năm 2010. MSLP đã xác định được hơn 100.000 đô la tiền phụ cấp không được công bố, bao gồm việc sử dụng máy bay phản lực, xe hơi, và thẻ hội viên câu lạc bộ golf. Tuy nhiên, MSLP đã nộp Mẫu S-1 vào tháng 8 năm 2013 với các công bố phụ cấp không chính xác, giống hệt với các khoản đã được công bố trước đó trước khi cuộc điều tra nội bộ bắt đầu.</w:t>
      </w:r>
    </w:p>
    <w:p>
      <w:pPr>
        <w:spacing w:after="80"/>
      </w:pPr>
      <w:r>
        <w:rPr>
          <w:b w:val="0"/>
          <w:i w:val="0"/>
        </w:rPr>
        <w:t>8. MSLP tiếp tục cuộc điều tra nội bộ về các khoản phụ cấp không được công bố từ mùa thu năm 2013 đến mùa xuân năm 2014. Vào ngày 31 tháng 3 năm 2014, MSLP đã nộp Mẫu 10-K năm 2013 của mình. Trong bảng tóm tắt thù lao, MSLP đã trình bày các khoản phụ cấp trước đây không được công bố cho năm 2011 và 2012 với tổng cộng khoảng 189.000 đô la (các khoản phụ cấp trước đây không được công bố là 74.000 đô la cho năm 2011 và 115.000 đô la cho năm 2012). Bảng này cũng công bố khoảng 134.000 đô la tiền phụ cấp trong năm 2013. Tuy nhiên, những công bố này vẫn khai thiếu đáng kể các khoản phụ cấp đã trả cho các giám đốc điều hành của MSLP.</w:t>
      </w:r>
    </w:p>
    <w:p>
      <w:pPr>
        <w:spacing w:after="80"/>
      </w:pPr>
      <w:r>
        <w:rPr>
          <w:b w:val="0"/>
          <w:i w:val="0"/>
        </w:rPr>
        <w:t>9. MSLP đã xem xét lại kết quả điều tra phụ cấp của mình từ mùa xuân năm 2014 đến mùa thu năm 2014. Vào ngày 31 tháng 10 năm 2014, MSLP đã nộp các Mẫu 10-K sửa đổi cho các năm kết thúc 2012 và 2013. Mẫu 10-K/A năm 2013 đã công bố thêm 252.000 đô la tiền phụ cấp không được công bố mà không có trong Mẫu 10-K năm 2013 hoặc bản tuyên bố ủy quyền tháng 7 năm 2014 của công ty. Mẫu 10-K/A năm 2012 đã công bố thêm 37.000 đô la tiền phụ cấp cho năm 2010. Tổng cộng, MSLP đã không báo cáo các khoản phụ cấp với tổng trị giá khoảng 482.000 đô la từ năm 2010–2013.</w:t>
      </w:r>
    </w:p>
    <w:p>
      <w:pPr>
        <w:spacing w:after="80"/>
      </w:pPr>
      <w:r>
        <w:rPr>
          <w:b w:val="0"/>
          <w:i w:val="0"/>
        </w:rPr>
        <w:t>* * *</w:t>
      </w:r>
    </w:p>
    <w:p>
      <w:pPr>
        <w:spacing w:after="80"/>
      </w:pPr>
      <w:r>
        <w:rPr>
          <w:b w:val="0"/>
          <w:i/>
        </w:rPr>
        <w:t>Sổ sách, hồ sơ và việc thiếu kiểm soát nội bộ</w:t>
      </w:r>
    </w:p>
    <w:p>
      <w:pPr>
        <w:spacing w:after="80"/>
      </w:pPr>
      <w:r>
        <w:rPr>
          <w:b w:val="0"/>
          <w:i w:val="0"/>
        </w:rPr>
        <w:t xml:space="preserve">24. Vì MSLP đã ghi nhận và/hoặc báo cáo không đúng về </w:t>
      </w:r>
      <w:r>
        <w:rPr>
          <w:b/>
          <w:i w:val="0"/>
        </w:rPr>
        <w:t>các khoản phúc lợi đặc biệt</w:t>
      </w:r>
      <w:r>
        <w:rPr>
          <w:b w:val="0"/>
          <w:i w:val="0"/>
        </w:rPr>
        <w:t xml:space="preserve"> (perquisites), các bên liên quan, doanh thu, lỗ khi tất toán các khoản phải trả, cam kết tài trợ, sự tập trung sản xuất, hợp đồng thuê và doanh số quốc tế, nên sổ sách, hồ sơ và tài khoản của công ty đã không phản ánh một cách chính xác và trung thực, ở mức độ chi tiết hợp lý, các giao dịch và việc định đoạt tài sản của mình.</w:t>
      </w:r>
    </w:p>
    <w:p>
      <w:pPr>
        <w:spacing w:after="80"/>
      </w:pPr>
      <w:r>
        <w:rPr>
          <w:b w:val="0"/>
          <w:i w:val="0"/>
        </w:rPr>
        <w:t xml:space="preserve">25. Ngoài ra, MSLP đã không triển khai các kiểm soát kế toán nội bộ liên quan đến </w:t>
      </w:r>
      <w:r>
        <w:rPr>
          <w:b/>
          <w:i w:val="0"/>
        </w:rPr>
        <w:t>các khoản phúc lợi đặc biệt</w:t>
      </w:r>
      <w:r>
        <w:rPr>
          <w:b w:val="0"/>
          <w:i w:val="0"/>
        </w:rPr>
        <w:t xml:space="preserve"> (perquisites), các bên liên quan, doanh thu, lỗ khi tất toán các khoản phải trả, cam kết tài trợ, sự tập trung sản xuất, hợp đồng thuê và doanh số quốc tế, ở mức đủ để đảm bảo một cách hợp lý rằng các giao dịch được ghi nhận khi cần thiết để cho phép lập báo cáo tài chính phù hợp với GAAP và để duy trì trách nhiệm giải trình đối với tài sản.</w:t>
      </w:r>
    </w:p>
    <w:p>
      <w:pPr>
        <w:spacing w:after="80"/>
      </w:pPr>
      <w:r>
        <w:rPr>
          <w:b w:val="0"/>
          <w:i/>
        </w:rPr>
        <w:t>Các hành vi vi phạm</w:t>
      </w:r>
    </w:p>
    <w:p>
      <w:pPr>
        <w:spacing w:after="80"/>
      </w:pPr>
      <w:r>
        <w:rPr>
          <w:b w:val="0"/>
          <w:i w:val="0"/>
        </w:rPr>
        <w:t>26. Do hành vi được mô tả ở trên, MSLP đã vi phạm Mục 17(a)(2) và 17(a)(3) của Luật Chứng khoán (Securities Act), trong đó quy định rằng bất kỳ người nào khi chào bán hoặc bán chứng khoán thông qua việc sử dụng thương mại liên bang đều không được phép thu tiền hoặc tài sản bằng bất kỳ tuyên bố sai lệch nào về một sự kiện trọng yếu hoặc bất kỳ sự bỏ sót nào không nêu ra một sự kiện trọng yếu cần thiết để làm cho các tuyên bố đã đưa ra, trong bối cảnh chúng được đưa ra, không gây hiểu lầm; và không được tham gia vào bất kỳ giao dịch, thực hành hoặc cách thức kinh doanh nào có tác dụng hoặc sẽ có tác dụng như một hành vi gian lận hoặc lừa dối đối với người mua.</w:t>
      </w:r>
    </w:p>
    <w:p>
      <w:pPr>
        <w:spacing w:after="80"/>
      </w:pPr>
      <w:r>
        <w:rPr>
          <w:b w:val="0"/>
          <w:i w:val="0"/>
        </w:rPr>
        <w:t>* * *</w:t>
      </w:r>
    </w:p>
    <w:p>
      <w:pPr>
        <w:spacing w:after="80"/>
      </w:pPr>
      <w:r>
        <w:rPr>
          <w:b w:val="0"/>
          <w:i w:val="0"/>
        </w:rPr>
        <w:t>28. Do hành vi được mô tả ở trên, MSLP đã vi phạm Mục 14(a) của Luật Giao dịch Chứng khoán (Exchange Act) và Quy tắc 14a-9 theo đó, trong đó cấm các hoạt động vận động thông qua bản tuyên bố ủy quyền, mẫu ủy quyền, thông báo cuộc họp hoặc thông tin liên lạc khác, bằng văn bản hoặc lời nói, có chứa một tuyên bố mà vào thời điểm và trong bối cảnh nó được đưa ra, là sai lệch hoặc gây hiểu lầm đối với bất kỳ sự kiện trọng yếu nào, hoặc đã bỏ sót không nêu ra bất kỳ sự kiện trọng yếu nào cần thiết để làm cho các tuyên bố trong đó không sai lệch hoặc gây hiểu lầm hoặc cần thiết để sửa chữa bất kỳ tuyên bố nào trong thông tin liên lạc trước đó liên quan đến việc vận động ủy quyền cho cùng cuộc họp hoặc cùng chủ đề đã trở nên sai lệch hoặc gây hiểu lầm.</w:t>
      </w:r>
    </w:p>
    <w:p>
      <w:pPr>
        <w:spacing w:after="80"/>
      </w:pPr>
      <w:r>
        <w:rPr>
          <w:b w:val="0"/>
          <w:i w:val="0"/>
        </w:rPr>
        <w:t>29. Do hành vi được mô tả ở trên, MSLP đã vi phạm Mục 13(a) của Luật Giao dịch Chứng khoán (Exchange Act) và các Quy tắc 13a-1, 13a-13 và 12b-20 theo đó, trong đó yêu cầu mọi tổ chức phát hành chứng khoán đã đăng ký theo Mục 12 của Luật Giao dịch Chứng khoán phải nộp cho Ủy ban (Commission) thông tin, tài liệu và báo cáo thường niên và hàng quý theo yêu cầu của Ủy ban, và quy định rằng các báo cáo định kỳ phải chứa thêm thông tin trọng yếu cần thiết để làm cho các tuyên bố được yêu cầu không gây hiểu lầm.</w:t>
      </w:r>
    </w:p>
    <w:p>
      <w:pPr>
        <w:spacing w:after="80"/>
      </w:pPr>
      <w:r>
        <w:rPr>
          <w:b w:val="0"/>
          <w:i w:val="0"/>
        </w:rPr>
        <w:t>30. Do hành vi được mô tả ở trên, MSLP đã vi phạm Mục 13(b)(2)(A) của Luật Giao dịch Chứng khoán (Exchange Act), trong đó yêu cầu các công ty báo cáo phải lập và lưu giữ sổ sách, hồ sơ và tài khoản phản ánh một cách chính xác và trung thực, ở mức độ chi tiết hợp lý, các giao dịch và việc định đoạt tài sản của mình.</w:t>
      </w:r>
    </w:p>
    <w:p>
      <w:pPr>
        <w:spacing w:after="80"/>
      </w:pPr>
      <w:r>
        <w:rPr>
          <w:b w:val="0"/>
          <w:i w:val="0"/>
        </w:rPr>
        <w:t>31. Do hành vi được mô tả ở trên, MSLP đã vi phạm Mục 13(b)(2)(B) của Luật Giao dịch Chứng khoán (Exchange Act), trong đó yêu cầu tất cả các công ty báo cáo phải thiết kế và duy trì một hệ thống kiểm soát kế toán nội bộ đủ để đảm bảo một cách hợp lý rằng các giao dịch được ghi nhận khi cần thiết để cho phép lập báo cáo tài chính phù hợp với GAAP và để duy trì trách nhiệm giải trình đối với tài sản.</w:t>
      </w:r>
    </w:p>
    <w:p>
      <w:pPr>
        <w:spacing w:after="80"/>
      </w:pPr>
      <w:r>
        <w:rPr>
          <w:b w:val="0"/>
          <w:i w:val="0"/>
        </w:rPr>
        <w:t>32. Cuối cùng, do hành vi được mô tả ở trên, MSLP đã vi phạm Quy tắc 302 của Quy chế S-T thuộc Luật Giao dịch Chứng khoán (Exchange Act), trong đó yêu cầu rằng (1) người ký tên vào hồ sơ điện tử phải ký thủ công vào trang chữ ký trước hoặc tại thời điểm nộp hồ sơ điện tử; (2) người nộp hồ sơ phải lưu giữ tài liệu gốc đã ký trong năm năm; và (3) người nộp hồ sơ phải cung cấp cho nhân viên Ủy ban một bản sao của tài liệu khi được yêu cầu.</w:t>
      </w:r>
    </w:p>
    <w:p>
      <w:pPr>
        <w:spacing w:after="80"/>
      </w:pPr>
      <w:r>
        <w:rPr>
          <w:b w:val="0"/>
          <w:i w:val="0"/>
        </w:rPr>
        <w:t xml:space="preserve">IV. </w:t>
      </w:r>
      <w:r>
        <w:rPr>
          <w:b w:val="0"/>
          <w:i/>
        </w:rPr>
        <w:t>Các cam kết</w:t>
      </w:r>
    </w:p>
    <w:p>
      <w:pPr>
        <w:spacing w:after="80"/>
      </w:pPr>
      <w:r>
        <w:rPr>
          <w:b w:val="0"/>
          <w:i w:val="0"/>
        </w:rPr>
        <w:t>Bị đơn đã cam kết sẽ:</w:t>
      </w:r>
    </w:p>
    <w:p>
      <w:pPr>
        <w:spacing w:after="80"/>
      </w:pPr>
      <w:r>
        <w:rPr>
          <w:b w:val="0"/>
          <w:i w:val="0"/>
        </w:rPr>
        <w:t>Thuê một chuyên gia tư vấn độc lập (gọi là “Chuyên gia Tư vấn Độc lập”) trong thời hạn một năm, không gây khó chịu cho nhân viên Ủy ban, để tiến hành đánh giá toàn diện các chính sách, quy trình, kiểm soát và đào tạo của MSLP liên quan đến việc thanh toán chi phí, các giao dịch với bên liên quan và các công bố báo cáo tài chính bắt buộc theo GAAP; và để đề xuất, nếu và khi thích hợp, các chính sách, quy trình, kiểm soát và đào tạo được thiết kế hợp lý nhằm đảm bảo:</w:t>
      </w:r>
    </w:p>
    <w:p>
      <w:pPr>
        <w:spacing w:after="80"/>
      </w:pPr>
      <w:r>
        <w:rPr>
          <w:b w:val="0"/>
          <w:i w:val="0"/>
        </w:rPr>
        <w:t>(a) MSLP tuân thủ Mục 402 của Quy chế S-K, trong đó yêu cầu, cùng với những điều khác, việc công bố các khoản phúc lợi đặc biệt (perquisites) như là thù lao điều hành;</w:t>
      </w:r>
    </w:p>
    <w:p>
      <w:pPr>
        <w:spacing w:after="80"/>
      </w:pPr>
      <w:r>
        <w:rPr>
          <w:b w:val="0"/>
          <w:i w:val="0"/>
        </w:rPr>
        <w:t>(b) MSLP có các quy trình và kiểm soát nội bộ để đảm bảo một cách hợp lý rằng các khoản thanh toán cho tư cách thành viên câu lạc bộ tư nhân, sử dụng máy bay tư nhân, bữa ăn và giải trí, dịch vụ tài chính và các chi phí khác có yếu tố cá nhân được đánh giá đúng đắn để công bố khoản phúc lợi đặc biệt;</w:t>
      </w:r>
    </w:p>
    <w:p>
      <w:pPr>
        <w:spacing w:after="80"/>
      </w:pPr>
      <w:r>
        <w:rPr>
          <w:b w:val="0"/>
          <w:i w:val="0"/>
        </w:rPr>
        <w:t>(c) Các công bố về bên liên quan của MSLP là đầy đủ, không gây hiểu nhầm và tuân thủ Mục 404 của Quy định S-K và Chuẩn mực FASB ASC Chủ đề 850, Công bố về bên liên quan; và</w:t>
      </w:r>
    </w:p>
    <w:p>
      <w:pPr>
        <w:spacing w:after="80"/>
      </w:pPr>
      <w:r>
        <w:rPr>
          <w:b w:val="0"/>
          <w:i w:val="0"/>
        </w:rPr>
        <w:t>(d) Báo cáo tài chính của MSLP, bao gồm các ghi chú liên quan, cho mục đích bên ngoài được lập theo GAAP.</w:t>
      </w:r>
    </w:p>
    <w:p>
      <w:pPr>
        <w:spacing w:after="80"/>
      </w:pPr>
      <w:r>
        <w:rPr>
          <w:b w:val="0"/>
          <w:i w:val="0"/>
        </w:rPr>
        <w:t>Yêu cầu Nhà tư vấn độc lập ký kết một thỏa thuận quy định rằng trong suốt thời gian thực hiện hợp đồng và trong khoảng thời gian hai năm kể từ khi hoàn thành hợp đồng, Nhà tư vấn độc lập sẽ không được thiết lập bất kỳ mối quan hệ lao động, tư vấn, luật sư - khách hàng, kiểm toán hoặc quan hệ nghề nghiệp nào khác với MSLP, hoặc với bất kỳ chi nhánh, giám đốc, cán bộ, nhân viên hoặc đại lý hiện tại hay trước đây của MSLP đang hành động với tư cách đó. Thỏa thuận cũng sẽ quy định rằng Nhà tư vấn độc lập phải yêu cầu bất kỳ công ty nào mà mình liên kết hoặc là thành viên, và bất kỳ người nào được thuê để hỗ trợ Nhà tư vấn độc lập thực hiện nhiệm vụ của mình theo Lệnh này, không được, nếu không có sự chấp thuận trước bằng văn bản của Văn phòng Khu vực Denver thuộc Ủy ban, thiết lập bất kỳ mối quan hệ lao động, tư vấn, luật sư - khách hàng, kiểm toán hoặc quan hệ nghề nghiệp nào khác với MSLP hoặc với bất kỳ chi nhánh, giám đốc, cán bộ, nhân viên hoặc đại lý hiện tại hay trước đây của MSLP đang hành động với tư cách đó trong suốt thời gian thực hiện hợp đồng và trong khoảng thời gian hai năm sau khi hợp đồng kết thúc.</w:t>
      </w:r>
    </w:p>
    <w:p>
      <w:pPr>
        <w:spacing w:after="80"/>
      </w:pPr>
      <w:r>
        <w:rPr>
          <w:b w:val="0"/>
          <w:i w:val="0"/>
        </w:rPr>
        <w:t>Chứng nhận, bằng văn bản, việc tuân thủ (các) cam kết nêu trên. Giấy chứng nhận phải xác định (các) cam kết, cung cấp bằng chứng bằng văn bản về việc tuân thủ dưới dạng tường thuật, và được hỗ trợ bởi các tài liệu kèm theo đủ để chứng minh việc tuân thủ. Nhân viên Ủy ban có thể đưa ra các yêu cầu hợp lý để có thêm bằng chứng về việc tuân thủ, và Bị đơn đồng ý cung cấp bằng chứng đó. . . .</w:t>
      </w:r>
    </w:p>
    <w:p>
      <w:pPr>
        <w:spacing w:after="80"/>
      </w:pPr>
      <w:r>
        <w:rPr>
          <w:b w:val="0"/>
          <w:i w:val="0"/>
        </w:rPr>
        <w:t>V.</w:t>
      </w:r>
    </w:p>
    <w:p>
      <w:pPr>
        <w:spacing w:after="80"/>
      </w:pPr>
      <w:r>
        <w:rPr>
          <w:b w:val="0"/>
          <w:i w:val="0"/>
        </w:rPr>
        <w:t>Xét những điều nêu trên, Ủy ban cho rằng việc áp đặt các biện pháp chế tài đã được đồng ý trong Đề nghị của Bị đơn MSLP là phù hợp.</w:t>
      </w:r>
    </w:p>
    <w:p>
      <w:pPr>
        <w:spacing w:after="80"/>
      </w:pPr>
      <w:r>
        <w:rPr>
          <w:b w:val="0"/>
          <w:i w:val="0"/>
        </w:rPr>
        <w:t>Theo đó, nay RA LỆNH rằng:</w:t>
      </w:r>
    </w:p>
    <w:p>
      <w:pPr>
        <w:spacing w:after="80"/>
      </w:pPr>
      <w:r>
        <w:rPr>
          <w:b w:val="0"/>
          <w:i w:val="0"/>
        </w:rPr>
        <w:t>A. Căn cứ theo Mục 8A của Luật Chứng khoán và Mục 21C của Luật Giao dịch Chứng khoán, Bị đơn MSLP phải chấm dứt và không được tiếp tục thực hiện hoặc gây ra bất kỳ hành vi vi phạm nào cũng như bất kỳ hành vi vi phạm nào trong tương lai đối với các Mục 5(a), 5(c), 17(a)(2) và 17(a)(3) của Luật Chứng khoán, các Mục 13(a), 13(b)(2)(A), 13(b)(2)(B), và 14(a) của Luật Giao dịch Chứng khoán và các Quy tắc 12b-20, 13a-1, 13a-13, và 14a9 theo đó, và Quy tắc 302 của Quy định S-T của Luật Giao dịch Chứng khoán.</w:t>
      </w:r>
    </w:p>
    <w:p>
      <w:pPr>
        <w:spacing w:after="80"/>
      </w:pPr>
      <w:r>
        <w:rPr>
          <w:b w:val="0"/>
          <w:i w:val="0"/>
        </w:rPr>
        <w:t>B. Bị đơn phải tuân thủ các cam kết được liệt kê trong Mục IV ở trên.</w:t>
      </w:r>
    </w:p>
    <w:p>
      <w:pPr>
        <w:spacing w:after="80"/>
      </w:pPr>
      <w:r>
        <w:rPr>
          <w:b w:val="0"/>
          <w:i w:val="0"/>
        </w:rPr>
        <w:t>C. Bị đơn phải nộp phạt dân sự 700,000 đô la cho Ủy ban. . . .</w:t>
      </w:r>
    </w:p>
    <w:p>
      <w:pPr>
        <w:pStyle w:val="Heading5"/>
      </w:pPr>
      <w:r>
        <w:rPr>
          <w:rFonts w:ascii="Calibri" w:hAnsi="Calibri"/>
          <w:b/>
          <w:i/>
          <w:sz w:val="22"/>
        </w:rPr>
        <w:t>Bình luận và Câu hỏi</w:t>
      </w:r>
    </w:p>
    <w:p>
      <w:pPr>
        <w:spacing w:after="80"/>
      </w:pPr>
      <w:r>
        <w:rPr>
          <w:b w:val="0"/>
          <w:i w:val="0"/>
        </w:rPr>
        <w:t>1. Những vi phạm công bố thông tin này đã xảy ra như thế nào? Một số giải thích khả dĩ cho việc tại sao các đặc quyền (perquisites) không được công bố là gì?</w:t>
      </w:r>
    </w:p>
    <w:p>
      <w:pPr>
        <w:spacing w:after="80"/>
      </w:pPr>
      <w:r>
        <w:rPr>
          <w:b w:val="0"/>
          <w:i w:val="0"/>
        </w:rPr>
        <w:t>2. Việc không công bố thông tin theo yêu cầu của Quy định S-K trong báo cáo định kỳ có thể vi phạm Mục 13(a) của Luật Giao dịch Chứng khoán. Tuy nhiên, hành vi vi phạm như vậy không đòi hỏi phải chứng minh hành vi cố ý hoặc sơ suất. Trong trường hợp này, tuy nhiên, Ủy ban đã khởi kiện vì vi phạm Quy tắc 14a-9, điều khoản chống gian lận trong Luật Giao dịch Chứng khoán. Những yếu tố bổ sung nào phải được chứng minh liên quan đến việc không tuân thủ Quy định S-K để đưa ra yêu cầu theo điều khoản này? Những yếu tố đó có hiện diện trong trường hợp này không?</w:t>
      </w:r>
    </w:p>
    <w:p>
      <w:pPr>
        <w:spacing w:after="80"/>
      </w:pPr>
      <w:r>
        <w:rPr>
          <w:b w:val="0"/>
          <w:i w:val="0"/>
        </w:rPr>
        <w:t>3. Bạn nghĩ gì về các cam kết được nêu trong trường hợp này? Liệu chúng có hiệu quả không? Ai chọn nhà tư vấn độc lập? Liệu một năm phục vụ có đủ để đảm bảo việc xử lý đúng đắn các khoản chi phí này trong tương lai không?</w:t>
      </w:r>
    </w:p>
    <w:p>
      <w:pPr>
        <w:spacing w:after="80"/>
      </w:pPr>
      <w:r>
        <w:rPr>
          <w:b w:val="0"/>
          <w:i w:val="0"/>
        </w:rPr>
        <w:t>4. Mục 162(m) của Bộ luật Thuế vụ Hoa Kỳ giới hạn khả năng khấu trừ thuế đối với thù lao điều hành ở mức 1 triệu đô la. Tuy nhiên, điều khoản này không áp dụng cho thù lao "dựa trên hiệu suất". Điều khoản này là một nỗ lực ban đầu của Quốc hội nhằm giới hạn thù lao điều hành. Liệu nó có hiệu quả không? Nó có thể đã tác động như thế nào đến thù lao? Lưu ý rằng bất kỳ nghĩa vụ thuế bổ sung nào đều được áp đặt lên công ty, chứ không phải lên cán bộ nhận thù lao.</w:t>
      </w:r>
    </w:p>
    <w:p>
      <w:pPr>
        <w:spacing w:after="80"/>
      </w:pPr>
      <w:r>
        <w:rPr>
          <w:b w:val="0"/>
          <w:i w:val="0"/>
        </w:rPr>
        <w:t>—————</w:t>
      </w:r>
    </w:p>
    <w:p>
      <w:pPr>
        <w:spacing w:after="80"/>
      </w:pPr>
      <w:r>
        <w:rPr>
          <w:b w:val="0"/>
          <w:i w:val="0"/>
        </w:rPr>
        <w:t>Liệu những yêu cầu công bố thông tin mở rộng này có hiệu quả không?</w:t>
      </w:r>
    </w:p>
    <w:p>
      <w:pPr>
        <w:pStyle w:val="Heading4"/>
      </w:pPr>
      <w:r>
        <w:rPr>
          <w:rFonts w:ascii="Calibri" w:hAnsi="Calibri"/>
          <w:b/>
          <w:i w:val="0"/>
          <w:sz w:val="23"/>
        </w:rPr>
        <w:t xml:space="preserve">Jennifer S. Martin, </w:t>
      </w:r>
      <w:r>
        <w:rPr>
          <w:rFonts w:ascii="Calibri" w:hAnsi="Calibri"/>
          <w:b/>
          <w:i/>
          <w:sz w:val="23"/>
        </w:rPr>
        <w:t>The House of Mouse and Beyond:</w:t>
      </w:r>
      <w:r>
        <w:br/>
      </w:r>
      <w:r>
        <w:rPr>
          <w:rFonts w:ascii="Calibri" w:hAnsi="Calibri"/>
          <w:b/>
          <w:i/>
          <w:sz w:val="23"/>
        </w:rPr>
        <w:t xml:space="preserve"> Assessing the SEC's Efforts to Regulate Executive Compensation</w:t>
      </w:r>
    </w:p>
    <w:p>
      <w:pPr>
        <w:spacing w:after="80"/>
      </w:pPr>
      <w:r>
        <w:rPr>
          <w:b w:val="0"/>
          <w:i w:val="0"/>
        </w:rPr>
        <w:t>32 Del. J. Corp. L. 481, 523–26 (2007)</w:t>
      </w:r>
    </w:p>
    <w:p>
      <w:pPr>
        <w:spacing w:after="80"/>
      </w:pPr>
      <w:r>
        <w:rPr>
          <w:b w:val="0"/>
          <w:i w:val="0"/>
        </w:rPr>
        <w:t>Lợi ích đối với công chúng đầu tư khi được tiếp cận đầy đủ, theo cách minh bạch hơn, các chính sách, thông lệ và dữ liệu về thù lao điều hành là không thể xem nhẹ. Câu nói nổi tiếng được trích dẫn nhiều lần của Brandeis, “[á]nh sáng mặt trời được cho là chất khử trùng tốt nhất; ánh sáng điện là người cảnh sát hiệu quả nhất,” rất phù hợp ở đây. Tính minh bạch, nếu đạt được, chắc chắn sẽ có tác động đến khả năng các giám đốc điều hành nhận được những gói thù lao điều hành ít gắn với hiệu quả hoạt động hơn. Việc công bố thông tin cũng đảm bảo rằng nhà đầu tư có quyền tiếp cận thông tin thù lao trước khi đưa ra quyết định đầu tư. Người ta tin rằng việc tiếp cận dữ liệu tài chính dễ hiểu, ngay cả chỉ bởi các chuyên gia thị trường, sẽ khiến dữ liệu đó được phản ánh vào giá cổ phiếu. Việc xem xét các chính sách thù lao trong giá cổ phiếu và cho cổ đông tiếp cận thông tin này trước khi đầu tư là điều có ý nghĩa. Tuy nhiên, điều đó không giống với việc trao cho cổ đông một phương tiện để buộc những người ra quyết định phải chịu trách nhiệm hoặc để thay đổi các chính sách hay quy trình thù lao nhằm bảo vệ khoản đầu tư đã thực hiện. Liệu chúng ta có nên áp dụng một cách tiếp cận quản lý đối với thù lao điều hành mà chủ yếu phụ thuộc vào lựa chọn của nhà đầu tư ở giai đoạn mua không? Còn về tình trạng quá tải thông tin, sự tự tin thái quá vào khả năng giải mã thông tin của bản thân, sự lạc quan và những rào cản khác đối với việc quản lý dựa trên công bố thông tin thì sao?</w:t>
      </w:r>
    </w:p>
    <w:p>
      <w:pPr>
        <w:spacing w:after="80"/>
      </w:pPr>
      <w:r>
        <w:rPr>
          <w:b w:val="0"/>
          <w:i w:val="0"/>
        </w:rPr>
        <w:t>SEC thường hướng trọng tâm vào các quy định dựa trên công bố thông tin, thay vì xem xét giá trị thực chất hay quy định nội dung. “[C]ó một chủ đề lặp đi lặp lại xuyên suốt [các luật chứng khoán liên bang] là công bố thông tin, lại công bố thông tin, và vẫn còn công bố thông tin nhiều hơn nữa.” SEC tin rằng thị trường giả định nhà đầu tư đưa ra quyết định sáng suốt khi có đầy đủ thông tin công bố. Ưu điểm của công bố thông tin như một cách tiếp cận quản lý là nó là sự can thiệp của chính phủ ít xâm phạm hơn vào các công ty và cho phép nhà đầu tư đưa ra lựa chọn cá nhân về đầu tư. Trọng tâm công bố thông tin thể hiện rõ ràng trong Đạo luật Sarbanes-Oxley năm 2002 (Sarbanes-Oxley), với mục đích “[b]ảo vệ nhà đầu tư bằng cách cải thiện tính chính xác và độ tin cậy của các công bố thông tin doanh nghiệp được thực hiện theo luật chứng khoán.” Các chương trình truyền thống tập trung vào công bố thông tin của SEC có thể mang lại kết quả ở một số lĩnh vực, chẳng hạn như đảm bảo rằng một bản cáo bạch trong đợt phát hành cổ phiếu lần đầu ra công chúng có chứa thông tin sai lệch sẽ tạo ra trách nhiệm pháp lý cho tổ chức phát hành.</w:t>
      </w:r>
    </w:p>
    <w:p>
      <w:pPr>
        <w:spacing w:after="80"/>
      </w:pPr>
      <w:r>
        <w:rPr>
          <w:b w:val="0"/>
          <w:i w:val="0"/>
        </w:rPr>
        <w:t>. . . Trước những vấn đề tiếp diễn xung quanh quản trị doanh nghiệp, việc phụ thuộc quá mức vào công bố thông tin như một cách tiếp cận quản lý có thể không còn phù hợp với nhu cầu quản lý hiện tại. Thứ nhất, nhà đầu tư không phải lúc nào cũng đưa ra quyết định hợp lý khi thực hiện khoản đầu tư ban đầu. Thứ hai, nhà đầu tư cần những lựa chọn khác ngoài việc bán để phản ứng với thông tin được công bố về thù lao quá mức cho giám đốc điều hành. Thứ ba, sự phức tạp của các doanh nghiệp hiện đại cho thấy rõ rằng việc công bố thông tin chính xác và dễ hiểu đối với cổ đông là một nhiệm vụ đầy khó khăn đối với các cán bộ doanh nghiệp. Không phải mọi hành vi của nhà đầu tư đều là những quyết định mua và bán đơn giản để phản ứng với thông tin được công bố dễ hiểu. Nhà đầu tư dễ bị tổn thương trước những hành vi sai trái của doanh nghiệp do thiếu thông tin về thù lao điều hành. Nhà đầu tư cũng dễ bị tổn thương do những hạn chế trong khả năng phản ứng với thông tin mà họ có.</w:t>
      </w:r>
    </w:p>
    <w:p>
      <w:pPr>
        <w:spacing w:after="80"/>
      </w:pPr>
      <w:r>
        <w:rPr>
          <w:b w:val="0"/>
          <w:i w:val="0"/>
        </w:rPr>
        <w:t>Việc sử dụng cùng một cách tiếp cận công bố thông tin cho các vấn đề thù lao điều hành khó có thể mang lại kết quả có ý nghĩa tương tự. Việc SEC yêu cầu công bố dữ liệu thù lao điều hành cho cổ đông sẽ thiếu giá trị nếu cổ đông không thể xử lý và sử dụng hiệu quả thông tin đó. Ví dụ, tình trạng quá tải thông tin là một vấn đề đối với các hệ thống quản lý dựa trên công bố thông tin nói chung, nhưng nó sẽ đặc biệt là rào cản đối với nhà đầu tư trong việc hiểu thông tin công bố về thù lao điều hành. Các Quy định Sửa đổi dự kiến không ít hơn tám biểu đồ phức tạp và phần thảo luận tường thuật dài dòng. Ngoài ra, SEC đang cố gắng tránh việc công bố thông tin thù lao theo kiểu “khuôn mẫu” bằng các Quy định Sửa đổi. Bởi vì luật sư soạn thảo nhiều tài liệu nộp cho SEC, ngôn ngữ khuôn mẫu sẽ gần như không thể loại bỏ được bằng các Quy định Sửa đổi. Hơn nữa, phần lớn thông tin được dự kiến công bố theo các Quy định Sửa đổi sẽ được tiếp nhận sau khi các quyết định về thù lao điều hành đã được đưa ra. Do đó, cổ đông hiện hữu không có lựa chọn có ý nghĩa nào để thay đổi chính sách thù lao sau khi sự việc đã rồi, ngoài việc bán cổ phần của họ. Như đã thảo luận ở trên, bán cổ phần là một biện pháp kiểm soát yếu ớt đối với những người ra quyết định của doanh nghiệp.</w:t>
      </w:r>
    </w:p>
    <w:p>
      <w:pPr>
        <w:pStyle w:val="Heading5"/>
      </w:pPr>
      <w:r>
        <w:rPr>
          <w:rFonts w:ascii="Calibri" w:hAnsi="Calibri"/>
          <w:b/>
          <w:i/>
          <w:sz w:val="22"/>
        </w:rPr>
        <w:t>Bình luận và Câu hỏi</w:t>
      </w:r>
    </w:p>
    <w:p>
      <w:pPr>
        <w:spacing w:after="80"/>
      </w:pPr>
      <w:r>
        <w:rPr>
          <w:b w:val="0"/>
          <w:i w:val="0"/>
        </w:rPr>
        <w:t>1. Vấn đề khi cố gắng giải quyết vấn đề thù lao điều hành thông qua công bố thông tin là gì? Giáo sư Martin lưu ý rằng công bố thông tin “không tương đương với việc xem xét giá trị thực chất hay quy định nội dung đối với hành vi doanh nghiệp.” Kết quả là, bà kết luận rằng nó có thể không có tác động đáng kể đến các quyết định thù lao, ngoại trừ có lẽ khiến các khoản tiền tăng lên. Liệu việc SEC quan tâm đến tác động thực chất của công bố thông tin đối với các quyết định thù lao có phải là vai trò phù hợp không?</w:t>
      </w:r>
    </w:p>
    <w:p>
      <w:pPr>
        <w:spacing w:after="80"/>
      </w:pPr>
      <w:r>
        <w:rPr>
          <w:b w:val="0"/>
          <w:i w:val="0"/>
        </w:rPr>
        <w:t xml:space="preserve">2. Mức độ công bố thông tin phải thực hiện đối với thù lao điều hành là đặc biệt lớn. </w:t>
      </w:r>
      <w:r>
        <w:rPr>
          <w:b w:val="0"/>
          <w:i/>
        </w:rPr>
        <w:t>Xem</w:t>
      </w:r>
      <w:r>
        <w:rPr>
          <w:b w:val="0"/>
          <w:i w:val="0"/>
        </w:rPr>
        <w:t xml:space="preserve"> Mục 402 của Quy định S-K, 17 C.F.R. 229.402. Có những lý do cụ thể nào khiến việc công bố thông tin chi tiết như vậy là cần thiết trong lĩnh vực thù lao điều hành không? Liệu có một điểm mà lượng thông tin công bố có thể bị coi là phản tác dụng không?</w:t>
      </w:r>
    </w:p>
    <w:p>
      <w:pPr>
        <w:spacing w:after="80"/>
      </w:pPr>
      <w:r>
        <w:rPr>
          <w:b w:val="0"/>
          <w:i w:val="0"/>
        </w:rPr>
        <w:t xml:space="preserve">3. Việc công bố thông tin trong lĩnh vực này có thể dẫn đến việc tăng, thay vì giảm, thù lao điều hành như thế nào? Như một học giả khẳng định: “Cái tôi điều hành phồng to đòi hỏi mức thù lao điều hành phồng to, đặc biệt là khi được so sánh với thù lao của các giám đốc điều hành đối thủ.” Kenneth R. Davis, </w:t>
      </w:r>
      <w:r>
        <w:rPr>
          <w:b w:val="0"/>
          <w:i/>
        </w:rPr>
        <w:t>Taking Stock—Salary and Options Too: The Looting of Corporate America</w:t>
      </w:r>
      <w:r>
        <w:rPr>
          <w:b w:val="0"/>
          <w:i w:val="0"/>
        </w:rPr>
        <w:t xml:space="preserve"> , 69 Md. L. Rev. 419, 447 (2010). Bạn có đồng ý không?</w:t>
      </w:r>
    </w:p>
    <w:p>
      <w:pPr>
        <w:spacing w:after="80"/>
      </w:pPr>
      <w:r>
        <w:rPr>
          <w:b w:val="0"/>
          <w:i w:val="0"/>
        </w:rPr>
        <w:t>4. Mục 953(b) của Đạo luật Dodd-Frank yêu cầu các công ty công bố “mức trung vị” tổng thù lao hằng năm của tất cả nhân viên ngoại trừ CEO, tổng thù lao hằng năm của CEO, và tỷ lệ giữa các khoản này. Việc công bố thông tin này có thể nhằm mục đích gì? Trong phạm vi một công ty muốn giảm tỷ lệ này, công ty có thể thực hiện những bước nào?</w:t>
      </w:r>
    </w:p>
    <w:p>
      <w:pPr>
        <w:pStyle w:val="Heading3"/>
      </w:pPr>
      <w:r>
        <w:rPr>
          <w:rFonts w:ascii="Calibri" w:hAnsi="Calibri"/>
          <w:b/>
          <w:i w:val="0"/>
          <w:sz w:val="26"/>
        </w:rPr>
        <w:t>B. Công bố thông tin và Những thay đổi thực chất trong Hành vi</w:t>
      </w:r>
    </w:p>
    <w:p>
      <w:pPr>
        <w:spacing w:after="80"/>
      </w:pPr>
      <w:r>
        <w:rPr>
          <w:b w:val="0"/>
          <w:i w:val="0"/>
        </w:rPr>
        <w:t>SEC không có quyền quản lý các điều khoản thực chất của thù lao điều hành. Nói cách khác, loại và số tiền phần lớn nằm ngoài thẩm quyền quản lý của cơ quan này. Tuy nhiên, điều này không có nghĩa là Ủy ban đã bỏ mặc phần nội dung. Chỉ riêng việc công bố thông tin đôi khi có thể ảnh hưởng đến những gì diễn ra trong phòng họp hội đồng quản trị. Cụ thể, Mục 402(b) của Quy định S-K, 17 C.F.R. 229.402(b), quy định:</w:t>
      </w:r>
    </w:p>
    <w:p>
      <w:pPr>
        <w:spacing w:after="80"/>
      </w:pPr>
      <w:r>
        <w:rPr>
          <w:b/>
          <w:i w:val="0"/>
        </w:rPr>
        <w:t>(b)</w:t>
      </w:r>
      <w:r>
        <w:rPr>
          <w:b w:val="0"/>
          <w:i w:val="0"/>
        </w:rPr>
        <w:t xml:space="preserve"> </w:t>
      </w:r>
      <w:r>
        <w:rPr>
          <w:b w:val="0"/>
          <w:i/>
        </w:rPr>
        <w:t>Thảo luận và phân tích thù lao.</w:t>
      </w:r>
      <w:r>
        <w:rPr>
          <w:b w:val="0"/>
          <w:i w:val="0"/>
        </w:rPr>
        <w:t xml:space="preserve"> (1) Thảo luận về thù lao được trao cho, kiếm được bởi, hoặc trả cho các giám đốc điều hành được nêu tên. Phần thảo luận phải giải thích tất cả các yếu tố trọng yếu trong thù lao của tổ chức đăng ký đối với các giám đốc điều hành được nêu tên. Phần thảo luận phải mô tả những điều sau:</w:t>
      </w:r>
    </w:p>
    <w:p>
      <w:pPr>
        <w:spacing w:after="80"/>
      </w:pPr>
      <w:r>
        <w:rPr>
          <w:b w:val="0"/>
          <w:i w:val="0"/>
        </w:rPr>
        <w:t xml:space="preserve">Các mục tiêu của chương trình thù lao của tổ chức đăng ký; </w:t>
      </w:r>
      <w:r>
        <w:rPr>
          <w:b/>
          <w:i w:val="0"/>
        </w:rPr>
        <w:t>(ii)</w:t>
      </w:r>
      <w:r>
        <w:rPr>
          <w:b w:val="0"/>
          <w:i w:val="0"/>
        </w:rPr>
        <w:t xml:space="preserve"> Chương trình thù lao được thiết kế để thưởng cho điều gì;</w:t>
      </w:r>
      <w:r>
        <w:rPr>
          <w:b/>
          <w:i w:val="0"/>
        </w:rPr>
        <w:t>(iii)</w:t>
      </w:r>
      <w:r>
        <w:rPr>
          <w:b w:val="0"/>
          <w:i w:val="0"/>
        </w:rPr>
        <w:t xml:space="preserve"> Từng yếu tố của thù lao; </w:t>
      </w:r>
      <w:r>
        <w:rPr>
          <w:b/>
          <w:i w:val="0"/>
        </w:rPr>
        <w:t>(iv)</w:t>
      </w:r>
      <w:r>
        <w:rPr>
          <w:b w:val="0"/>
          <w:i w:val="0"/>
        </w:rPr>
        <w:t xml:space="preserve"> Tại sao tổ chức đăng ký chọn trả từng yếu tố; </w:t>
      </w:r>
      <w:r>
        <w:rPr>
          <w:b/>
          <w:i w:val="0"/>
        </w:rPr>
        <w:t>(v)</w:t>
      </w:r>
      <w:r>
        <w:rPr>
          <w:b w:val="0"/>
          <w:i w:val="0"/>
        </w:rPr>
        <w:t xml:space="preserve"> Cách tổ chức đăng ký xác định số tiền (và, khi áp dụng, công thức) cho từng yếu tố để trả; </w:t>
      </w:r>
      <w:r>
        <w:rPr>
          <w:b/>
          <w:i w:val="0"/>
        </w:rPr>
        <w:t>(vi)</w:t>
      </w:r>
      <w:r>
        <w:rPr>
          <w:b w:val="0"/>
          <w:i w:val="0"/>
        </w:rPr>
        <w:t xml:space="preserve"> Cách mỗi yếu tố thù lao và các quyết định của tổ chức đăng ký liên quan đến yếu tố đó khớp với các mục tiêu thù lao tổng thể của tổ chức đăng ký và ảnh hưởng đến các quyết định liên quan đến các yếu tố khác . . .</w:t>
      </w:r>
    </w:p>
    <w:p>
      <w:pPr>
        <w:pStyle w:val="Heading4"/>
      </w:pPr>
      <w:r>
        <w:rPr>
          <w:rFonts w:ascii="Calibri" w:hAnsi="Calibri"/>
          <w:b/>
          <w:i w:val="0"/>
          <w:sz w:val="23"/>
        </w:rPr>
        <w:t>Công bố về Thù lao Điều hành và Người có Liên quan</w:t>
      </w:r>
    </w:p>
    <w:p>
      <w:pPr>
        <w:spacing w:after="80"/>
      </w:pPr>
      <w:r>
        <w:rPr>
          <w:b w:val="0"/>
          <w:i w:val="0"/>
        </w:rPr>
        <w:t>Exchange Act Release No. 54302A (ngày 29 tháng 8 năm 2006)</w:t>
      </w:r>
    </w:p>
    <w:p>
      <w:pPr>
        <w:spacing w:after="80"/>
      </w:pPr>
      <w:r>
        <w:rPr>
          <w:b w:val="0"/>
          <w:i w:val="0"/>
        </w:rPr>
        <w:t>Mục đích của việc công bố Thảo luận và Phân tích về Thù lao (Compensation Discussion and Analysis) là cung cấp thông tin trọng yếu về các mục tiêu và chính sách thù lao đối với các giám đốc điều hành được nêu tên mà không dùng đến những công bố khuôn mẫu sáo rỗng. Thảo luận và Phân tích về Thù lao nhằm giúp nhà đầu tư có cái nhìn tổng thể về các con số và phần diễn giải theo sau nó.</w:t>
      </w:r>
    </w:p>
    <w:p>
      <w:pPr>
        <w:spacing w:after="80"/>
      </w:pPr>
      <w:r>
        <w:rPr>
          <w:b w:val="0"/>
          <w:i w:val="0"/>
        </w:rPr>
        <w:t>Như đã mô tả trong Proposing Release và như được thông qua, yêu cầu về Thảo luận và Phân tích về Thù lao mang tính nguyên tắc (principles-based), ở chỗ nó xác định khái niệm công bố và đưa ra một số ví dụ minh họa. Một số người góp ý cho rằng cách tiếp cận dựa trên nguyên tắc sẽ tốt hơn nếu không có ví dụ, với lý thuyết rằng những "danh sách dài dòng" (laundry lists) sẽ dẫn đến công bố khuôn mẫu sáo rỗng. Những người góp ý khác lại có quan điểm ngược lại — rằng việc mô tả cụ thể hơn các chủ đề công bố bắt buộc sẽ khơi ra được những công bố có ý nghĩa một cách hiệu quả hơn.</w:t>
      </w:r>
    </w:p>
    <w:p>
      <w:pPr>
        <w:spacing w:after="80"/>
      </w:pPr>
      <w:r>
        <w:rPr>
          <w:b w:val="0"/>
          <w:i w:val="0"/>
        </w:rPr>
        <w:t>. . . Nhìn chung, chúng tôi thiết kế các đề xuất sao cho nêu ra các yêu cầu đủ rộng để tiếp tục vận hành hiệu quả khi các hình thức thù lao trong tương lai phát triển, mà không ngụ ý rằng những mục không nằm gọn trong một "ô" (box) do các quy tắc quy định thì không cần phải công bố. Chúng tôi tin rằng Thảo luận và Phân tích về Thù lao dựa trên nguyên tắc đã được thông qua, sử dụng một khái niệm công bố cùng với các ví dụ minh họa, tạo nên sự cân bằng thích hợp để khơi ra những công bố có ý nghĩa một cách hiệu quả, ngay cả khi các phương tiện thù lao mới phát triển theo thời gian.</w:t>
      </w:r>
    </w:p>
    <w:p>
      <w:pPr>
        <w:spacing w:after="80"/>
      </w:pPr>
      <w:r>
        <w:rPr>
          <w:b w:val="0"/>
          <w:i w:val="0"/>
        </w:rPr>
        <w:t>Tuy nhiên, chúng tôi muốn nhấn mạnh rằng việc áp dụng một ví dụ cụ thể phải được điều chỉnh cho phù hợp với từng công ty và rằng các ví dụ này không mang tính độc quyền. Chúng tôi tin rằng việc sử dụng các ví dụ minh họa giúp xác định những loại công bố có thể áp dụng. Một công ty phải đánh giá tính trọng yếu đối với nhà đầu tư của thông tin được ví dụ đó chỉ ra, dựa trên tình huống cụ thể của công ty. Chúng tôi cũng lưu ý rằng trong một số trường hợp, một ví dụ có thể không trọng yếu đối với một công ty cụ thể, và do đó sẽ không cần công bố. Bởi vì phạm vi của Thảo luận và Phân tích về Thù lao được dự định là toàn diện, một công ty phải đề cập đến các chính sách thù lao mà mình áp dụng, ngay cả khi chúng không nằm trong số các ví dụ. Thảo luận và Phân tích về Thù lao nên phản ánh hoàn cảnh riêng của từng công ty và nên tránh những công bố khuôn mẫu sáo rỗng.</w:t>
      </w:r>
    </w:p>
    <w:p>
      <w:pPr>
        <w:pStyle w:val="Heading5"/>
      </w:pPr>
      <w:r>
        <w:rPr>
          <w:rFonts w:ascii="Calibri" w:hAnsi="Calibri"/>
          <w:b/>
          <w:i/>
          <w:sz w:val="22"/>
        </w:rPr>
        <w:t>Bình luận và Câu hỏi</w:t>
      </w:r>
    </w:p>
    <w:p>
      <w:pPr>
        <w:spacing w:after="80"/>
      </w:pPr>
      <w:r>
        <w:rPr>
          <w:b w:val="0"/>
          <w:i w:val="0"/>
        </w:rPr>
        <w:t>1. Bạn nghĩ gì về cách tiếp cận này của Ủy ban (Commission)? Việc công bố quy trình được sử dụng để xác định thù lao có thể có tác động gì đến số tiền được trả? Kiểu công bố này có ý nghĩa gì đối với các nghĩa vụ ủy thác (fiduciary obligations) của hội đồng quản trị?</w:t>
      </w:r>
    </w:p>
    <w:p>
      <w:pPr>
        <w:spacing w:after="80"/>
      </w:pPr>
      <w:r>
        <w:rPr>
          <w:b w:val="0"/>
          <w:i w:val="0"/>
        </w:rPr>
        <w:t>2. Ủy ban mô tả cách tiếp cận này là "dựa trên nguyên tắc" (principles-based) chứ không phải "dựa trên quy tắc" (rule-based). Điều này có nghĩa là gì? Liệu nó có khả năng hiệu quả không? Những vấn đề gì nảy sinh với một hệ thống đòi hỏi phải công bố "hoàn cảnh riêng" của từng công ty?</w:t>
      </w:r>
    </w:p>
    <w:p>
      <w:pPr>
        <w:spacing w:after="80"/>
      </w:pPr>
      <w:r>
        <w:rPr>
          <w:b w:val="0"/>
          <w:i w:val="0"/>
        </w:rPr>
        <w:t>3. Item 402 yêu cầu công bố các chính sách không chỉ ảnh hưởng đến số tiền mà còn đến các loại thù lao. Ví dụ, phải công bố các chính sách phân bổ thù lao bằng tiền mặt và phi tiền mặt. Những loại chính sách nào sẽ được công bố do yêu cầu kiểu này? Tại sao loại thù lao lại quan trọng?</w:t>
      </w:r>
    </w:p>
    <w:p>
      <w:pPr>
        <w:spacing w:after="80"/>
      </w:pPr>
      <w:r>
        <w:rPr>
          <w:b w:val="0"/>
          <w:i w:val="0"/>
        </w:rPr>
        <w:t>4. Phần thảo luận cũng phải mô tả các chính sách liên quan đến việc thu hồi một số khoản thù lao nhất định. SOX quy định một số trường hợp buộc phải thu hồi thù lao. Ngoài ra, các công ty nhận tiền từ chính phủ trong cuộc khủng hoảng tài chính năm 2008 phải quy định việc "thu hồi" (clawbacks) thù lao trong một số tình huống nhất định. Hơn nữa, thông lệ này cuối cùng đã mở rộng ra ngoài các công ty nhận tiền cứu trợ.</w:t>
      </w:r>
    </w:p>
    <w:p>
      <w:pPr>
        <w:spacing w:after="80"/>
      </w:pPr>
      <w:r>
        <w:rPr>
          <w:b w:val="0"/>
          <w:i w:val="0"/>
        </w:rPr>
        <w:t>5. Mối lo ngại đáng kể nhất đối với các yêu cầu công bố nhằm cố gắng phát hiện phương pháp và các yếu tố được dùng để ấn định thù lao là nỗi lo rằng nó sẽ dẫn đến những công bố khuôn mẫu sáo rỗng. Hãy nhớ rằng nhà đầu tư không có quyền khởi kiện tư nhân (private right of action) đối với các vi phạm yêu cầu báo cáo định kỳ, và mặc dù cổ đông có thể kiện vì vi phạm các quy tắc ủy quyền (proxy rules), họ phải đáp ứng các yêu cầu để có quyền khởi kiện tư nhân, bao gồm yêu cầu rằng các thiếu sót hoặc sai lệch phải mang tính trọng yếu. Do đó, việc thực thi các yêu cầu này phần lớn thuộc về Ủy ban.</w:t>
      </w:r>
    </w:p>
    <w:p>
      <w:pPr>
        <w:spacing w:after="80"/>
      </w:pPr>
      <w:r>
        <w:rPr>
          <w:b w:val="0"/>
          <w:i w:val="0"/>
        </w:rPr>
        <w:t>6. Các nhân viên tại Division of Corporation Finance đã tích cực xem xét các hồ sơ có công bố về thù lao và tìm cách cải thiện chất lượng công bố do các công ty cung cấp. Những nỗ lực này đã phát hiện ra nhiều sai sót đáng kể trong quá trình công bố. Ví dụ, như các nhân viên đã quan sát:</w:t>
      </w:r>
    </w:p>
    <w:p>
      <w:pPr>
        <w:spacing w:after="80"/>
      </w:pPr>
      <w:r>
        <w:rPr>
          <w:b w:val="0"/>
          <w:i w:val="0"/>
        </w:rPr>
        <w:t>Chúng tôi nhận thấy rằng một số công ty đã thảo luận về triết lý thù lao và cơ chế ra quyết định của họ một cách rất chi tiết. Chúng tôi đã yêu cầu một số lượng đáng kể các công ty điều chỉnh lại phần trình bày Thảo luận và Phân tích về Thù lao của họ để tập trung vào bản chất các quyết định thù lao của họ và công bố cách họ phân tích thông tin cũng như lý do tại sao các phân tích đó dẫn đến mức thù lao họ đã trả. Ví dụ, khi một công ty đưa ra một thảo luận dài dòng về triết lý thù lao của mình, chúng tôi đề nghị họ cải thiện Thảo luận và Phân tích về Thù lao bằng cách giải thích những triết lý đó đã dẫn đến các con số họ trình bày trong các bảng bắt buộc như thế nào và tại sao. Tương tự, khi một công ty đưa ra một thảo luận dài dòng về quy trình ra quyết định của mình, chúng tôi đề nghị rằng thay vì giải thích quy trình, họ nên giải thích cách phân tích thông tin liên quan của họ đã dẫn đến các quyết định họ đưa ra như thế nào.</w:t>
      </w:r>
    </w:p>
    <w:p>
      <w:pPr>
        <w:spacing w:after="80"/>
      </w:pPr>
      <w:r>
        <w:rPr>
          <w:b w:val="0"/>
          <w:i w:val="0"/>
        </w:rPr>
        <w:t>Staff Observations in the Review of Executive Compensation Disclosure, Division of Corporation Finance, ngày 9 tháng 10 năm 2007. Điều này gợi ý gì về những vấn đề mà các nhân viên phải đối mặt trong việc đảm bảo rằng các yêu cầu này khơi ra được những công bố có ý nghĩa? Các nhân viên phải dành những nguồn lực gì cho vấn đề này và điều gì có khả năng xảy ra khi các nguồn lực được dùng cho những việc khác?</w:t>
      </w:r>
    </w:p>
    <w:p>
      <w:pPr>
        <w:spacing w:after="80"/>
      </w:pPr>
      <w:r>
        <w:rPr>
          <w:b w:val="0"/>
          <w:i w:val="0"/>
        </w:rPr>
        <w:t>7. Vấn đề phổ biến nhất mà các nhân viên ghi nhận liên quan đến việc sử dụng các mục tiêu hiệu suất (performance targets). Các công ty thường cho rằng thù lao phụ thuộc vào hiệu suất nhưng, như các nhân viên đã lưu ý, "[c]húng tôi thường thấy khó hiểu cách các công ty sử dụng những mục tiêu hiệu suất này hoặc xem xét hiệu suất cá nhân mang tính định tính để ấn định chính sách thù lao và đưa ra quyết định thù lao." Nói cách khác, các nhân viên gặp khó khăn trong việc xác định mối quan hệ giữa các mục tiêu và số tiền thù lao thực tế được trả. Một số cách giải thích khả dĩ cho khó khăn này là gì?</w:t>
      </w:r>
    </w:p>
    <w:p>
      <w:pPr>
        <w:spacing w:after="80"/>
      </w:pPr>
      <w:r>
        <w:rPr>
          <w:b w:val="0"/>
          <w:i w:val="0"/>
        </w:rPr>
        <w:t xml:space="preserve">8. Liệu yêu cầu này có hiệu quả không? Theo một nhà bình luận, để tuân thủ phần Phân tích và Thảo luận về Thù lao (Compensation Discussion and Analysis), “các công ty cần đến những chuyên gia tư vấn thù lao và luật sư có chuyên môn đặc biệt để giúp soạn một báo cáo mà rất ít nhà đầu tư đọc và còn ít người hiểu hơn nữa.” Kenneth R. Davis, </w:t>
      </w:r>
      <w:r>
        <w:rPr>
          <w:b w:val="0"/>
          <w:i/>
        </w:rPr>
        <w:t>Taking Stock—Salary and Options Too: The Looting of Corporate America</w:t>
      </w:r>
      <w:r>
        <w:rPr>
          <w:b w:val="0"/>
          <w:i w:val="0"/>
        </w:rPr>
        <w:t xml:space="preserve"> , 69 Md. L. Rev. 419, 424 (2010).</w:t>
      </w:r>
    </w:p>
    <w:p>
      <w:pPr>
        <w:spacing w:after="80"/>
      </w:pPr>
      <w:r>
        <w:rPr>
          <w:b w:val="0"/>
          <w:i w:val="0"/>
        </w:rPr>
        <w:t>9. Đạo luật Dodd-Frank cũng mở rộng thẩm quyền của SEC trong việc điều chỉnh thù lao. Mục 956 trao cho một số cơ quan quản lý liên bang, bao gồm cả SEC, thẩm quyền ban hành các quy định cấm “bất kỳ loại thỏa thuận thanh toán dựa trên khuyến khích nào” khuyến khích “những rủi ro không phù hợp” của một số tổ chức tài chính nhất định. Trong trường hợp của SEC, thẩm quyền này mở rộng tới một số nhà môi giới và cố vấn đầu tư. Điều này có gợi ý rằng Quốc hội cuối cùng sẽ cho phép SEC trực tiếp điều chỉnh số tiền và loại thù lao mà các công ty đại chúng hoặc niêm yết chi trả không?</w:t>
      </w:r>
    </w:p>
    <w:p>
      <w:pPr>
        <w:spacing w:after="80"/>
      </w:pPr>
      <w:r>
        <w:rPr>
          <w:b w:val="0"/>
          <w:i w:val="0"/>
        </w:rPr>
        <w:t>—————</w:t>
      </w:r>
    </w:p>
    <w:p>
      <w:pPr>
        <w:pStyle w:val="Heading4"/>
      </w:pPr>
      <w:r>
        <w:rPr>
          <w:rFonts w:ascii="Calibri" w:hAnsi="Calibri"/>
          <w:b/>
          <w:i w:val="0"/>
          <w:sz w:val="23"/>
        </w:rPr>
        <w:t>Công bố Tỷ lệ Thù lao</w:t>
      </w:r>
    </w:p>
    <w:p>
      <w:pPr>
        <w:spacing w:after="80"/>
      </w:pPr>
      <w:r>
        <w:rPr>
          <w:b w:val="0"/>
          <w:i w:val="0"/>
        </w:rPr>
        <w:t>Exchange Act Release No. 75610 (ngày 5 tháng 8 năm 2015)</w:t>
      </w:r>
    </w:p>
    <w:p>
      <w:pPr>
        <w:spacing w:after="80"/>
      </w:pPr>
      <w:r>
        <w:rPr>
          <w:b w:val="0"/>
          <w:i w:val="0"/>
        </w:rPr>
        <w:t>Mục 953(b)(1) của Đạo luật Cải cách Phố Wall và Bảo vệ Người tiêu dùng Dodd-Frank (gọi tắt là “Đạo luật Dodd-Frank”) chỉ đạo chúng tôi sửa đổi Mục 402 của Quy định S-K (“Mục 402”) để yêu cầu mỗi đơn vị đăng ký, ngoại trừ một công ty tăng trưởng mới nổi, như thuật ngữ này được định nghĩa tại Mục 3(a) của Exchange Act, phải công bố trong bất kỳ hồ sơ nộp nào của đơn vị đăng ký được mô tả tại Mục 10(a) của Quy định S-K (hoặc bất kỳ văn bản kế nhiệm nào): (A) Mức trung vị của tổng thù lao hằng năm của tất cả nhân viên của đơn vị đăng ký, trừ tổng giám đốc điều hành (“CEO”) (hoặc bất kỳ vị trí tương đương nào) của đơn vị đăng ký; (B) tổng thù lao hằng năm của CEO (hoặc bất kỳ vị trí tương đương nào) của đơn vị đăng ký; và (C) tỷ lệ giữa mức trung vị của tổng thù lao của tất cả nhân viên của đơn vị đăng ký so với tổng thù lao hằng năm của CEO của đơn vị đăng ký. Mục 953(b)(2) quy định rằng, vì mục đích của Mục 953(b), “tổng thù lao” của một nhân viên của đơn vị đăng ký phải được xác định theo Mục 402(c)(2)(x) của Quy định S-K như có hiệu lực vào ngày trước ngày ban hành Đạo luật Dodd-Frank. Như đã thảo luận chi tiết dưới đây, chúng tôi đang thông qua các sửa đổi đối với Mục 402 để thực thi Mục 953(b). Chúng tôi gọi việc công bố mức trung vị của tổng thù lao hằng năm của tất cả nhân viên của đơn vị đăng ký, tổng thù lao hằng năm của giám đốc điều hành chính (“PEO”) của đơn vị đăng ký, và tỷ lệ giữa hai khoản tiền này là công bố “tỷ lệ thù lao”.</w:t>
      </w:r>
    </w:p>
    <w:p>
      <w:pPr>
        <w:spacing w:after="80"/>
      </w:pPr>
      <w:r>
        <w:rPr>
          <w:b w:val="0"/>
          <w:i w:val="0"/>
        </w:rPr>
        <w:t>Quốc hội đã không nêu rõ ràng các mục tiêu cụ thể hay lợi ích dự kiến của Mục 953(b), và lịch sử lập pháp của Đạo luật Dodd-Frank cũng không nêu rõ ràng mục đích của Quốc hội đằng sau Mục 953(b). Như đã thảo luận dưới đây, dựa trên phân tích của chúng tôi về đạo luật và các ý kiến nhận được, chúng tôi tin rằng Mục 953(b) được dự định nhằm cung cấp cho cổ đông một thước đo riêng cho từng công ty có thể hỗ trợ họ đánh giá các thông lệ thù lao điều hành của một đơn vị đăng ký. Theo đó, chúng tôi đã tìm cách điều chỉnh quy định cuối cùng để đáp ứng mục đích đó trong khi tránh những chi phí không cần thiết.</w:t>
      </w:r>
    </w:p>
    <w:p>
      <w:pPr>
        <w:spacing w:after="80"/>
      </w:pPr>
      <w:r>
        <w:rPr>
          <w:b w:val="0"/>
          <w:i w:val="0"/>
        </w:rPr>
        <w:t>Để hiểu rõ hơn về mục đích của Quốc hội đối với Mục 953(b), chúng tôi đã xem xét các quy định xung quanh của Đạo luật Dodd-Frank cũng như các ý kiến mà chúng tôi nhận được trong quá trình xây dựng quy định này. Tiểu mục E của Tiêu đề IX thuộc Đạo luật Dodd-Frank, với tiêu đề—“Trách nhiệm Giải trình và Thù lao Điều hành” (Accountability and Executive Compensation) được, như giải thích trong Báo cáo Hội nghị của đạo luật, “thiết kế để giải quyết các quyền của cổ đông và các thông lệ thù lao điều hành.” Các quy định của nó, bao gồm Mục 953(b), đề cập đến nhiều khía cạnh khác nhau của thù lao điều hành với trọng tâm là khuyến khích cổ đông tham gia vào các vấn đề thù lao điều hành bằng cách, trong số những việc khác, tăng tính minh bạch của thù lao. Chẳng hạn, tại Mục 951, Quốc hội yêu cầu các công ty tổ chức các cuộc bỏ phiếu định kỳ của cổ đông về thù lao điều hành. Khi thực thi chỉ thị của Quốc hội, chúng tôi lưu ý rằng một chức năng then chốt của các công bố được yêu cầu gắn với yêu cầu bỏ phiếu mới là “cung cấp cho cổ đông và nhà đầu tư thông tin kịp thời” có khả năng hữu ích cho họ “khi họ cân nhắc việc bỏ phiếu và các quyết định đầu tư.” Đến lượt mình, Mục 952 yêu cầu cả các thành viên ủy ban thù lao của đơn vị đăng ký lẫn các cố vấn của họ phải độc lập. Chúng tôi lưu ý rằng các quy định thực thi Mục 952 có thể phục vụ mục đích cung cấp thông tin mang lại lợi ích cho “các nhà đầu tư trong chừng mực chúng giúp các ủy ban thù lao đưa ra quyết định được thông tin tốt hơn về số tiền hoặc hình thức thù lao điều hành.” Hơn nữa, như chúng tôi đã lưu ý trong văn bản đề xuất thực thi Mục 953(a), mục đó được dự định nhằm cung cấp cho cổ đông những thước đo giúp họ đánh giá thù lao điều hành so với hiệu quả hoạt động của đơn vị đăng ký.15 Thông tin theo Mục 953(a) được dự định, trong số những việc khác, nhằm hỗ trợ cổ đông khi thực hiện quyền bỏ phiếu say-on-pay của họ theo Mục 951.</w:t>
      </w:r>
    </w:p>
    <w:p>
      <w:pPr>
        <w:spacing w:after="80"/>
      </w:pPr>
      <w:r>
        <w:rPr>
          <w:b w:val="0"/>
          <w:i w:val="0"/>
        </w:rPr>
        <w:t>Chúng tôi tin rằng Mục 953(b) nên được giải thích phù hợp với mục đích chung của Tiểu mục E là tạo điều kiện hơn nữa cho việc cổ đông tham gia vào thù lao điều hành. Do đó, chúng tôi tin rằng Quốc hội dự định Mục 953(b) bổ sung thông tin về thù lao điều hành sẵn có cho cổ đông. Đặc biệt, Mục 953(b) cung cấp những điểm dữ liệu mới mà cổ đông có thể thấy liên quan và hữu ích khi thực hiện quyền bỏ phiếu của họ theo Mục 951. Một số người bình luận đã khẳng định rằng họ sẽ thấy những điểm dữ liệu mới, bao gồm công bố tỷ lệ thù lao, là liên quan và hữu ích khi đưa ra quyết định bỏ phiếu. Một số người bình luận trong giai đoạn trước khi đề xuất đã gợi ý cụ thể rằng cổ đông của các công ty đại chúng có thể sử dụng thông tin tỷ lệ thù lao, cùng với công bố thù lao so với hiệu quả hoạt động, để giúp định hướng cho các lá phiếu say-on-pay của họ, điều này cũng có thể là một công cụ để cổ đông buộc các công ty phải chịu trách nhiệm về thù lao CEO của họ. Do đó, một cân nhắc quan trọng đối với chúng tôi khi xây dựng quy định cuối cùng thực thi Mục 953(b) là mức độ mà các yếu tố của quy định cuối cùng thúc đẩy mục tiêu rõ ràng của Quốc hội là cung cấp cho cổ đông thêm thông tin về thù lao điều hành để tăng cường sự tham gia của cổ đông mà Mục 951 đã hình dung.</w:t>
      </w:r>
    </w:p>
    <w:p>
      <w:pPr>
        <w:spacing w:after="80"/>
      </w:pPr>
      <w:r>
        <w:rPr>
          <w:b w:val="0"/>
          <w:i w:val="0"/>
        </w:rPr>
        <w:t>Nhất quán với cách hiểu này về mục đích của Quốc hội đối với Mục 953(b), chúng tôi tin rằng quy định tỷ lệ thù lao cuối cùng nên được thiết kế để cho phép cổ đông hiểu rõ hơn và đánh giá tốt hơn các thông lệ thù lao và công bố tỷ lệ thù lao của một đơn vị đăng ký cụ thể, thay vì tạo điều kiện so sánh thông tin này giữa các đơn vị đăng ký với nhau. Như chúng tôi đã lưu ý trong Văn bản Đề xuất, chúng tôi không tin rằng sự nhất quán chính xác hay khả năng so sánh của tỷ lệ thù lao giữa các công ty là điều nhất thiết có thể đạt được, do có nhiều yếu tố khác nhau có thể khiến tỷ lệ này khác biệt. Do đó, chúng tôi tin rằng lợi ích chính của công bố tỷ lệ thù lao là cung cấp cho cổ đông một thước đo riêng cho từng công ty mà họ có thể dùng để đánh giá thù lao của PEO trong bối cảnh công ty của họ.</w:t>
      </w:r>
    </w:p>
    <w:p>
      <w:pPr>
        <w:spacing w:after="80"/>
      </w:pPr>
      <w:r>
        <w:rPr>
          <w:b w:val="0"/>
          <w:i w:val="0"/>
        </w:rPr>
        <w:t>Mặt khác, một số người bình luận khẳng định rằng công bố tỷ lệ thù lao sẽ không cung cấp thông tin có ý nghĩa hay trọng yếu cho cổ đông khi đưa ra quyết định bỏ phiếu hoặc đầu tư. Để ủng hộ lập luận này, một số người bình luận trích dẫn các nghiên cứu chứng minh rằng cổ đông không quan tâm đến thông tin này, một số người bình luận trích dẫn các lá phiếu của cổ đông cho thấy mức độ ủng hộ cao đối với thù lao điều hành và ít ủng hộ các đề xuất của cổ đông ủng hộ công bố tỷ lệ thù lao, và một số người bình luận cho rằng công bố tỷ lệ thù lao sẽ khiến cổ đông bối rối vì họ sẽ dựa vào nó mà không xem xét đầy đủ các công bố tường thuật chi tiết của công ty. Bất chấp sự bất đồng giữa những người bình luận về giá trị của công bố tỷ lệ thù lao, khi thông qua quy định cuối cùng, chúng tôi đã tìm cách thực thi quyết định rõ ràng của Quốc hội rằng công bố tỷ lệ thù lao sẽ hữu ích cho cổ đông.</w:t>
      </w:r>
    </w:p>
    <w:p>
      <w:pPr>
        <w:spacing w:after="80"/>
      </w:pPr>
      <w:r>
        <w:rPr>
          <w:b w:val="0"/>
          <w:i w:val="0"/>
        </w:rPr>
        <w:t>* * *</w:t>
      </w:r>
    </w:p>
    <w:p>
      <w:pPr>
        <w:spacing w:after="80"/>
      </w:pPr>
      <w:r>
        <w:rPr>
          <w:b w:val="0"/>
          <w:i w:val="0"/>
        </w:rPr>
        <w:t>Nhìn chung, chúng tôi cho rằng quy định cuối cùng sẽ cung cấp cho nhà đầu tư thông tin mà Quốc hội dự định họ có để đánh giá thù lao và trách nhiệm giải trình của PEO một công ty, đồng thời tìm cách hạn chế chi phí và những khó khăn thực tế khi cung cấp công bố này.</w:t>
      </w:r>
    </w:p>
    <w:p>
      <w:pPr>
        <w:spacing w:after="80"/>
      </w:pPr>
      <w:r>
        <w:rPr>
          <w:b w:val="0"/>
          <w:i w:val="0"/>
        </w:rPr>
        <w:t>Cuối cùng, chúng tôi nhận thấy khả năng rằng, dựa trên các dữ kiện và hoàn cảnh cụ thể về lực lượng lao động và hoạt động doanh nghiệp của một đơn vị đăng ký, công bố tỷ lệ thù lao có thể đòi hỏi các công bố bổ sung từ phía đơn vị đăng ký để đảm bảo rằng, theo quan điểm của đơn vị đăng ký, công bố tỷ lệ thù lao là một điểm dữ liệu có ý nghĩa đối với nhà đầu tư khi đưa ra các lá phiếu say-on-pay của họ. Trong khi Quốc hội dường như tin rằng công bố tỷ lệ thù lao sẽ là một điểm dữ liệu hữu ích, chúng tôi nhận thấy rằng tính hữu ích tương đối của nó—nếu chỉ xét riêng mà không kèm theo các công bố cung cấp bối cảnh có khả năng quan trọng—có thể thay đổi đáng kể. Thay vì quy định một danh mục công bố bổ sung theo kiểu “một cỡ vừa cho tất cả” mà các đơn vị đăng ký nên cung cấp để đặt công bố tỷ lệ thù lao vào bối cảnh, chúng tôi tin rằng cách làm tốt hơn là cho các đơn vị đăng ký sự linh hoạt để cung cấp các công bố bổ sung mà họ cho rằng sẽ giúp nhà đầu tư hiểu được ý nghĩa của công bố tỷ lệ thù lao khi đưa ra các lá phiếu say-on-pay. Bằng cách này, chúng tôi tin rằng mình có thể hoàn thành tốt nhất chỉ thị của Quốc hội tại Mục 953(b) trong khi tránh những chi phí và sự phức tạp không cần thiết có thể phát sinh từ việc bắt buộc các công bố bổ sung.</w:t>
      </w:r>
    </w:p>
    <w:p>
      <w:pPr>
        <w:pStyle w:val="Heading5"/>
      </w:pPr>
      <w:r>
        <w:rPr>
          <w:rFonts w:ascii="Calibri" w:hAnsi="Calibri"/>
          <w:b/>
          <w:i/>
          <w:sz w:val="22"/>
        </w:rPr>
        <w:t>Bình luận và Câu hỏi</w:t>
      </w:r>
    </w:p>
    <w:p>
      <w:pPr>
        <w:spacing w:after="80"/>
      </w:pPr>
      <w:r>
        <w:rPr>
          <w:b w:val="0"/>
          <w:i w:val="0"/>
        </w:rPr>
        <w:t>1. Quy định đề xuất đã tạo ra một số lượng ý kiến khổng lồ. Văn bản thông qua đã chỉ ra rằng Ủy ban đã nhận được 287,400 thư bình luận, với “phần lớn áp đảo” ủng hộ quy định này. Điều gì đã gây ra sự phản hồi dồn dập như vậy đối với một quy định có vẻ mang tính kỹ thuật?</w:t>
      </w:r>
    </w:p>
    <w:p>
      <w:pPr>
        <w:spacing w:after="80"/>
      </w:pPr>
      <w:r>
        <w:rPr>
          <w:b w:val="0"/>
          <w:i w:val="0"/>
        </w:rPr>
        <w:t>2. Vấn đề về tỷ lệ trả lương (pay ratio) như một phương pháp đánh giá thù lao của CEO (giám đốc điều hành) đã tồn tại từ lâu. Tỷ lệ trả lương đã được tính toán dựa trên nhiều chỉ số khác nhau như mức lương tối thiểu và số liệu thống kê về thù lao trung bình do Bộ Lao động cung cấp. Tuy nhiên, không có số liệu thống kê nào trong số này tạo ra một tỷ lệ đặc thù cho từng công ty. Mục 953(b) đã thay đổi điều đó bằng cách yêu cầu các công ty tính toán và công bố tỷ lệ dựa trên thù lao trả cho nhân viên trung vị (median employee) tại công ty đó. Việc tính toán mang tính đặc thù cho từng công ty này sẽ có tác động gì đến giá trị của thông tin công bố? Liệu nó có, như một số nhà phê bình lập luận, làm mờ mịt và gây hiểu lầm thay vì làm rõ ràng hay cung cấp thông tin? Nếu đúng như vậy, liệu mối lo ngại này có thể được giảm bớt bằng việc công bố thông tin giải thích hay không?</w:t>
      </w:r>
    </w:p>
    <w:p>
      <w:pPr>
        <w:spacing w:after="80"/>
      </w:pPr>
      <w:r>
        <w:rPr>
          <w:b w:val="0"/>
          <w:i w:val="0"/>
        </w:rPr>
        <w:t>3. Liệu thông tin này có trọng yếu (material) đối với nhà đầu tư không? Cùng thời điểm Dodd-Frank yêu cầu công bố tỷ lệ trả lương, luật này cũng bắt buộc "say on pay" – một cuộc bỏ phiếu tư vấn về thù lao của ban điều hành do cổ đông thực hiện. Hai quy định này có liên quan với nhau không? Nếu không có say on pay, liệu thông tin này vẫn còn trọng yếu không?</w:t>
      </w:r>
    </w:p>
    <w:p>
      <w:pPr>
        <w:spacing w:after="80"/>
      </w:pPr>
      <w:r>
        <w:rPr>
          <w:b w:val="0"/>
          <w:i w:val="0"/>
        </w:rPr>
        <w:t>4. Ủy ban (Commission) lưu ý rằng tỷ lệ này không được thiết kế để tạo điều kiện so sánh giữa các công ty khác nhau mà để "cung cấp cho cổ đông một chỉ số đặc thù cho từng công ty mà họ có thể dùng để đánh giá" thù lao. Điều đó có thể đúng như thế nào? Loại chỉ số này có hữu ích trong việc đánh giá thù lao không?</w:t>
      </w:r>
    </w:p>
    <w:p>
      <w:pPr>
        <w:spacing w:after="80"/>
      </w:pPr>
      <w:r>
        <w:rPr>
          <w:b w:val="0"/>
          <w:i w:val="0"/>
        </w:rPr>
        <w:t>5. Cuộc thảo luận về tỷ lệ trả lương diễn ra trong bối cảnh cổ đông. Thông tin này có thể được sử dụng trong phòng họp hội đồng quản trị như thế nào? Liệu có khả năng các quyết định về thù lao của các giám đốc có thể bị ảnh hưởng bởi tác động lên tỷ lệ này không?</w:t>
      </w:r>
    </w:p>
    <w:p>
      <w:pPr>
        <w:spacing w:after="80"/>
      </w:pPr>
      <w:r>
        <w:rPr>
          <w:b w:val="0"/>
          <w:i w:val="0"/>
        </w:rPr>
        <w:t>6. Một trong những vấn đề khó khăn nảy sinh trong quá trình lấy ý kiến bình luận là việc bao gồm nhân viên nước ngoài. Một số tổ chức phát hành (issuer) cho biết hệ thống phần mềm nhân sự của họ không thể dễ dàng thu thập thông tin này, làm tăng thời gian và chi phí cho quy trình, trong khi những người khác lo ngại về luật bảo mật nước ngoài. Tất nhiên, việc bao gồm lao động nước ngoài, đặc biệt là những người từ các nước đang phát triển, có thể làm giảm giá trị trung vị và thực sự làm tỷ lệ trở nên xấu hơn. Đạo luật yêu cầu tỷ lệ này phải bao gồm giá trị trung vị của "tất cả nhân viên", điều này hạn chế quyền tùy ý của Ủy ban trong việc loại trừ hoàn toàn nhân viên nước ngoài. Tuy nhiên, quy định cuối cùng đã giải quyết các lo ngại bằng cách cho phép loại trừ nhân viên trong trường hợp luật nước ngoài ngăn cản việc tuân thủ và khi tổng số nhân viên chiếm từ 5% trở xuống so với tổng số nhân viên (ngoại lệ de minimis). Liệu điều này có giải quyết được những lo ngại mà các tổ chức phát hành đã nêu ra không?</w:t>
      </w:r>
    </w:p>
    <w:p>
      <w:pPr>
        <w:pStyle w:val="Heading3"/>
      </w:pPr>
      <w:r>
        <w:rPr>
          <w:rFonts w:ascii="Calibri" w:hAnsi="Calibri"/>
          <w:b/>
          <w:i w:val="0"/>
          <w:sz w:val="26"/>
        </w:rPr>
        <w:t>C. Quy định nội dung về thù lao</w:t>
      </w:r>
    </w:p>
    <w:p>
      <w:pPr>
        <w:spacing w:after="80"/>
      </w:pPr>
      <w:r>
        <w:rPr>
          <w:b w:val="0"/>
          <w:i w:val="0"/>
        </w:rPr>
        <w:t>Tuy nhiên, trong những năm gần đây, thẩm quyền của SEC đã được mở rộng và không còn hoàn toàn giới hạn ở việc công bố thông tin. Nỗ lực hiện đại đầu tiên nhằm quy định nội dung về thù lao ở cấp liên bang có lẽ liên quan đến Mục 162(m) của IRC. Quy định này không cho phép khấu trừ các khoản tiền trả cho CEO và các quan chức cấp cao khác vượt quá 1 triệu đô la. Tuy nhiên, các ngoại lệ đã lấn át quy tắc này. Một điều là, quy định này không áp dụng cho thù lao được xác định dựa trên "mục tiêu hiệu suất" (performance goals). Một hệ quả của quy định này là khuyến khích việc sử dụng nhiều hơn cổ phiếu và quyền chọn (options) như một phần của gói thù lao.</w:t>
      </w:r>
    </w:p>
    <w:p>
      <w:pPr>
        <w:spacing w:after="80"/>
      </w:pPr>
      <w:r>
        <w:rPr>
          <w:b w:val="0"/>
          <w:i w:val="0"/>
        </w:rPr>
        <w:t xml:space="preserve">Đạo luật Sarbanes-Oxley giải quyết vấn đề cho vay đối với các quan chức điều hành. Các công ty đã cho vay với những điều khoản tốt hơn nhiều so với những gì có sẵn trên thị trường thương mại. Điều này có thể bao gồm lãi suất thấp hơn mức mà ngân hàng sẽ tính hoặc sẵn sàng cho vay mà không đòi hỏi tài sản thế chấp. Trong một số trường hợp, các khoản vay đã được xóa nợ, loại bỏ mọi nghĩa vụ hoàn trả. Quốc hội đã giải quyết những vấn đề này một cách không tinh tế. Mục 13(k) của Đạo luật Giao dịch Chứng khoán (Exchange Act) đơn giản là cấm các khoản vay cá nhân đối với giám đốc và quan chức điều hành. </w:t>
      </w:r>
      <w:r>
        <w:rPr>
          <w:b w:val="0"/>
          <w:i/>
        </w:rPr>
        <w:t>Xem</w:t>
      </w:r>
      <w:r>
        <w:rPr>
          <w:b w:val="0"/>
          <w:i w:val="0"/>
        </w:rPr>
        <w:t xml:space="preserve"> 15 USC 78m(k).</w:t>
      </w:r>
    </w:p>
    <w:p>
      <w:pPr>
        <w:spacing w:after="80"/>
      </w:pPr>
      <w:r>
        <w:rPr>
          <w:b w:val="0"/>
          <w:i w:val="0"/>
        </w:rPr>
        <w:t>Vấn đề khác được giải quyết trong SOX là vấn đề thù lao dựa trên hiệu suất được trả dựa trên các báo cáo tài chính sau đó bị phát hiện là không chính xác, thường là do gian lận. Quốc hội đã phản ứng bằng cách thông qua Mục 304 của SOX. Quy định này bắt buộc việc thu hồi (clawback – việc hoàn trả thù lao dựa trên hiệu suất) trong trường hợp xảy ra việc điều chỉnh lại báo cáo tài chính (restatement) do hành vi sai trái. Mặc dù không mở rộng cụ thể thẩm quyền của Ủy ban, quy định này đã cung cấp một cơ chế tiềm năng để tác động đến các thực tiễn về thù lao.</w:t>
      </w:r>
    </w:p>
    <w:p>
      <w:pPr>
        <w:spacing w:after="80"/>
      </w:pPr>
      <w:r>
        <w:rPr>
          <w:b w:val="0"/>
          <w:i w:val="0"/>
        </w:rPr>
        <w:t>Tuy nhiên, quy định này đã không được sử dụng trong tám năm đầu tiên sau khi SOX được thông qua.</w:t>
      </w:r>
    </w:p>
    <w:p>
      <w:pPr>
        <w:pStyle w:val="Heading4"/>
      </w:pPr>
      <w:r>
        <w:rPr>
          <w:rFonts w:ascii="Calibri" w:hAnsi="Calibri"/>
          <w:b/>
          <w:i w:val="0"/>
          <w:sz w:val="23"/>
        </w:rPr>
        <w:t>SEC v. Jenkins</w:t>
      </w:r>
    </w:p>
    <w:p>
      <w:pPr>
        <w:spacing w:after="80"/>
      </w:pPr>
      <w:r>
        <w:rPr>
          <w:b w:val="0"/>
          <w:i w:val="0"/>
        </w:rPr>
        <w:t>Tòa án Quận Hoa Kỳ, Quận Arizona</w:t>
      </w:r>
      <w:r>
        <w:br/>
      </w:r>
      <w:r>
        <w:rPr>
          <w:b w:val="0"/>
          <w:i w:val="0"/>
        </w:rPr>
        <w:t xml:space="preserve"> 2010 U.S. Dist. LEXIS 57023 (ngày 9 tháng 6 năm 2010)</w:t>
      </w:r>
    </w:p>
    <w:p>
      <w:pPr>
        <w:spacing w:after="80"/>
      </w:pPr>
      <w:r>
        <w:rPr>
          <w:b w:val="0"/>
          <w:i w:val="0"/>
        </w:rPr>
        <w:t>SNOW, J</w:t>
      </w:r>
    </w:p>
    <w:p>
      <w:pPr>
        <w:spacing w:after="80"/>
      </w:pPr>
      <w:r>
        <w:rPr>
          <w:b w:val="0"/>
          <w:i w:val="0"/>
        </w:rPr>
        <w:t>BỐI CẢNH</w:t>
      </w:r>
    </w:p>
    <w:p>
      <w:pPr>
        <w:spacing w:after="80"/>
      </w:pPr>
      <w:r>
        <w:rPr>
          <w:b w:val="0"/>
          <w:i w:val="0"/>
        </w:rPr>
        <w:t>Trong khoảng thời gian liên quan đến vụ kiện này, CSK Auto Corporation ("CSK") là một công ty bán lẻ phụ tùng và phụ kiện ô tô niêm yết công khai, hoạt động dưới ba thương hiệu: Checker Auto Parts, Schucks Auto Supply, và Kragen Auto Parts. Từ tháng 1 năm 1997 đến tháng 8 năm 2007, Jenkins là CEO của CSK và là chủ tịch hội đồng quản trị, nhận lương cơ bản, tiền thưởng và các khoản trợ cấp quyền chọn cổ phiếu.</w:t>
      </w:r>
    </w:p>
    <w:p>
      <w:pPr>
        <w:spacing w:after="80"/>
      </w:pPr>
      <w:r>
        <w:rPr>
          <w:b w:val="0"/>
          <w:i w:val="0"/>
        </w:rPr>
        <w:t>Trong khi Jenkins làm việc cho CSK, công ty đã tham gia vào một chương trình trợ cấp nhà cung cấp (vendor allowance) có tên "Let's Work Together." Đơn kiện cáo buộc rằng, bằng cách cố ý không hạch toán đúng các khoản phải thu theo chương trình này, CSK đã báo cáo thu nhập trước thuế cao hơn mức công ty thực sự kiếm được trong các năm tài chính 2002, 2003 và 2004. Mặc dù SEC không cáo buộc rằng cá nhân Jenkins biết về hành vi che giấu gian lận do nhiều quan chức khác nhau của CSK thực hiện, Jenkins đã chứng nhận các báo cáo tài chính không chính xác của công ty cho những năm đó.</w:t>
      </w:r>
    </w:p>
    <w:p>
      <w:pPr>
        <w:spacing w:after="80"/>
      </w:pPr>
      <w:r>
        <w:rPr>
          <w:b w:val="0"/>
          <w:i w:val="0"/>
        </w:rPr>
        <w:t>Cuối cùng, để sửa chữa những sai phạm này, CSK đã nộp hai bản điều chỉnh kế toán theo yêu cầu của luật chứng khoán liên bang, mà Jenkins cũng đã chứng nhận. Năm 2004, CSK công bố bản điều chỉnh đầu tiên. Tuy nhiên, bản điều chỉnh đó đã không xóa sổ toàn bộ các khoản phải thu trợ cấp nhà cung cấp không thể thu hồi được và chỉ ra không chính xác rằng các sai sót đó là lỗi nhầm lẫn chứ không phải là những trình bày sai mang tính gian lận của CSK. Năm 2007, CSK nộp bản điều chỉnh thứ hai, điều chỉnh lại báo cáo tài chính cho các năm tài chính 2002–2004. Đơn kiện không cáo buộc rằng Jenkins có bất kỳ vai trò nào trong việc duy trì kế hoạch này. Trên thực tế, SEC đã nộp cả đơn kiện dân sự lẫn cáo trạng hình sự đối với các quan chức khác của CSK, cáo buộc rằng những quan chức đó đã che giấu kế hoạch này khỏi Jenkins.</w:t>
      </w:r>
    </w:p>
    <w:p>
      <w:pPr>
        <w:spacing w:after="80"/>
      </w:pPr>
      <w:r>
        <w:rPr>
          <w:b w:val="0"/>
          <w:i w:val="0"/>
        </w:rPr>
        <w:t>Từ tháng 5 năm 2003 đến tháng 5 năm 2005, Jenkins đã nhận hơn 2 triệu đô la tiền thù lao dưới hình thức tiền thưởng và các khoản thù lao dựa trên khuyến khích và dựa trên cổ phần khác. Trong cùng khoảng thời gian đó, Jenkins đã thu về hơn 2 triệu đô la từ việc bán chứng khoán của CSK. Jenkins đã không hoàn trả cho CSK bất kỳ phần nào của những khoản tiền thưởng, thù lao dựa trên khuyến khích, thù lao dựa trên cổ phần, hoặc lợi nhuận bán cổ phiếu này.</w:t>
      </w:r>
    </w:p>
    <w:p>
      <w:pPr>
        <w:spacing w:after="80"/>
      </w:pPr>
      <w:r>
        <w:rPr>
          <w:b w:val="0"/>
          <w:i w:val="0"/>
        </w:rPr>
        <w:t xml:space="preserve">SEC hiện đang yêu cầu một lệnh buộc Jenkins phải hoàn trả cho CSK khoản thu nhập này theo Mục 304 của Đạo luật Sarbanes-Oxley năm 2002 (“Sarbanes-Oxley” hay “Đạo luật”), 15 U.S.C. § 7243 (2006). Mục 304 của Đạo luật quy định rằng, nếu một tổ chức phát hành, chẳng hạn như CSK, phải lập một bản điều chỉnh kế toán vì sự không tuân thủ trọng yếu của mình đối với luật chứng khoán về báo cáo tài chính, và nếu sự không tuân thủ đó là do hành vi sai trái của CSK gây ra, thì CEO hoặc CFO phải hoàn trả một khoản nhất định cho tổ chức phát hành. 15 U.S.C. § 7243(a). Theo Đạo luật, khoản hoàn trả đó bao gồm bất kỳ khoản tiền thưởng, thù lao dựa trên khuyến khích và dựa trên cổ phần nào đã nhận được trong khoảng thời gian mười hai tháng sau lần công bố hoặc nộp hồ sơ công khai không đúng đắn đầu tiên. </w:t>
      </w:r>
      <w:r>
        <w:rPr>
          <w:b w:val="0"/>
          <w:i/>
        </w:rPr>
        <w:t>Id.</w:t>
      </w:r>
      <w:r>
        <w:rPr>
          <w:b w:val="0"/>
          <w:i w:val="0"/>
        </w:rPr>
        <w:t xml:space="preserve"> Bởi vì Đơn kiện không cáo buộc rằng Jenkins phải chịu trách nhiệm cá nhân đối với kế hoạch Let's Work Together hoặc các hồ sơ nộp SEC không chính xác, ngoại trừ việc Jenkins đã chứng nhận các hồ sơ nộp SEC đó, nên trách nhiệm pháp lý của Jenkins phụ thuộc vào việc liệu Mục 304 có yêu cầu một CEO phải hoàn trả cho tổ chức phát hành ngay cả khi CEO không có hành vi sai trái cá nhân nào hay không. Tòa án không biết đến bất kỳ vụ án nào thảo luận về vấn đề này, nhưng Tòa án kết luận rằng Đơn kiện đã trình bày đúng đắn một yêu cầu theo đạo luật.</w:t>
      </w:r>
    </w:p>
    <w:p>
      <w:pPr>
        <w:spacing w:after="80"/>
      </w:pPr>
      <w:r>
        <w:rPr>
          <w:b w:val="0"/>
          <w:i w:val="0"/>
        </w:rPr>
        <w:t>* * *</w:t>
      </w:r>
    </w:p>
    <w:p>
      <w:pPr>
        <w:spacing w:after="80"/>
      </w:pPr>
      <w:r>
        <w:rPr>
          <w:b w:val="0"/>
          <w:i w:val="0"/>
        </w:rPr>
        <w:t>THẢO LUẬN</w:t>
      </w:r>
    </w:p>
    <w:p>
      <w:pPr>
        <w:spacing w:after="80"/>
      </w:pPr>
      <w:r>
        <w:rPr>
          <w:b w:val="0"/>
          <w:i w:val="0"/>
        </w:rPr>
        <w:t>Mục 304 của Sarbanes-Oxley quy định:</w:t>
      </w:r>
    </w:p>
    <w:p>
      <w:pPr>
        <w:spacing w:after="80"/>
      </w:pPr>
      <w:r>
        <w:rPr>
          <w:b w:val="0"/>
          <w:i w:val="0"/>
        </w:rPr>
        <w:t>(a) Thù lao bổ sung trước khi không tuân thủ các yêu cầu báo cáo tài chính của Ủy ban.</w:t>
      </w:r>
    </w:p>
    <w:p>
      <w:pPr>
        <w:spacing w:after="80"/>
      </w:pPr>
      <w:r>
        <w:rPr>
          <w:b w:val="0"/>
          <w:i w:val="0"/>
        </w:rPr>
        <w:t>Nếu một tổ chức phát hành được yêu cầu lập một bản điều chỉnh kế toán do sự không tuân thủ trọng yếu của tổ chức phát hành, do hành vi sai trái, đối với bất kỳ yêu cầu báo cáo tài chính nào theo luật chứng khoán, thì giám đốc điều hành và giám đốc tài chính của tổ chức phát hành phải hoàn trả cho tổ chức phát hành—</w:t>
      </w:r>
    </w:p>
    <w:p>
      <w:pPr>
        <w:spacing w:after="80"/>
      </w:pPr>
      <w:r>
        <w:rPr>
          <w:b w:val="0"/>
          <w:i w:val="0"/>
        </w:rPr>
        <w:t>(1) bất kỳ khoản tiền thưởng hoặc thù lao dựa trên khuyến khích hoặc dựa trên cổ phần nào khác mà người đó nhận được từ tổ chức phát hành trong khoảng thời gian 12 tháng sau lần công bố công khai hoặc nộp hồ sơ đầu tiên với Ủy ban (tùy theo sự kiện nào xảy ra trước) của tài liệu tài chính thể hiện yêu cầu báo cáo tài chính đó; và</w:t>
      </w:r>
    </w:p>
    <w:p>
      <w:pPr>
        <w:spacing w:after="80"/>
      </w:pPr>
      <w:r>
        <w:rPr>
          <w:b w:val="0"/>
          <w:i w:val="0"/>
        </w:rPr>
        <w:t>(2) bất kỳ lợi nhuận nào thu được từ việc bán chứng khoán của tổ chức phát hành trong khoảng thời gian 12 tháng đó.</w:t>
      </w:r>
    </w:p>
    <w:p>
      <w:pPr>
        <w:spacing w:after="80"/>
      </w:pPr>
      <w:r>
        <w:rPr>
          <w:b w:val="0"/>
          <w:i w:val="0"/>
        </w:rPr>
        <w:t>(b) Thẩm quyền miễn trừ của Ủy ban. Ủy ban có thể miễn trừ bất kỳ người nào khỏi việc áp dụng khoản (a) của mục này, khi Ủy ban thấy cần thiết và phù hợp.</w:t>
      </w:r>
    </w:p>
    <w:p>
      <w:pPr>
        <w:spacing w:after="80"/>
      </w:pPr>
      <w:r>
        <w:rPr>
          <w:b w:val="0"/>
          <w:i w:val="0"/>
        </w:rPr>
        <w:t>15 U.S.C. § 7243.</w:t>
      </w:r>
    </w:p>
    <w:p>
      <w:pPr>
        <w:spacing w:after="80"/>
      </w:pPr>
      <w:r>
        <w:rPr>
          <w:b w:val="0"/>
          <w:i w:val="0"/>
        </w:rPr>
        <w:t>I. Mục 304 Không Yêu Cầu Hành Vi Sai Trái Cá Nhân.</w:t>
      </w:r>
    </w:p>
    <w:p>
      <w:pPr>
        <w:spacing w:after="80"/>
      </w:pPr>
      <w:r>
        <w:rPr>
          <w:b w:val="0"/>
          <w:i w:val="0"/>
        </w:rPr>
        <w:t xml:space="preserve">Vấn đề bao trùm là liệu Đơn kiện có cáo buộc các sự kiện đủ để đưa ra một yêu cầu hợp lý theo Mục 304 hay không. Bởi vì một đơn xin bác bỏ không dựa trên những sự kiện cuối cùng có thể được chứng minh, mà dựa trên những gì đơn kiện cáo buộc một cách hợp lý, nên Tòa án không cần giải quyết các vấn đề phụ thuộc vào tranh chấp sự kiện. Theo đó, dựa trên các quy tắc truyền thống về giải thích đạo luật, Tòa án kết luận rằng Đơn kiện đã cáo buộc các sự kiện đủ để đưa ra một yêu cầu theo Mục 304. “Mục đích của việc giải thích đạo luật là để nhận diện ý định của Quốc hội khi ban hành một đạo luật cụ thể.” </w:t>
      </w:r>
      <w:r>
        <w:rPr>
          <w:b w:val="0"/>
          <w:i/>
        </w:rPr>
        <w:t>United States v. Daas</w:t>
      </w:r>
      <w:r>
        <w:rPr>
          <w:b w:val="0"/>
          <w:i w:val="0"/>
        </w:rPr>
        <w:t xml:space="preserve"> , 198 F.3d 1167, 1174 (9th Cir. 1999). “Điểm khởi đầu cho việc giải thích một đạo luật luôn là ngôn ngữ của nó,” và “[m]ọi cuộc điều tra phải chấm dứt nếu ngôn ngữ của đạo luật là rõ ràng và cơ cấu của đạo luật là mạch lạc và nhất quán.” </w:t>
      </w:r>
      <w:r>
        <w:rPr>
          <w:b w:val="0"/>
          <w:i/>
        </w:rPr>
        <w:t>Alvarado v. Cajun Operating Co.</w:t>
      </w:r>
      <w:r>
        <w:rPr>
          <w:b w:val="0"/>
          <w:i w:val="0"/>
        </w:rPr>
        <w:t xml:space="preserve"> , 588 F.3d 1261, 1268 (9th Cir. 2009) (trích dẫn bị lược bỏ). Áp dụng các bước giải thích đạo luật này, Tòa án cho rằng văn bản và cấu trúc của Mục 304 chỉ yêu cầu hành vi sai trái của tổ chức phát hành, nhưng không nhất thiết yêu cầu hành vi sai trái cụ thể của CEO hoặc CFO của tổ chức phát hành. Hơn nữa, lịch sử lập pháp của Mục 304 ủng hộ cách đọc theo văn bản này. Bởi vì ý định của Quốc hội đã rõ ràng từ những phương pháp giải thích đạo luật chính này, nên Tòa án không cần viện đến các quy tắc bổ sung mà Bị đơn đưa ra.</w:t>
      </w:r>
    </w:p>
    <w:p>
      <w:pPr>
        <w:spacing w:after="80"/>
      </w:pPr>
      <w:r>
        <w:rPr>
          <w:b w:val="0"/>
          <w:i w:val="0"/>
        </w:rPr>
        <w:t>A. Văn Bản Của Đạo Luật Chỉ Yêu Cầu Hành Vi Sai Trái Của Tổ Chức Phát Hành.</w:t>
      </w:r>
    </w:p>
    <w:p>
      <w:pPr>
        <w:spacing w:after="80"/>
      </w:pPr>
      <w:r>
        <w:rPr>
          <w:b w:val="0"/>
          <w:i w:val="0"/>
        </w:rPr>
        <w:t xml:space="preserve">Khi nhận diện ý định của Quốc hội từ văn bản của một đạo luật, “các tòa án phải giả định rằng một cơ quan lập pháp nói trong một đạo luật điều mà nó muốn nói và muốn nói trong một đạo luật điều mà nó nói ở đó[.]” </w:t>
      </w:r>
      <w:r>
        <w:rPr>
          <w:b w:val="0"/>
          <w:i/>
        </w:rPr>
        <w:t>Alvarado</w:t>
      </w:r>
      <w:r>
        <w:rPr>
          <w:b w:val="0"/>
          <w:i w:val="0"/>
        </w:rPr>
        <w:t xml:space="preserve"> , 588 F.3d at 1268 (trích dẫn bị lược bỏ). Khi có thể, ý nghĩa rõ ràng của một đạo luật được xác định theo “ý nghĩa thông thường, đương đại, phổ biến[,]” của các thuật ngữ trong đó, </w:t>
      </w:r>
      <w:r>
        <w:rPr>
          <w:b w:val="0"/>
          <w:i/>
        </w:rPr>
        <w:t>Cooper v. F.A.A.</w:t>
      </w:r>
      <w:r>
        <w:rPr>
          <w:b w:val="0"/>
          <w:i w:val="0"/>
        </w:rPr>
        <w:t xml:space="preserve"> , 596 F.3d 538, 544 (9th Cir. 2010), và bằng cách “nhìn vào toàn bộ cơ cấu của đạo luật[,]” </w:t>
      </w:r>
      <w:r>
        <w:rPr>
          <w:b w:val="0"/>
          <w:i/>
        </w:rPr>
        <w:t>Daas</w:t>
      </w:r>
      <w:r>
        <w:rPr>
          <w:b w:val="0"/>
          <w:i w:val="0"/>
        </w:rPr>
        <w:t xml:space="preserve"> , 198 F.3d at 1174.</w:t>
      </w:r>
    </w:p>
    <w:p>
      <w:pPr>
        <w:spacing w:after="80"/>
      </w:pPr>
      <w:r>
        <w:rPr>
          <w:b w:val="0"/>
          <w:i w:val="0"/>
        </w:rPr>
        <w:t xml:space="preserve">Cụm từ luật định liên quan quy định rằng nghĩa vụ hoàn trả phát sinh nếu một tổ chức phát hành phải lập báo cáo tài chính điều chỉnh lại “do sự không tuân thủ trọng yếu của tổ chức phát hành, hậu quả của hành vi sai trái, đối với bất kỳ yêu cầu báo cáo tài chính nào theo luật chứng khoán.” 15 U.S.C. § 7243(a). Ý nghĩa thông thường, đương đại và phổ biến của ngôn ngữ đó là hành vi sai trái của tổ chức phát hành chính là hành vi sai trái làm phát sinh nghĩa vụ hoàn trả của CEO và CFO. Trong trường hợp này, tổ chức phát hành là một công ty. Nói chung, một công ty hành động thông qua các cán bộ, đại lý hoặc nhân viên của mình và phải chịu trách nhiệm về hành động của những người đó khi họ hành động trong phạm vi quyền đại diện của mình. </w:t>
      </w:r>
      <w:r>
        <w:rPr>
          <w:b w:val="0"/>
          <w:i/>
        </w:rPr>
        <w:t>In re Am. Int'l Group, Inc.</w:t>
      </w:r>
      <w:r>
        <w:rPr>
          <w:b w:val="0"/>
          <w:i w:val="0"/>
        </w:rPr>
        <w:t xml:space="preserve"> , 965 A.2d 763, 802, 823 (Del. Ch. 2009). Do đó, ngôn ngữ rõ ràng của đạo luật chỉ ra rằng hành vi sai trái của các cán bộ, đại lý hoặc nhân viên công ty khi hành động trong phạm vi quyền đại diện hoặc việc làm của họ là hành vi sai trái đủ để đáp ứng yếu tố này của đạo luật. </w:t>
      </w:r>
      <w:r>
        <w:rPr>
          <w:b w:val="0"/>
          <w:i/>
        </w:rPr>
        <w:t>See</w:t>
      </w:r>
      <w:r>
        <w:rPr>
          <w:b w:val="0"/>
          <w:i w:val="0"/>
        </w:rPr>
        <w:t xml:space="preserve"> 15 U.S.C. § 7243(a). Tuy nhiên, trước khi có thể yêu cầu hoàn trả, hành vi sai trái của tổ chức phát hành cũng phải đủ nghiêm trọng để dẫn đến sự không tuân thủ trọng yếu với một yêu cầu báo cáo tài chính theo luật chứng khoán, và phải buộc tổ chức phát hành phải nộp báo cáo tài chính điều chỉnh lại. </w:t>
      </w:r>
      <w:r>
        <w:rPr>
          <w:b w:val="0"/>
          <w:i/>
        </w:rPr>
        <w:t>See id.</w:t>
      </w:r>
    </w:p>
    <w:p>
      <w:pPr>
        <w:spacing w:after="80"/>
      </w:pPr>
      <w:r>
        <w:rPr>
          <w:b w:val="0"/>
          <w:i w:val="0"/>
        </w:rPr>
        <w:t xml:space="preserve">Ngoài văn bản rõ ràng của ngôn ngữ luật định liên quan, Quốc hội đã đặt tiêu đề cho tiểu mục này của Sarbanes-Oxley là “Thù lao bổ sung trước khi không tuân thủ các Yêu cầu Báo cáo Tài chính của Ủy ban.” 15 U.S.C. § 7243(a). “Mặc dù tiêu đề luật định không phải là một phần của văn bản luật, chúng có thể hữu ích trong việc đặt đạo luật vào bối cảnh.” </w:t>
      </w:r>
      <w:r>
        <w:rPr>
          <w:b w:val="0"/>
          <w:i/>
        </w:rPr>
        <w:t>Singh v. Gonzales</w:t>
      </w:r>
      <w:r>
        <w:rPr>
          <w:b w:val="0"/>
          <w:i w:val="0"/>
        </w:rPr>
        <w:t xml:space="preserve"> , 499 F.3d 969, 977 (9th Cir. 2007). Như tiêu đề của tiểu mục đã nói rõ, mục đích của Quốc hội là thu hồi khoản thù lao bổ sung đã trả cho một CEO trong bất kỳ giai đoạn nào mà tổ chức phát hành công ty không tuân thủ các yêu cầu báo cáo tài chính. Một CEO không cần phải biết rõ về hành vi sai trái tài chính để đã nhận được thù lao bổ sung trong giai đoạn của hành vi sai trái đó, và để đã được hưởng lợi một cách bất công từ đó. Khi một CEO bán cổ phiếu hoặc nhận tiền thưởng trong giai đoạn không tuân thủ tài chính, CEO có thể được hưởng lợi một cách bất công từ nhận thức sai lệch về tình hình tài chính của tổ chức phát hành do những báo cáo tài chính bị sai lệch đó gây ra, ngay cả khi CEO không biết về hành vi sai trái dẫn đến báo cáo tài chính bị sai lệch. Việc Quốc hội yêu cầu các khoản thù lao bổ sung như vậy phải được hoàn trả cho tổ chức phát hành là điều không phi lý.</w:t>
      </w:r>
    </w:p>
    <w:p>
      <w:pPr>
        <w:spacing w:after="80"/>
      </w:pPr>
      <w:r>
        <w:rPr>
          <w:b w:val="0"/>
          <w:i w:val="0"/>
        </w:rPr>
        <w:t>* * *</w:t>
      </w:r>
    </w:p>
    <w:p>
      <w:pPr>
        <w:spacing w:after="80"/>
      </w:pPr>
      <w:r>
        <w:rPr>
          <w:b w:val="0"/>
          <w:i w:val="0"/>
        </w:rPr>
        <w:t xml:space="preserve">Hơn nữa, khi xác định các mục đích mà một đạo luật cần phục vụ, việc xem xét toàn bộ sơ đồ luật định mà đạo luật cụ thể đó là một phần là điều thích hợp. </w:t>
      </w:r>
      <w:r>
        <w:rPr>
          <w:b w:val="0"/>
          <w:i/>
        </w:rPr>
        <w:t>See Daas</w:t>
      </w:r>
      <w:r>
        <w:rPr>
          <w:b w:val="0"/>
          <w:i w:val="0"/>
        </w:rPr>
        <w:t xml:space="preserve"> , 198 F.3d at 1174 (“Để xác định ý nghĩa rõ ràng của một quy định luật định cụ thể, và do đó là ý định của Quốc hội, tòa án xem xét toàn bộ sơ đồ luật định.”); </w:t>
      </w:r>
      <w:r>
        <w:rPr>
          <w:b w:val="0"/>
          <w:i/>
        </w:rPr>
        <w:t>see also SEC v. Nat'l Sec., Inc.</w:t>
      </w:r>
      <w:r>
        <w:rPr>
          <w:b w:val="0"/>
          <w:i w:val="0"/>
        </w:rPr>
        <w:t xml:space="preserve"> , 393 U.W. 453, 466 (1969) (lưu ý rằng “sự phụ thuộc lẫn nhau của các phần khác nhau trong luật chứng khoán chắc chắn là một yếu tố liên quan trong bất kỳ việc giải thích nào về ngôn ngữ mà Quốc hội đã chọn”). Theo các phần ngay trước đó của Đạo luật Sarbanes-Oxley, đặc biệt là Mục 302, CEO và CFO của tổ chức phát hành được yêu cầu chứng nhận mỗi báo cáo thường niên hoặc hàng quý của tổ chức phát hành. 15 U.S.C. § 7241. Khi làm như vậy, CEO và CFO cũng chứng nhận rằng họ chịu trách nhiệm về sự tồn tại, thiết kế và vận hành của các kiểm soát nội bộ hiệu quả nhằm đảm bảo tính chính xác của các báo cáo tài chính của tổ chức phát hành. </w:t>
      </w:r>
      <w:r>
        <w:rPr>
          <w:b w:val="0"/>
          <w:i/>
        </w:rPr>
        <w:t>Id.</w:t>
      </w:r>
      <w:r>
        <w:rPr>
          <w:b w:val="0"/>
          <w:i w:val="0"/>
        </w:rPr>
        <w:t xml:space="preserve"> Mục 304 tạo động lực cho các CEO và CFO phải nghiêm ngặt trong việc tạo lập và chứng nhận các kiểm soát nội bộ bằng cách yêu cầu họ hoàn trả khoản thù lao bổ sung đã nhận trong các giai đoạn công ty không tuân thủ, bất kể họ có biết về hành vi sai trái dẫn đến báo cáo tài chính bị sai lệch hay không.</w:t>
      </w:r>
    </w:p>
    <w:p>
      <w:pPr>
        <w:spacing w:after="80"/>
      </w:pPr>
      <w:r>
        <w:rPr>
          <w:b w:val="0"/>
          <w:i w:val="0"/>
        </w:rPr>
        <w:t>B. Lịch sử Lập pháp Khẳng định Cách Đọc Văn bản của Tòa án.</w:t>
      </w:r>
    </w:p>
    <w:p>
      <w:pPr>
        <w:spacing w:after="80"/>
      </w:pPr>
      <w:r>
        <w:rPr>
          <w:b w:val="0"/>
          <w:i w:val="0"/>
        </w:rPr>
        <w:t xml:space="preserve">Vì Tòa án đã xác định rằng văn bản của đạo luật chỉ cho phép một cách giải thích duy nhất, Tòa án “không cần phải viện đến lịch sử lập pháp” hay các quy tắc giải thích luật định khác. </w:t>
      </w:r>
      <w:r>
        <w:rPr>
          <w:b w:val="0"/>
          <w:i/>
        </w:rPr>
        <w:t>Alvarado</w:t>
      </w:r>
      <w:r>
        <w:rPr>
          <w:b w:val="0"/>
          <w:i w:val="0"/>
        </w:rPr>
        <w:t xml:space="preserve"> , 588 F.3d at 1268. Dù sao đi nữa, lịch sử lập pháp thực sự “khẳng định” và “ủng hộ” phán quyết của Tòa án rằng Mục 304 không yêu cầu hành vi sai trái cá nhân nào của CEO hoặc CFO. </w:t>
      </w:r>
      <w:r>
        <w:rPr>
          <w:b w:val="0"/>
          <w:i/>
        </w:rPr>
        <w:t>See Rutti v. Lojack Corp.</w:t>
      </w:r>
      <w:r>
        <w:rPr>
          <w:b w:val="0"/>
          <w:i w:val="0"/>
        </w:rPr>
        <w:t xml:space="preserve"> , </w:t>
      </w:r>
      <w:r>
        <w:rPr>
          <w:b w:val="0"/>
          <w:i/>
        </w:rPr>
        <w:t>Inc.</w:t>
      </w:r>
      <w:r>
        <w:rPr>
          <w:b w:val="0"/>
          <w:i w:val="0"/>
        </w:rPr>
        <w:t xml:space="preserve"> , 596 F.3d 1046, 1052 (9th Cir. 2010) (phán quyết rằng “lịch sử lập pháp khẳng định ngôn ngữ rõ ràng” của đạo luật); </w:t>
      </w:r>
      <w:r>
        <w:rPr>
          <w:b w:val="0"/>
          <w:i/>
        </w:rPr>
        <w:t>Guidiville Band of Pomo Indians v. NGV Gaming, Ltd.</w:t>
      </w:r>
      <w:r>
        <w:rPr>
          <w:b w:val="0"/>
          <w:i w:val="0"/>
        </w:rPr>
        <w:t xml:space="preserve"> , 531 F.3d 767, 779 n. 14 (9th Cir. 2008) (lưu ý rằng “lịch sử lập pháp . . . vẫn là một công cụ bổ sung thường được dựa vào để giải thích luật định” và rằng ngay cả những cách giải thích theo ngôn ngữ rõ ràng của đạo luật cũng có thể được “ủng hộ bởi lịch sử lập pháp”) (các trích dẫn nội bộ được lược bỏ). Trái với khẳng định của Bị đơn, việc lịch sử lập pháp không bao gồm một tuyên bố rằng Quốc hội có ý định tạo ra một “đạo luật trách nhiệm nghiêm ngặt gián tiếp” là điều không thích hợp. (Dkt. # 27 at 15.)</w:t>
      </w:r>
    </w:p>
    <w:p>
      <w:pPr>
        <w:spacing w:after="80"/>
      </w:pPr>
      <w:r>
        <w:rPr>
          <w:b w:val="0"/>
          <w:i w:val="0"/>
        </w:rPr>
        <w:t xml:space="preserve">Hạ viện và Thượng viện đã thông qua các phiên bản khác nhau của Sarbanes-Oxley, nhưng chỉ phiên bản của Hạ viện, vốn không trở thành luật, mới bao gồm ngôn ngữ liên quan đến scienter (ý thức phạm tội) của CEO hoặc CFO trong bối cảnh buộc phải hoàn trả lợi nhuận. Mục 12 của H.R. 3763 (“Dự luật Hạ viện”) chỉ đạo SEC “tiến hành phân tích xem liệu, và trong những điều kiện nào, bất kỳ cán bộ hoặc giám đốc nào của tổ chức phát hành nên bị buộc phải hoàn trả lợi nhuận thu được, hoặc tổn thất tránh được, trong việc bán chứng khoán của tổ chức phát hành đó trong khoảng thời gian sáu tháng ngay trước khi nộp báo cáo tài chính được điều chỉnh lại của tổ chức phát hành đó.” H.R. Rep. No. 107-414, at 12 (2002). Nếu SEC xác định rằng các quy định về hoàn trả lợi nhuận là thích hợp, thì Dự luật Hạ viện yêu cầu SEC “xác định yêu cầu về scienter cần được sử dụng để xác định việc áp đặt yêu cầu hoàn trả lợi nhuận.” </w:t>
      </w:r>
      <w:r>
        <w:rPr>
          <w:b w:val="0"/>
          <w:i/>
        </w:rPr>
        <w:t>Id.</w:t>
      </w:r>
      <w:r>
        <w:rPr>
          <w:b w:val="0"/>
          <w:i w:val="0"/>
        </w:rPr>
        <w:t xml:space="preserve"> Ủy ban Dịch vụ Tài chính Hạ viện suy đoán rằng SEC chỉ nên yêu cầu hoàn trả “chỉ trong những trường hợp mà Ủy ban có thể chứng minh hành vi sai trái cực kỳ nghiêm trọng của cán bộ hoặc giám đốc đó.” </w:t>
      </w:r>
      <w:r>
        <w:rPr>
          <w:b w:val="0"/>
          <w:i/>
        </w:rPr>
        <w:t>Id.</w:t>
      </w:r>
      <w:r>
        <w:rPr>
          <w:b w:val="0"/>
          <w:i w:val="0"/>
        </w:rPr>
        <w:t xml:space="preserve"> at 44.</w:t>
      </w:r>
    </w:p>
    <w:p>
      <w:pPr>
        <w:spacing w:after="80"/>
      </w:pPr>
      <w:r>
        <w:rPr>
          <w:b w:val="0"/>
          <w:i w:val="0"/>
        </w:rPr>
        <w:t xml:space="preserve">Mặt khác, phiên bản của Thượng viện đối với dự luật, S. 2673 (“Dự luật Thượng viện”), không bao gồm thảo luận tương tự nào về scienter. </w:t>
      </w:r>
      <w:r>
        <w:rPr>
          <w:b w:val="0"/>
          <w:i/>
        </w:rPr>
        <w:t>See</w:t>
      </w:r>
      <w:r>
        <w:rPr>
          <w:b w:val="0"/>
          <w:i w:val="0"/>
        </w:rPr>
        <w:t xml:space="preserve"> S. 2673, 107th Cong. § 304 (2002). Trái với Dự luật Hạ viện, Dự luật Thượng viện được thông qua sau khi xuất hiện thêm tin tức về hành vi sai trái của doanh nghiệp, chẳng hạn như việc Adelphia điều chỉnh lại báo cáo tài chính với quy mô lớn để hạch toán các khoản vay trước đây chưa được tiết lộ, việc cựu CEO của Tyco bị truy tố vì tội trốn thuế, kế hoạch hạch toán của Worldcom, và các cáo buộc giao dịch nội gián đối với CEO của Imclone. </w:t>
      </w:r>
      <w:r>
        <w:rPr>
          <w:b w:val="0"/>
          <w:i/>
        </w:rPr>
        <w:t>See</w:t>
      </w:r>
      <w:r>
        <w:rPr>
          <w:b w:val="0"/>
          <w:i w:val="0"/>
        </w:rPr>
        <w:t xml:space="preserve"> John Patrick Kelsh, </w:t>
      </w:r>
      <w:r>
        <w:rPr>
          <w:b w:val="0"/>
          <w:i/>
        </w:rPr>
        <w:t>Section 304 of the Sarbanes-Oxley Act of 2002: The Case for a Personal Culpability Requirement</w:t>
      </w:r>
      <w:r>
        <w:rPr>
          <w:b w:val="0"/>
          <w:i w:val="0"/>
        </w:rPr>
        <w:t xml:space="preserve"> , 59 Bus. Law. 1005, 1018 (2004). Liên quan đến Mục 304 của Đạo luật, ngôn ngữ trong Dự luật Thượng viện cuối cùng đã trở thành phiên bản được ký ban hành thành luật, không đề cập đến scienter hay yêu cầu hành vi sai trái của các cán bộ để làm phát sinh nghĩa vụ hoàn trả. </w:t>
      </w:r>
      <w:r>
        <w:rPr>
          <w:b w:val="0"/>
          <w:i/>
        </w:rPr>
        <w:t>Compare</w:t>
      </w:r>
      <w:r>
        <w:rPr>
          <w:b w:val="0"/>
          <w:i w:val="0"/>
        </w:rPr>
        <w:t xml:space="preserve"> S. 2673 </w:t>
      </w:r>
      <w:r>
        <w:rPr>
          <w:b w:val="0"/>
          <w:i/>
        </w:rPr>
        <w:t>with</w:t>
      </w:r>
      <w:r>
        <w:rPr>
          <w:b w:val="0"/>
          <w:i w:val="0"/>
        </w:rPr>
        <w:t xml:space="preserve"> 15 U.S.C. § 7243.</w:t>
      </w:r>
    </w:p>
    <w:p>
      <w:pPr>
        <w:spacing w:after="80"/>
      </w:pPr>
      <w:r>
        <w:rPr>
          <w:b w:val="0"/>
          <w:i w:val="0"/>
        </w:rPr>
        <w:t xml:space="preserve">Ngoài ra, Thượng viện đã có cơ hội xem xét một tu chính án có thể đã giới hạn Mục 304 đối với các cán bộ và giám đốc “biết rõ, tại thời điểm hành vi sai trái, về sự không tuân thủ trọng yếu của tổ chức phát hành.” </w:t>
      </w:r>
      <w:r>
        <w:rPr>
          <w:b w:val="0"/>
          <w:i/>
        </w:rPr>
        <w:t>See Arnold &amp; Porter Legislative History: Sarbanes-Oxley Act of 2002</w:t>
      </w:r>
      <w:r>
        <w:rPr>
          <w:b w:val="0"/>
          <w:i w:val="0"/>
        </w:rPr>
        <w:t xml:space="preserve"> , P.L. 107-204, 116 Stat. 745, History 40-C, 2002 WL 32054475 (July 10, 2002). Tu chính án này có thể đã tạo ra một yếu tố hành vi sai trái cá nhân, nhưng nó đã bị gác lại.</w:t>
      </w:r>
    </w:p>
    <w:p>
      <w:pPr>
        <w:spacing w:after="80"/>
      </w:pPr>
      <w:r>
        <w:rPr>
          <w:b w:val="0"/>
          <w:i w:val="0"/>
        </w:rPr>
        <w:t xml:space="preserve">Jenkins tiếp tục lập luận rằng báo cáo của Thượng viện về Mục 304 ngụ ý một yếu tố hành vi sai trái cá nhân vì nó nêu rằng các CEO và CFO phải “hoàn trả” một khoản thù lao nhất định, một thuật ngữ mà các Bị đơn cho rằng có nghĩa là biện pháp khắc phục được thiết kế để tước đi của </w:t>
      </w:r>
      <w:r>
        <w:rPr>
          <w:b w:val="0"/>
          <w:i/>
        </w:rPr>
        <w:t>kẻ sai trái</w:t>
      </w:r>
      <w:r>
        <w:rPr>
          <w:b w:val="0"/>
          <w:i w:val="0"/>
        </w:rPr>
        <w:t xml:space="preserve"> những lợi ích thu được bất chính. </w:t>
      </w:r>
      <w:r>
        <w:rPr>
          <w:b w:val="0"/>
          <w:i/>
        </w:rPr>
        <w:t>See</w:t>
      </w:r>
      <w:r>
        <w:rPr>
          <w:b w:val="0"/>
          <w:i w:val="0"/>
        </w:rPr>
        <w:t xml:space="preserve"> Sen. Rep. No. 107-205, at 23 (2002); </w:t>
      </w:r>
      <w:r>
        <w:rPr>
          <w:b w:val="0"/>
          <w:i/>
        </w:rPr>
        <w:t>SEC v. First Pac. Bancorp.</w:t>
      </w:r>
      <w:r>
        <w:rPr>
          <w:b w:val="0"/>
          <w:i w:val="0"/>
        </w:rPr>
        <w:t xml:space="preserve"> , 142 F.3d 1186, 1191 (9th Cir. 1998); </w:t>
      </w:r>
      <w:r>
        <w:rPr>
          <w:b w:val="0"/>
          <w:i/>
        </w:rPr>
        <w:t>SEC v. Blatt</w:t>
      </w:r>
      <w:r>
        <w:rPr>
          <w:b w:val="0"/>
          <w:i w:val="0"/>
        </w:rPr>
        <w:t xml:space="preserve"> , 583 F.2d 1325, 1335 (2d Cir. 1978). Bất kể việc báo cáo của Thượng viện sử dụng thuật ngữ “hoàn trả,” </w:t>
      </w:r>
      <w:r>
        <w:rPr>
          <w:b w:val="0"/>
          <w:i/>
        </w:rPr>
        <w:t>văn bản</w:t>
      </w:r>
      <w:r>
        <w:rPr>
          <w:b w:val="0"/>
          <w:i w:val="0"/>
        </w:rPr>
        <w:t xml:space="preserve"> của Mục 304 sử dụng thuật ngữ “bồi hoàn” thay vì “hoàn trả.” Do đó, trong khi “hoàn trả” có thể có một ý nghĩa chuyên biệt trong bối cảnh thẩm quyền theo thông luật có sẵn của tòa án để ra lệnh hoàn trả </w:t>
      </w:r>
      <w:r>
        <w:rPr>
          <w:b w:val="0"/>
          <w:i/>
        </w:rPr>
        <w:t>theo công bằng</w:t>
      </w:r>
      <w:r>
        <w:rPr>
          <w:b w:val="0"/>
          <w:i w:val="0"/>
        </w:rPr>
        <w:t xml:space="preserve"> , </w:t>
      </w:r>
      <w:r>
        <w:rPr>
          <w:b w:val="0"/>
          <w:i/>
        </w:rPr>
        <w:t>see, e.g.</w:t>
      </w:r>
      <w:r>
        <w:rPr>
          <w:b w:val="0"/>
          <w:i w:val="0"/>
        </w:rPr>
        <w:t xml:space="preserve"> , </w:t>
      </w:r>
      <w:r>
        <w:rPr>
          <w:b w:val="0"/>
          <w:i/>
        </w:rPr>
        <w:t>First Pac. Bancorp.</w:t>
      </w:r>
      <w:r>
        <w:rPr>
          <w:b w:val="0"/>
          <w:i w:val="0"/>
        </w:rPr>
        <w:t xml:space="preserve"> , 142 F.3d at 1191, </w:t>
      </w:r>
      <w:r>
        <w:rPr>
          <w:b w:val="0"/>
          <w:i/>
        </w:rPr>
        <w:t>Blatt</w:t>
      </w:r>
      <w:r>
        <w:rPr>
          <w:b w:val="0"/>
          <w:i w:val="0"/>
        </w:rPr>
        <w:t xml:space="preserve"> , 583 F.2d at 1335, nó không áp dụng cho văn bản của đạo luật ở đây.</w:t>
      </w:r>
    </w:p>
    <w:p>
      <w:pPr>
        <w:pStyle w:val="Heading5"/>
      </w:pPr>
      <w:r>
        <w:rPr>
          <w:rFonts w:ascii="Calibri" w:hAnsi="Calibri"/>
          <w:b/>
          <w:i/>
          <w:sz w:val="22"/>
        </w:rPr>
        <w:t>Bình luận và Câu hỏi</w:t>
      </w:r>
    </w:p>
    <w:p>
      <w:pPr>
        <w:spacing w:after="80"/>
      </w:pPr>
      <w:r>
        <w:rPr>
          <w:b w:val="0"/>
          <w:i w:val="0"/>
        </w:rPr>
        <w:t>1. Mục đích của quy định này là gì? Tại sao nó lại cần thiết? Liệu nó có khả năng có nhiều tác động đến tính chính xác của các báo cáo tài chính không?</w:t>
      </w:r>
    </w:p>
    <w:p>
      <w:pPr>
        <w:spacing w:after="80"/>
      </w:pPr>
      <w:r>
        <w:rPr>
          <w:b w:val="0"/>
          <w:i w:val="0"/>
        </w:rPr>
        <w:t>2. Quốc hội có nên quyết định những vấn đề này không? Có nên để vấn đề này cho luật tiểu bang và quyền quyết định của hội đồng quản trị không?</w:t>
      </w:r>
    </w:p>
    <w:p>
      <w:pPr>
        <w:spacing w:after="80"/>
      </w:pPr>
      <w:r>
        <w:rPr>
          <w:b w:val="0"/>
          <w:i w:val="0"/>
        </w:rPr>
        <w:t>3. Bạn có đồng ý với phán quyết này không? Bất kể phân tích pháp lý, có nên yêu cầu thu hồi đối với những người không thực hiện hành vi sai trái không? Việc hoàn trả có nên gắn với việc điều chỉnh lại báo cáo tài chính không? Những điểm mạnh và điểm yếu của cách tiếp cận như vậy là gì?</w:t>
      </w:r>
    </w:p>
    <w:p>
      <w:pPr>
        <w:spacing w:after="80"/>
      </w:pPr>
      <w:r>
        <w:rPr>
          <w:b w:val="0"/>
          <w:i w:val="0"/>
        </w:rPr>
        <w:t xml:space="preserve">4. Đây là vụ kiện đầu tiên do Ủy ban đưa ra dựa trên Mục 304. Tại sao nó không được sử dụng thường xuyên hơn? Tuy nhiên, điều đó có thể đang thay đổi. </w:t>
      </w:r>
      <w:r>
        <w:rPr>
          <w:b w:val="0"/>
          <w:i/>
        </w:rPr>
        <w:t>See SEC v. McCarthy</w:t>
      </w:r>
      <w:r>
        <w:rPr>
          <w:b w:val="0"/>
          <w:i w:val="0"/>
        </w:rPr>
        <w:t xml:space="preserve"> , Litigation Release No. 21873 (March 4, 2011) (đề cập đến Mục 304 và tiết lộ rằng CEO đã đồng ý hoàn trả cho công ty khoản tiền thưởng bằng tiền mặt đã trả vào năm 2006).</w:t>
      </w:r>
    </w:p>
    <w:p>
      <w:pPr>
        <w:spacing w:after="80"/>
      </w:pPr>
      <w:r>
        <w:rPr>
          <w:b w:val="0"/>
          <w:i w:val="0"/>
        </w:rPr>
        <w:t xml:space="preserve">5. Còn các bên tư nhân thì sao? Xu hướng là xác định rằng không có quyền khởi kiện tư nhân theo Mục 304 để thực thi quy định này. </w:t>
      </w:r>
      <w:r>
        <w:rPr>
          <w:b w:val="0"/>
          <w:i/>
        </w:rPr>
        <w:t>See Cohen v. Viray</w:t>
      </w:r>
      <w:r>
        <w:rPr>
          <w:b w:val="0"/>
          <w:i w:val="0"/>
        </w:rPr>
        <w:t xml:space="preserve"> , 622 F.3d 188 (2d Cir. 2010); </w:t>
      </w:r>
      <w:r>
        <w:rPr>
          <w:b w:val="0"/>
          <w:i/>
        </w:rPr>
        <w:t>see also In re Digimarc Corp. Derivative Litig.</w:t>
      </w:r>
      <w:r>
        <w:rPr>
          <w:b w:val="0"/>
          <w:i w:val="0"/>
        </w:rPr>
        <w:t xml:space="preserve"> , 549 F.3d 1223, 1233 (9th Cir. 2008). Liệu quy định này có thể có bất kỳ sự liên quan nào trong một vụ kiện phái sinh không?</w:t>
      </w:r>
    </w:p>
    <w:p>
      <w:pPr>
        <w:spacing w:after="80"/>
      </w:pPr>
      <w:r>
        <w:rPr>
          <w:b w:val="0"/>
          <w:i w:val="0"/>
        </w:rPr>
        <w:t xml:space="preserve">6. Liệu các bên tư nhân có thể đưa vào một thỏa thuận dàn xếp cho các vụ kiện về chứng khoán và phái sinh một điều khoản từ bỏ cụ thể Điều 304 (Section 304) nhằm ngăn chặn Ủy ban (Commission) khởi kiện theo quy định này không? Trong </w:t>
      </w:r>
      <w:r>
        <w:rPr>
          <w:b w:val="0"/>
          <w:i/>
        </w:rPr>
        <w:t>Cohen v. Viray</w:t>
      </w:r>
      <w:r>
        <w:rPr>
          <w:b w:val="0"/>
          <w:i w:val="0"/>
        </w:rPr>
        <w:t>, các bên đã tìm kiếm sự phê chuẩn cho một thỏa thuận dàn xếp vừa từ bỏ Điều 304 vừa bồi thường cho các giám đốc liên quan đối với bất kỳ khoản thanh toán nào phát sinh từ quy định này. SEC đã can thiệp (cùng với Bộ Tư pháp) và phản đối thỏa thuận dàn xếp. Tòa án đã hủy bỏ thỏa thuận dàn xếp, kết luận rằng "bản thân các công ty không có thẩm quyền để miễn trừ một cách hiệu quả các cá nhân khỏi trách nhiệm theo Điều 304."</w:t>
      </w:r>
    </w:p>
    <w:p>
      <w:pPr>
        <w:spacing w:after="80"/>
      </w:pPr>
      <w:r>
        <w:rPr>
          <w:b w:val="0"/>
          <w:i w:val="0"/>
        </w:rPr>
        <w:t>7. Quốc hội rõ ràng thích ý tưởng về việc thu hồi (clawback). Quy định này đã được tăng cường và mở rộng trong Đạo luật Dodd-Frank. Điều 954 yêu cầu Ủy ban ban hành các quy tắc quy định việc hoàn trả thù lao dựa trên khuyến khích (incentive-based compensation) khi có bất kỳ việc lập lại báo cáo tài chính (restatement) nào phát sinh sau khi chứng minh được "sự không tuân thủ trọng yếu" (material noncompliance) với các yêu cầu báo cáo tài chính. Ngoài ra, quy định này áp dụng cho các giám đốc điều hành đương nhiệm và tiền nhiệm, và áp dụng cho thù lao dựa trên hiệu suất (performance-based compensation) được trả trong khoảng thời gian ba năm trước việc lập lại báo cáo tài chính. SEC đã đề xuất các quy tắc để thực thi quy định này. Xem Exchange Act Release No. 75342 (ngày 1 tháng 7 năm 2015) (đề xuất Quy tắc 10D-1). Đề xuất này sẽ bắt buộc việc thu hồi, cho hội đồng quản trị rất ít quyền tùy ý để từ bỏ việc thu hồi. Văn bản Release lưu ý rằng "việc cho phép quyền tùy ý quyết định có thu hồi thù lao dựa trên khuyến khích vượt mức hay không có thể làm suy yếu mục đích của Điều 10D bằng cách cho phép hội đồng quản trị của tổ chức phát hành xác định rằng một giám đốc điều hành có thể giữ lại thù lao dựa trên khuyến khích mà người đó không được hưởng." Quyền tùy ý sẽ chỉ tồn tại khi việc thu hồi sẽ gây ra "chi phí quá mức" (undue costs) hoặc vi phạm luật pháp của quốc gia khác. Quy tắc này có khả năng sẽ có tác động gì? Bạn có đồng ý với việc đề xuất thiếu quyền tùy ý dành cho hội đồng quản trị trong việc tìm kiếm thu hồi không?</w:t>
      </w:r>
    </w:p>
    <w:p>
      <w:pPr>
        <w:pStyle w:val="Heading3"/>
      </w:pPr>
      <w:r>
        <w:rPr>
          <w:rFonts w:ascii="Calibri" w:hAnsi="Calibri"/>
          <w:b/>
          <w:i w:val="0"/>
          <w:sz w:val="26"/>
        </w:rPr>
        <w:t>D. Sửa chữa Quy trình</w:t>
      </w:r>
    </w:p>
    <w:p>
      <w:pPr>
        <w:spacing w:after="80"/>
      </w:pPr>
      <w:r>
        <w:rPr>
          <w:b w:val="0"/>
          <w:i w:val="0"/>
        </w:rPr>
        <w:t xml:space="preserve">Dodd-Frank cũng tìm cách điều chỉnh quy trình mà các công ty niêm yết sử dụng để xác định thù lao cho giám đốc điều hành. Đạo luật đã bổ sung Điều 10C vào Exchange Act. </w:t>
      </w:r>
      <w:r>
        <w:rPr>
          <w:b w:val="0"/>
          <w:i/>
        </w:rPr>
        <w:t>Xem</w:t>
      </w:r>
      <w:r>
        <w:rPr>
          <w:b w:val="0"/>
          <w:i w:val="0"/>
        </w:rPr>
        <w:t xml:space="preserve"> 15 USC 78j-3. Quy định này nêu rằng Ủy ban phải, bằng quy tắc, yêu cầu các sở giao dịch chứng khoán trực tiếp áp dụng các tiêu chuẩn niêm yết điều chỉnh các ủy ban thù lao (compensation committee). Ủy ban này phải bao gồm các giám đốc độc lập và có thẩm quyền giữ lại các cố vấn, dù là cố vấn thù lao hay luật sư. Ủy ban này cũng phải nhận được "nguồn tài trợ thích hợp" mà nó sẽ tự xác định. Ủy ban đã làm điều này với việc thông qua Quy tắc 10C-1.</w:t>
      </w:r>
    </w:p>
    <w:p>
      <w:pPr>
        <w:spacing w:after="80"/>
      </w:pPr>
      <w:r>
        <w:rPr>
          <w:b w:val="0"/>
          <w:i w:val="0"/>
        </w:rPr>
        <w:t>Khi điều chỉnh các ủy ban thù lao, Quốc hội đặc biệt quan tâm đến việc sử dụng các cố vấn thù lao. Đã nảy sinh lo ngại rằng những cố vấn này đôi khi là người bênh vực cho CEO thay vì cho công ty. Do đó, quy định này không chỉ trao cho các ủy ban thẩm quyền giữ lại các cố vấn mà còn trao cho Ủy ban thẩm quyền xác định các yếu tố phải được xem xét khi lựa chọn một cố vấn.</w:t>
      </w:r>
    </w:p>
    <w:p>
      <w:pPr>
        <w:pStyle w:val="Heading4"/>
      </w:pPr>
      <w:r>
        <w:rPr>
          <w:rFonts w:ascii="Calibri" w:hAnsi="Calibri"/>
          <w:b/>
          <w:i w:val="0"/>
          <w:sz w:val="23"/>
        </w:rPr>
        <w:t>Tiêu chuẩn Niêm yết cho các Ủy ban Thù lao</w:t>
      </w:r>
    </w:p>
    <w:p>
      <w:pPr>
        <w:spacing w:after="80"/>
      </w:pPr>
      <w:r>
        <w:rPr>
          <w:b w:val="0"/>
          <w:i w:val="0"/>
        </w:rPr>
        <w:t>File No. S7-13-11</w:t>
      </w:r>
      <w:r>
        <w:br/>
      </w:r>
      <w:r>
        <w:rPr>
          <w:b w:val="0"/>
          <w:i w:val="0"/>
        </w:rPr>
        <w:t xml:space="preserve"> Exchange Act Release No. 67220 (ngày 20 tháng 6 năm 2012)</w:t>
      </w:r>
    </w:p>
    <w:p>
      <w:pPr>
        <w:spacing w:after="80"/>
      </w:pPr>
      <w:r>
        <w:rPr>
          <w:b w:val="0"/>
          <w:i w:val="0"/>
        </w:rPr>
        <w:t>4. Các Yếu tố về Tính Độc lập của Cố vấn Thù lao</w:t>
      </w:r>
    </w:p>
    <w:p>
      <w:pPr>
        <w:spacing w:after="80"/>
      </w:pPr>
      <w:r>
        <w:rPr>
          <w:b w:val="0"/>
          <w:i w:val="0"/>
        </w:rPr>
        <w:t>Điều 10C(b) của Exchange Act quy định rằng ủy ban thù lao của một tổ chức phát hành niêm yết chỉ có thể chọn một cố vấn thù lao sau khi xem xét năm yếu tố độc lập được quy định trong Điều 10C(b) cũng như bất kỳ yếu tố nào khác do Ủy ban xác định. Theo Điều 10C(b), những yếu tố này sẽ áp dụng cho việc lựa chọn các cố vấn thù lao, luật sư tư vấn pháp lý và các cố vấn khác cho ủy ban. Luật không yêu cầu một cố vấn thù lao phải độc lập, chỉ yêu cầu ủy ban thù lao của một tổ chức phát hành niêm yết xem xét các yếu tố độc lập được liệt kê trước khi chọn một cố vấn thù lao. Điều 10C(b)(2) quy định rằng các yếu tố độc lập do Ủy ban xác định phải trung lập về cạnh tranh và bao gồm, tối thiểu:</w:t>
      </w:r>
    </w:p>
    <w:p>
      <w:pPr>
        <w:spacing w:after="80"/>
      </w:pPr>
      <w:r>
        <w:rPr>
          <w:b w:val="0"/>
          <w:i w:val="0"/>
        </w:rPr>
        <w:t>Việc cung cấp các dịch vụ khác cho tổ chức phát hành bởi người sử dụng cố vấn thù lao, luật sư tư vấn pháp lý hoặc cố vấn khác;</w:t>
      </w:r>
    </w:p>
    <w:p>
      <w:pPr>
        <w:spacing w:after="80"/>
      </w:pPr>
      <w:r>
        <w:rPr>
          <w:b w:val="0"/>
          <w:i w:val="0"/>
        </w:rPr>
        <w:t>Số tiền phí nhận được từ tổ chức phát hành bởi người sử dụng cố vấn thù lao, luật sư tư vấn pháp lý hoặc cố vấn khác, tính theo tỷ lệ phần trăm trên tổng doanh thu của người sử dụng cố vấn thù lao, luật sư tư vấn pháp lý hoặc cố vấn khác;</w:t>
      </w:r>
    </w:p>
    <w:p>
      <w:pPr>
        <w:spacing w:after="80"/>
      </w:pPr>
      <w:r>
        <w:rPr>
          <w:b w:val="0"/>
          <w:i w:val="0"/>
        </w:rPr>
        <w:t>Các chính sách và thủ tục của người sử dụng cố vấn thù lao, luật sư tư vấn pháp lý hoặc cố vấn khác được thiết kế để ngăn ngừa xung đột lợi ích;</w:t>
      </w:r>
    </w:p>
    <w:p>
      <w:pPr>
        <w:spacing w:after="80"/>
      </w:pPr>
      <w:r>
        <w:rPr>
          <w:b w:val="0"/>
          <w:i w:val="0"/>
        </w:rPr>
        <w:t>Bất kỳ mối quan hệ kinh doanh hoặc cá nhân nào của cố vấn thù lao, luật sư tư vấn pháp lý hoặc cố vấn khác với một thành viên của ủy ban thù lao; và</w:t>
      </w:r>
    </w:p>
    <w:p>
      <w:pPr>
        <w:spacing w:after="80"/>
      </w:pPr>
      <w:r>
        <w:rPr>
          <w:b w:val="0"/>
          <w:i w:val="0"/>
        </w:rPr>
        <w:t>Bất kỳ cổ phiếu nào của tổ chức phát hành do cố vấn thù lao, luật sư tư vấn pháp lý hoặc cố vấn khác sở hữu.</w:t>
      </w:r>
    </w:p>
    <w:p>
      <w:pPr>
        <w:spacing w:after="80"/>
      </w:pPr>
      <w:r>
        <w:rPr>
          <w:b w:val="0"/>
          <w:i w:val="0"/>
        </w:rPr>
        <w:t>Chúng tôi đã đề xuất chỉ đạo các sở giao dịch áp dụng các tiêu chuẩn niêm yết yêu cầu ủy ban thù lao của một tổ chức phát hành niêm yết xem xét năm yếu tố được liệt kê trong Điều 10C(b) của Exchange Act trước khi chọn một cố vấn thù lao. Chúng tôi đang thông qua quy tắc về cơ bản như đã đề xuất, nhưng có một số thay đổi để đáp ứng các ý kiến đóng góp.</w:t>
      </w:r>
    </w:p>
    <w:p>
      <w:pPr>
        <w:spacing w:after="80"/>
      </w:pPr>
      <w:r>
        <w:rPr>
          <w:b w:val="0"/>
          <w:i w:val="0"/>
        </w:rPr>
        <w:t>* * *</w:t>
      </w:r>
    </w:p>
    <w:p>
      <w:pPr>
        <w:spacing w:after="80"/>
      </w:pPr>
      <w:r>
        <w:rPr>
          <w:b w:val="0"/>
          <w:i w:val="0"/>
        </w:rPr>
        <w:t>Nhiều nhà bình luận đã thúc giục chúng tôi bổ sung thêm các yếu tố độc lập vào danh sách những yếu tố có thể ảnh hưởng đến tính độc lập của cố vấn thù lao. Một số nhà bình luận lập luận rằng chúng tôi nên đưa vào việc so sánh số tiền phí nhận được khi cung cấp dịch vụ tư vấn thù lao cho ban điều hành với số tiền phí nhận được khi cung cấp dịch vụ tư vấn thù lao phi ban điều hành. Các nhà bình luận khác bày tỏ ủng hộ việc yêu cầu các ủy ban thù lao xem xét bất kỳ mối quan hệ kinh doanh hoặc cá nhân nào giữa một viên chức điều hành của tổ chức phát hành và cố vấn hoặc người sử dụng cố vấn thù lao. Tuy nhiên, một số nhà bình luận phản đối việc thêm các yếu tố mới vào danh sách các yếu tố được nêu trong quy định đề xuất, mặc dù một trong những nhà bình luận này thừa nhận rằng họ sẽ khuyên bất kỳ ủy ban thù lao nào đang đánh giá tính độc lập của một cố vấn tiềm năng nên xem xét các mối quan hệ kinh doanh và cá nhân giữa các viên chức điều hành của tổ chức phát hành và cố vấn hoặc công ty của cố vấn.</w:t>
      </w:r>
    </w:p>
    <w:p>
      <w:pPr>
        <w:spacing w:after="80"/>
      </w:pPr>
      <w:r>
        <w:rPr>
          <w:b w:val="0"/>
          <w:i w:val="0"/>
        </w:rPr>
        <w:t>* * *</w:t>
      </w:r>
    </w:p>
    <w:p>
      <w:pPr>
        <w:spacing w:after="80"/>
      </w:pPr>
      <w:r>
        <w:rPr>
          <w:b w:val="0"/>
          <w:i w:val="0"/>
        </w:rPr>
        <w:t>c. Quy định cuối cùng</w:t>
      </w:r>
    </w:p>
    <w:p>
      <w:pPr>
        <w:spacing w:after="80"/>
      </w:pPr>
      <w:r>
        <w:rPr>
          <w:b w:val="0"/>
          <w:i w:val="0"/>
        </w:rPr>
        <w:t>Sau khi xem xét các ý kiến bình luận, chúng tôi thông qua các yêu cầu về cơ bản như đã đề xuất, nhưng có một số sửa đổi. Như đã thảo luận ở trên, khía cạnh này của quy định cuối cùng cũng sẽ áp dụng cho những thành viên trong hội đồng quản trị của tổ chức phát hành niêm yết, những người giám sát các vấn đề thù lao ban điều hành thay mặt hội đồng quản trị khi không có ủy ban của hội đồng quản trị. Chúng tôi cũng đã quyết định đưa vào một yếu tố độc lập bổ sung mà các ủy ban thù lao phải xem xét trước khi lựa chọn cố vấn thù lao. Theo quy định cuối cùng, các sở giao dịch sẽ được chỉ đạo ban hành các tiêu chuẩn niêm yết yêu cầu ủy ban thù lao phải tính đến năm yếu tố được liệt kê trong Mục 10C(b)(2), cũng như bất kỳ mối quan hệ kinh doanh hoặc cá nhân nào giữa các viên chức điều hành của tổ chức phát hành và cố vấn thù lao hoặc người sử dụng cố vấn. Điều này sẽ bao gồm, ví dụ, các trường hợp giám đốc điều hành của tổ chức phát hành và cố vấn thù lao có quan hệ gia đình hoặc trường hợp giám đốc điều hành và cố vấn thù lao (hoặc người sử dụng lao động của cố vấn) là đối tác kinh doanh. Chúng tôi đồng ý với các nhà bình luận đã tuyên bố rằng các mối quan hệ kinh doanh và cá nhân giữa một viên chức điều hành và cố vấn thù lao hoặc người sử dụng cố vấn thù lao có thể tiềm ẩn xung đột lợi ích đáng kể mà ủy ban thù lao nên xem xét trước khi lựa chọn cố vấn thù lao.</w:t>
      </w:r>
    </w:p>
    <w:p>
      <w:pPr>
        <w:pStyle w:val="Heading5"/>
      </w:pPr>
      <w:r>
        <w:rPr>
          <w:rFonts w:ascii="Calibri" w:hAnsi="Calibri"/>
          <w:b/>
          <w:i/>
          <w:sz w:val="22"/>
        </w:rPr>
        <w:t>Bình luận và Câu hỏi</w:t>
      </w:r>
    </w:p>
    <w:p>
      <w:pPr>
        <w:spacing w:after="80"/>
      </w:pPr>
      <w:r>
        <w:rPr>
          <w:b w:val="0"/>
          <w:i w:val="0"/>
        </w:rPr>
        <w:t>1. Bạn nghĩ gì về những cải cách này? Liệu chúng có cải thiện quá trình ra quyết định về thù lao ban điều hành không?</w:t>
      </w:r>
    </w:p>
    <w:p>
      <w:pPr>
        <w:spacing w:after="80"/>
      </w:pPr>
      <w:r>
        <w:rPr>
          <w:b w:val="0"/>
          <w:i w:val="0"/>
        </w:rPr>
        <w:t>2. Quy định không yêu cầu phải lựa chọn một cố vấn thù lao độc lập, mà chỉ yêu cầu hội đồng quản trị xem xét các yếu tố được quy định. Vậy thì những yếu tố này có khả năng ảnh hưởng như thế nào đến việc lựa chọn cố vấn thù lao?</w:t>
      </w:r>
    </w:p>
    <w:p>
      <w:pPr>
        <w:spacing w:after="80"/>
      </w:pPr>
      <w:r>
        <w:rPr>
          <w:b w:val="0"/>
          <w:i w:val="0"/>
        </w:rPr>
        <w:t xml:space="preserve">3. Giả sử ủy ban xem xét các yếu tố bắt buộc, liệu ủy ban vẫn có thể nhận được ý kiến đóng góp từ CEO liên quan đến các chức năng của cố vấn thù lao không? Thực tiễn này rõ ràng được cho phép theo luật tiểu bang. </w:t>
      </w:r>
      <w:r>
        <w:rPr>
          <w:b w:val="0"/>
          <w:i/>
        </w:rPr>
        <w:t>Xem Friedman v. Dolan</w:t>
      </w:r>
      <w:r>
        <w:rPr>
          <w:b w:val="0"/>
          <w:i w:val="0"/>
        </w:rPr>
        <w:t xml:space="preserve"> , CA No. 9425 (Del. Ch. Jan. 23, 2015) (luật Delaware) (để đáp lại các cáo buộc rằng ủy ban thù lao đã cho phép CEO "hỗ trợ Ủy ban Thù lao và cố vấn thù lao của ủy ban trong việc xác định nhóm đồng đẳng cốt lõi của Công ty và các so sánh nhóm đồng đẳng", tòa án kết luận rằng "hội đồng quản trị không bị cấm tìm kiếm ý kiến đóng góp của ban điều hành trong các quyết định về thù lao"). Bạn sẽ khuyến nghị điều gì và tại sao?</w:t>
      </w:r>
    </w:p>
    <w:p>
      <w:pPr>
        <w:spacing w:after="80"/>
      </w:pPr>
      <w:r>
        <w:rPr>
          <w:b w:val="0"/>
          <w:i w:val="0"/>
        </w:rPr>
        <w:t>4. Các ủy ban thù lao tự quyết định mức thù lao của chính mình. Quy định 10C-1 quy định rằng các công ty phải cung cấp "nguồn tài trợ thích hợp, theo quyết định của ủy ban thù lao" nhưng chỉ rõ rằng nguồn tài trợ phải đủ "để thanh toán thù lao hợp lý cho cố vấn thù lao, cố vấn pháp lý độc lập hoặc bất kỳ cố vấn nào khác được ủy ban thù lao thuê". Hãy so sánh điều này với quy định áp dụng cho việc tài trợ cho các ủy ban kiểm toán trong Quy định 10A-3. Ở đó, nguồn tài trợ thích hợp (theo quyết định của ủy ban) phải bao gồm thù lao cho kiểm toán viên, các cố vấn, và "[c]ác chi phí hành chính thông thường . . . cần thiết hoặc thích hợp để thực hiện nhiệm vụ của mình." 17 CFR 240.10A-3. Những tiêu chuẩn khác nhau này có thể có tác động gì, nếu có, đến việc ra quyết định của họ?</w:t>
      </w:r>
    </w:p>
    <w:p>
      <w:pPr>
        <w:spacing w:after="80"/>
      </w:pPr>
      <w:r>
        <w:rPr>
          <w:b w:val="0"/>
          <w:i w:val="0"/>
        </w:rPr>
        <w:t>5. Ủy ban cũng phải bao gồm các giám đốc độc lập. Mục 10C đã trao cho Ủy ban quyền xác định các "yếu tố" phải được xem xét khi xác định tính độc lập của giám đốc đối với ủy ban. Những yếu tố này đã gây ra tranh luận đáng kể giữa các nhà bình luận. Một số lập luận rằng các yếu tố nên bao gồm các mối quan hệ kinh doanh và cá nhân giữa các giám đốc trong ủy ban thù lao và các viên chức điều hành. Khi NYSE thông qua tiêu chuẩn niêm yết của mình, Ủy ban đã đưa ra bình luận này trong thông cáo:</w:t>
      </w:r>
    </w:p>
    <w:p>
      <w:pPr>
        <w:spacing w:after="80"/>
      </w:pPr>
      <w:r>
        <w:rPr>
          <w:b w:val="0"/>
          <w:i w:val="0"/>
        </w:rPr>
        <w:t>Mặc dù các mối quan hệ cá nhân và kinh doanh, các giao dịch với bên liên quan, và các vấn đề khác được các nhà bình luận đề xuất không được quy định cụ thể như là các trường hợp loại trừ rõ ràng hoặc các yếu tố rõ ràng phải được xem xét khi đánh giá tính độc lập của giám đốc, Ủy ban tin rằng việc tuân thủ các quy tắc của NYSE và quy định nêu trên sẽ đòi hỏi phải xem xét các yếu tố đó đối với các thành viên ủy ban thù lao, cũng như đối với tất cả các Giám đốc Độc lập trong hội đồng quản trị.</w:t>
      </w:r>
    </w:p>
    <w:p>
      <w:pPr>
        <w:spacing w:after="80"/>
      </w:pPr>
      <w:r>
        <w:rPr>
          <w:b w:val="0"/>
          <w:i w:val="0"/>
        </w:rPr>
        <w:t>Exchange Act Release No. 68639 (Jan. 11, 2013). Tiêu chuẩn này có thể có tác động gì đến việc xác định tính độc lập? Liệu nó có chỉ giới hạn ở các giám đốc trong ủy ban thù lao không?</w:t>
      </w:r>
    </w:p>
    <w:p>
      <w:pPr>
        <w:pStyle w:val="Heading3"/>
      </w:pPr>
      <w:r>
        <w:rPr>
          <w:rFonts w:ascii="Calibri" w:hAnsi="Calibri"/>
          <w:b/>
          <w:i w:val="0"/>
          <w:sz w:val="26"/>
        </w:rPr>
        <w:t>E. Thực tiễn và Biện pháp khắc phục về Thù lao</w:t>
      </w:r>
    </w:p>
    <w:p>
      <w:pPr>
        <w:spacing w:after="80"/>
      </w:pPr>
      <w:r>
        <w:rPr>
          <w:b w:val="0"/>
          <w:i w:val="0"/>
        </w:rPr>
        <w:t>Ủy ban đã sử dụng việc công bố thông tin để khuyến khích việc sử dụng các cố vấn thù lao độc lập. Trong các trường hợp khác, SEC đã sử dụng các biện pháp mang tính bắt buộc hơn để đạt được kết quả tương tự.</w:t>
      </w:r>
    </w:p>
    <w:p>
      <w:pPr>
        <w:pStyle w:val="Heading4"/>
      </w:pPr>
      <w:r>
        <w:rPr>
          <w:rFonts w:ascii="Calibri" w:hAnsi="Calibri"/>
          <w:b/>
          <w:i w:val="0"/>
          <w:sz w:val="23"/>
        </w:rPr>
        <w:t>SEC v. Bank of America</w:t>
      </w:r>
    </w:p>
    <w:p>
      <w:pPr>
        <w:spacing w:after="80"/>
      </w:pPr>
      <w:r>
        <w:rPr>
          <w:b w:val="0"/>
          <w:i w:val="0"/>
        </w:rPr>
        <w:t>Tòa án Quận Hoa Kỳ, Quận Nam New York</w:t>
      </w:r>
      <w:r>
        <w:br/>
      </w:r>
      <w:r>
        <w:rPr>
          <w:b w:val="0"/>
          <w:i w:val="0"/>
        </w:rPr>
        <w:t xml:space="preserve"> 2010 U.S. Dist. LEXIS 15460 (Feb. 22, 2010)</w:t>
      </w:r>
    </w:p>
    <w:p>
      <w:pPr>
        <w:spacing w:after="80"/>
      </w:pPr>
      <w:r>
        <w:rPr>
          <w:b w:val="0"/>
          <w:i w:val="0"/>
        </w:rPr>
        <w:t>RAKOFF, THẨM PHÁN:</w:t>
      </w:r>
    </w:p>
    <w:p>
      <w:pPr>
        <w:spacing w:after="80"/>
      </w:pPr>
      <w:r>
        <w:rPr>
          <w:b w:val="0"/>
          <w:i w:val="0"/>
        </w:rPr>
        <w:t>Câu hỏi đặt ra trước Tòa là liệu có nên chấp thuận đề nghị của nguyên đơn – Ủy ban Chứng khoán và Giao dịch (“S.E.C.”) – được đệ trình ngày 4 tháng 2 năm 2010, nhằm xin phê chuẩn Bản án Đồng thuận Đề xuất (Proposed Consent Judgment) để giải quyết hai vụ án nêu trên. Với bối cảnh có phần éo le của các vụ án này và những khó khăn mà đề nghị này đặt ra, Tòa thấy muốn trích dẫn câu nói của nhà triết học vĩ đại người Mỹ Yogi Berra: “Tôi ước gì mình có câu trả lời cho điều đó, bởi vì tôi đã mệt mỏi vì phải trả lời câu hỏi đó rồi.” Tuy nhiên, sau khi xem xét đầy đủ, Tòa đành miễn cưỡng chấp thuận đề nghị này, theo các điều khoản được nêu cụ thể dưới đây.</w:t>
      </w:r>
    </w:p>
    <w:p>
      <w:pPr>
        <w:spacing w:after="80"/>
      </w:pPr>
      <w:r>
        <w:rPr>
          <w:b w:val="0"/>
          <w:i w:val="0"/>
        </w:rPr>
        <w:t>Tòa bắt đầu từ nơi mà bất kỳ tòa án nào cũng nên bắt đầu: từ các sự kiện. Khi bác bỏ thỏa thuận đề xuất trước đó trong vụ đầu tiên trong hai vụ này, 09 Civ. 6829 (vụ “Thưởng Không Được Tiết Lộ”), vì cho rằng nó không công bằng, không hợp lý, không thỏa đáng và không vì lợi ích công cộng, Tòa đã than phiền về việc thiếu các sự kiện đã được xác lập để chống đỡ cho đề xuất đó và bày tỏ hy vọng rằng “sự thật vẫn có thể sẽ lộ ra.” S.E.C. v. Bank of America Corp., 653 F. Supp. 2d 507, 512 (S.D.N.Y. 2009). Kể từ đó, các bên đã tiến hành hoạt động thu thập chứng cứ (discovery) quy mô lớn, với sự hỗ trợ từ quyết định hữu ích của bị đơn Bank of America Corp. (“Ngân hàng”) là từ bỏ đặc quyền luật sư – khách hàng, dẫn đến việc S.E.C. trình lên Tòa này một Bản Trình bày Sự kiện dài 35 trang và một Bản Trình bày Sự kiện Bổ sung dài 13 trang, mà tính chính xác của chúng không bị Ngân hàng phản đối ở đây. Ngoài ra, để trả lời các câu hỏi của Tòa trong một Lệnh ngày 11 tháng 2 năm 2010, các bên đã cung cấp, và Tòa đã xem xét, hàng trăm trang lời khai tại phiên lấy lời khai (deposition testimony) và các tài liệu chứng cứ khác liên quan đến vụ án.</w:t>
      </w:r>
    </w:p>
    <w:p>
      <w:pPr>
        <w:spacing w:after="80"/>
      </w:pPr>
      <w:r>
        <w:rPr>
          <w:b w:val="0"/>
          <w:i w:val="0"/>
        </w:rPr>
        <w:t>Qua việc xem xét đó, Tòa thấy rõ rằng:</w:t>
      </w:r>
    </w:p>
    <w:p>
      <w:pPr>
        <w:spacing w:after="80"/>
      </w:pPr>
      <w:r>
        <w:rPr>
          <w:b w:val="0"/>
          <w:i w:val="0"/>
        </w:rPr>
        <w:t>(1) Bản Tuyên bố Ủy quyền (Proxy Statement) mà Ngân hàng gửi cho các cổ đông vào ngày 3 tháng 11 năm 2008 để xin họ chấp thuận việc sáp nhập với Merrill Lynch &amp; Co., Inc. (“Merrill”) đã không tiết lộ đầy đủ thỏa thuận của Ngân hàng cho phép Merrill trả cho các giám đốc điều hành và một số nhân viên khác của mình 5,8 tỷ đô la tiền thưởng vào thời điểm Merrill đang chịu thua lỗ khổng lồ; và</w:t>
      </w:r>
    </w:p>
    <w:p>
      <w:pPr>
        <w:spacing w:after="80"/>
      </w:pPr>
      <w:r>
        <w:rPr>
          <w:b w:val="0"/>
          <w:i w:val="0"/>
        </w:rPr>
        <w:t>(2) Ngân hàng đã không tiết lộ đầy đủ cho các cổ đông của mình, dù là trước khi cổ đông chấp thuận việc sáp nhập vào ngày 5 tháng 12 năm 2008 hay trước ngày hiệu lực của việc sáp nhập là ngày 1 tháng 1 năm 2009, về việc Ngân hàng ngày càng biết rõ rằng Merrill đang chịu những khoản thua lỗ lớn chưa từng có trong lịch sử trong quý 4 năm 2008 (cuối cùng lên tới khoản lỗ ròng 15,3 tỷ đô la, khoản lỗ theo quý lớn nhất trong lịch sử của công ty này) và rằng dù vậy Merrill đã đẩy nhanh việc chi trả cho một số giám đốc điều hành và nhân viên khác hơn 3,6 tỷ đô la tiền thưởng.</w:t>
      </w:r>
    </w:p>
    <w:p>
      <w:pPr>
        <w:spacing w:after="80"/>
      </w:pPr>
      <w:r>
        <w:rPr>
          <w:b w:val="0"/>
          <w:i w:val="0"/>
        </w:rPr>
        <w:t xml:space="preserve">Bất chấp việc Ngân hàng có phần ngập ngừng, né tránh không thừa nhận tính trọng yếu của những việc không tiết lộ này, có vẻ hiển nhiên rằng một cổ đông Ngân hàng thận trọng, nếu được thông báo về những sự kiện nêu trên, hẳn đã suy nghĩ lại về việc chấp thuận sáp nhập hoặc có thể đã tìm cách đàm phán lại. Tuy nhiên, điều còn xa mới rõ ràng là tại sao những việc không tiết lộ này lại xảy ra. S.E.C. và Ngân hàng đã nhất quán giữ quan điểm rằng xét cho cùng thì đó là kết quả của sự sơ suất từ phía Ngân hàng, các giám đốc điều hành liên quan và các luật sư của Ngân hàng (cả nội bộ lẫn bên ngoài), những người đã đưa ra các quyết định (nếu có thể gọi là quyết định) không tiết lộ theo kiểu chắp vá, trong đó dữ liệu không đầy đủ cùng với việc phân tích khá hẹp hòi các vấn đề tiết lộ đã kết hợp lại để che khuất tác động tổng hợp của thông tin bị giữ kín. Cụ thể, có vẻ như những người ra quyết định liên quan đã giữ quan điểm rằng cả tiền thưởng lẫn các khoản lỗ ngày càng tăng trong quý 4 đều không cần phải tiết lộ, bởi vì tiền thưởng phù hợp với tiền thưởng của các năm trước và các khoản lỗ thì chưa chắc chắn và dù sao cũng gần tương đương với các quý trước. </w:t>
      </w:r>
      <w:r>
        <w:rPr>
          <w:b w:val="0"/>
          <w:i/>
        </w:rPr>
        <w:t>Xem, ví dụ</w:t>
      </w:r>
      <w:r>
        <w:rPr>
          <w:b w:val="0"/>
          <w:i w:val="0"/>
        </w:rPr>
        <w:t xml:space="preserve">, Bản Trình bày Sự kiện tại 15, 29; Bản Trình bày Sự kiện Bổ sung tại 5–8. Bất chấp những dấu hiệu ngày càng rõ cho thấy giả định thứ hai là sai lầm, </w:t>
      </w:r>
      <w:r>
        <w:rPr>
          <w:b w:val="0"/>
          <w:i/>
        </w:rPr>
        <w:t>xem, ví dụ</w:t>
      </w:r>
      <w:r>
        <w:rPr>
          <w:b w:val="0"/>
          <w:i w:val="0"/>
        </w:rPr>
        <w:t>, Bản Trình bày Sự kiện Bổ sung tại 8, những người ra quyết định liên quan vẫn bám chặt vào các kết luận trước đó của mình về vấn đề tiết lộ các khoản lỗ và có vẻ như chưa từng xem xét chút nào đến tác động mà việc đẩy nhanh chi trả hơn 3,6 tỷ đô la tiền thưởng có thể gây ra đối với một công ty đang trên bờ vực phá sản về tài chính.</w:t>
      </w:r>
    </w:p>
    <w:p>
      <w:pPr>
        <w:spacing w:after="80"/>
      </w:pPr>
      <w:r>
        <w:rPr>
          <w:b w:val="0"/>
          <w:i w:val="0"/>
        </w:rPr>
        <w:t>* * *</w:t>
      </w:r>
    </w:p>
    <w:p>
      <w:pPr>
        <w:spacing w:after="80"/>
      </w:pPr>
      <w:r>
        <w:rPr>
          <w:b w:val="0"/>
          <w:i w:val="0"/>
        </w:rPr>
        <w:t>Do đó, Tòa chuyển sang câu hỏi liệu . . . thỏa thuận này có công bằng, hợp lý, thỏa đáng và vì lợi ích công cộng hay không. Thỏa thuận đề xuất về cơ bản có hai thành phần: một gói các biện pháp phòng ngừa nhằm ngăn chặn những việc không tiết lộ như vậy trong tương lai; và một điều khoản phạt, mà cũng được cho là nhằm phục vụ mục đích bồi thường một phần cho các nạn nhân.</w:t>
      </w:r>
    </w:p>
    <w:p>
      <w:pPr>
        <w:spacing w:after="80"/>
      </w:pPr>
      <w:r>
        <w:rPr>
          <w:b w:val="0"/>
          <w:i w:val="0"/>
        </w:rPr>
        <w:t>Gói các biện pháp phòng ngừa bao gồm, trong số các hạng mục khác, những điều sau đây:</w:t>
      </w:r>
    </w:p>
    <w:p>
      <w:pPr>
        <w:spacing w:after="80"/>
        <w:ind w:left="360"/>
      </w:pPr>
      <w:r>
        <w:t xml:space="preserve">• </w:t>
      </w:r>
      <w:r>
        <w:rPr>
          <w:b w:val="0"/>
          <w:i w:val="0"/>
        </w:rPr>
        <w:t>việc Ngân hàng, sau khi tham khảo ý kiến với SEC, thuê một kiểm toán viên độc lập để đánh giá trong ba năm tới liệu các biện pháp kiểm soát và thủ tục kế toán của Ngân hàng có đầy đủ để bảo đảm việc tiết lộ công khai đúng đắn hay không;</w:t>
      </w:r>
    </w:p>
    <w:p>
      <w:pPr>
        <w:spacing w:after="80"/>
        <w:ind w:left="360"/>
      </w:pPr>
      <w:r>
        <w:t xml:space="preserve">• </w:t>
      </w:r>
      <w:r>
        <w:rPr>
          <w:b w:val="0"/>
          <w:i w:val="0"/>
        </w:rPr>
        <w:t>việc Ngân hàng, sau khi tham khảo ý kiến với SEC, thuê một cố vấn tiết lộ độc lập để báo cáo riêng cho ủy ban kiểm toán của Ngân hàng về tính đầy đủ của các tiết lộ công khai của Ngân hàng trong ba năm tới;</w:t>
      </w:r>
    </w:p>
    <w:p>
      <w:pPr>
        <w:spacing w:after="80"/>
        <w:ind w:left="360"/>
      </w:pPr>
      <w:r>
        <w:t xml:space="preserve">• </w:t>
      </w:r>
      <w:r>
        <w:rPr>
          <w:b w:val="0"/>
          <w:i w:val="0"/>
        </w:rPr>
        <w:t>việc Ngân hàng thuê một cố vấn thù lao bên ngoài để tư vấn cho một ủy ban thù lao hoàn toàn độc lập thuộc hội đồng quản trị Ngân hàng về các điều khoản thù lao cho giám đốc điều hành trong ba năm tới; và</w:t>
      </w:r>
    </w:p>
    <w:p>
      <w:pPr>
        <w:spacing w:after="80"/>
        <w:ind w:left="360"/>
      </w:pPr>
      <w:r>
        <w:t xml:space="preserve">• </w:t>
      </w:r>
      <w:r>
        <w:rPr>
          <w:b w:val="0"/>
          <w:i w:val="0"/>
        </w:rPr>
        <w:t>việc Ngân hàng đệ trình các khuyến nghị về thù lao giám đốc điều hành lên các cổ đông để biểu quyết không ràng buộc về việc chấp thuận hay không chấp thuận, trong ba năm tới.</w:t>
      </w:r>
    </w:p>
    <w:p>
      <w:pPr>
        <w:spacing w:after="80"/>
      </w:pPr>
      <w:r>
        <w:rPr>
          <w:b w:val="0"/>
          <w:i w:val="0"/>
        </w:rPr>
        <w:t>Không ai có thể phản đối rằng những bước khắc phục này là hữu ích, trong phạm vi chúng đi được, và có thể giúp làm cho kiểu tiếp cận chắp vá và câu nệ đối với việc tiết lộ công khai – vốn đã dẫn đến những rắc rối của Ngân hàng trong các vụ án hiện tại – trở nên ít có khả năng xảy ra hơn. Xét rằng giả định làm việc rõ ràng của những người ra quyết định và các luật sư của Ngân hàng liên quan đến các sự kiện cơ bản đang được bàn tới ở đây là không tiết lộ thông tin nếu có thể tìm được một lý lẽ để không tiết lộ, thì các bước khắc phục được đề xuất này sẽ giúp nuôi dưỡng một thái độ lành mạnh hơn, đó là “khi còn nghi ngờ, hãy tiết lộ.”</w:t>
      </w:r>
    </w:p>
    <w:p>
      <w:pPr>
        <w:spacing w:after="80"/>
      </w:pPr>
      <w:r>
        <w:rPr>
          <w:b w:val="0"/>
          <w:i w:val="0"/>
        </w:rPr>
        <w:t>Để tăng cường hơn nữa các biện pháp phòng ngừa này, tại phiên điều trần ngày 8 tháng 2 năm 2010, Tòa đã đề nghị rằng kiểm toán viên độc lập và cố vấn tiết lộ không chỉ được chọn sau khi tham khảo ý kiến với S.E.C., mà còn phải hoàn toàn được S.E.C. chấp thuận, với Tòa có tiếng nói cuối cùng nếu hai bên không thể đồng ý về việc lựa chọn. Các bên, qua các lá thư đề ngày 16 tháng 2 năm 2010, sau đó đã đồng ý với những đề nghị này, do đó chúng sẽ cần được đưa vào một Bản án Đồng thuận Đề xuất đã được sửa đổi để trình lên Tòa, như được nêu chi tiết dưới đây.</w:t>
      </w:r>
    </w:p>
    <w:p>
      <w:pPr>
        <w:spacing w:after="80"/>
      </w:pPr>
      <w:r>
        <w:rPr>
          <w:b w:val="0"/>
          <w:i w:val="0"/>
        </w:rPr>
        <w:t>Tòa án cũng gợi ý rằng chuyên gia tư vấn thù lao, mà đề xuất hiện tại quy định sẽ do ủy ban thù lao của Ngân hàng lựa chọn duy nhất (thậm chí không tham khảo ý kiến S.E.C.), nên được lựa chọn chung bởi ủy ban thù lao, S.E.C. và Tòa án. Lý do cho gợi ý này là nhận thức của Tòa án rằng quá nhiều chuyên gia tư vấn thù lao có trọng tâm lệch lạc khi nói đến thù lao điều hành, tập trung vào những gì họ cho là cần thiết để thu hút và giữ chân "nhân tài" (dù định nghĩa thế nào), và nói chung là ủng hộ các gói thù lao ngày càng lớn hơn, trong khi hiếm khi tính đến các giới hạn mà một cổ đông hợp lý có thể đặt ra cho những khoản chi tiêu như vậy. Tuy nhiên, trong lá thư ngày 16 tháng 2 năm 2010, Ngân hàng thẳng thừng bác bỏ đề xuất này, lưu ý trong thư rằng "SEC đã luôn khẳng định rằng họ không tìm cách áp đặt bất kỳ triết lý cụ thể nào hay đưa ra bất kỳ phán đoán thực chất nào về hình thức hoặc mức thù lao." Nhưng sự bảo vệ mạnh mẽ của Ngân hàng đối với "thánh bò" thù lao điều hành là không liên quan: Tòa án chỉ gợi ý rằng việc trao cho S.E.C. và/hoặc Tòa án một vai trò nào đó trong việc lựa chọn chuyên gia tư vấn thù lao có thể mang lại chút khách quan trong việc lựa chọn đó. Tuy nhiên, Tòa án đồng ý rằng cách thức lựa chọn chuyên gia tư vấn thù lao là đủ ngoại vi so với các mối quan tâm chính của các vụ án này để không cấu thành một "dealbreaker" (điểm phá vỡ thỏa thuận), đặc biệt là dưới ánh sáng của yêu cầu về một cuộc bỏ phiếu không ràng buộc của cổ đông về thù lao trong ba năm tới.</w:t>
      </w:r>
    </w:p>
    <w:p>
      <w:pPr>
        <w:spacing w:after="80"/>
      </w:pPr>
      <w:r>
        <w:rPr>
          <w:b w:val="0"/>
          <w:i w:val="0"/>
        </w:rPr>
        <w:t>Tuy nhiên, phần khó khăn nhất của thỏa thuận đề xuất là gói hình phạt, về cơ bản bao gồm khoản tiền phạt 150 triệu đô la. Mặc dù số tiền đó lớn hơn đáng kể so với 33 triệu đô la mà Tòa án đã bác bỏ trong thỏa thuận đề xuất trước đó của vụ Undisclosed Bonuses, nó vẫn rất khiêm tốn vì thực tế là giờ đây nó bao gồm cả hai vụ án—nghĩa là tất cả các thông tin không được tiết lộ có tính trọng yếu đối với đề xuất sáp nhập với Merrill, một cuộc sáp nhập có thể vẫn diễn ra tốt đẹp nhưng có thể đã là một thảm họa hủy diệt Ngân hàng nếu người nộp thuế Hoa Kỳ không cứu nguy. Từ góc độ này, số tiền phạt có vẻ nhỏ bé.</w:t>
      </w:r>
    </w:p>
    <w:p>
      <w:pPr>
        <w:spacing w:after="80"/>
      </w:pPr>
      <w:r>
        <w:rPr>
          <w:b w:val="0"/>
          <w:i w:val="0"/>
        </w:rPr>
        <w:t xml:space="preserve">Tuy nhiên, một vấn đề thậm chí còn cơ bản hơn là việc một khoản tiền phạt đánh vào Ngân hàng, tự nó, trừng phạt các cổ đông vì những gì thực chất, nếu không phải về ý định, là một hành vi gian lận của ban điều hành đối với các cổ đông. Đây là một trong những lý do chính khiến Tòa án bác bỏ thỏa thuận đề xuất trước đó. </w:t>
      </w:r>
      <w:r>
        <w:rPr>
          <w:b w:val="0"/>
          <w:i/>
        </w:rPr>
        <w:t>Xem</w:t>
      </w:r>
      <w:r>
        <w:rPr>
          <w:b w:val="0"/>
          <w:i w:val="0"/>
        </w:rPr>
        <w:t xml:space="preserve"> S.E.C. v. Bank of America Corp., 653 F. Supp.2d at 509. Khi ban điều hành lừa dối chính các cổ đông của mình, một khoản tiền phạt phục vụ mục đích răn đe trực tiếp nhất nếu nó được đánh vào những người chịu trách nhiệm cho sự lừa dối đó. Nếu những người như vậy hành động do sơ suất, chứ không phải do ác ý, đó nên là một yếu tố giảm nhẹ, nhưng không phải là lý do để các cổ đông nạn nhân phải trả tiền phạt thay.</w:t>
      </w:r>
    </w:p>
    <w:p>
      <w:pPr>
        <w:spacing w:after="80"/>
      </w:pPr>
      <w:r>
        <w:rPr>
          <w:b w:val="0"/>
          <w:i w:val="0"/>
        </w:rPr>
        <w:t>Mặc dù đơn khiếu nại đang chờ xử lý của Tổng chưởng lý New York chống lại hai quan chức hàng đầu của Ngân hàng được cho là chịu trách nhiệm cho các hành vi lừa dối có thể, nếu được chứng minh tại tòa, phần nào phục vụ mục đích răn đe này, nó không thuộc phần thỏa thuận đang chờ Tòa án này phê duyệt và có thể có những điểm yếu về chứng cứ riêng. Tuy nhiên, các bên trong các vụ án hiện tại cố gắng giảm bớt lo ngại của Tòa án bằng cách đề xuất rằng, theo các quy định "Fair Fund" của Đạo luật Sarbanes-Oxley, 150 triệu đô la chỉ được phân phối cho các cổ đông Ngân hàng bị tổn hại bởi việc không tiết lộ thông tin của Ngân hàng (cổ đông "kế thừa" của Ngân hàng) và không cho các cổ đông cũ của Merrill, những người hiện sở hữu cổ phiếu Ngân hàng (cổ đông "kế thừa" của Merrill), cũng như không cho các quan chức hoặc giám đốc Ngân hàng, những người đã có quyền truy cập vào thông tin không được tiết lộ. Mặc dù đề xuất này không được đưa cụ thể vào Phán quyết Đồng thuận Đề xuất trình lên Tòa án, các bên sau đó đã đồng ý với đề xuất của Tòa án rằng nó được đưa vào, và do đó bất kỳ Phán quyết Đồng thuận Đề xuất sửa đổi nào được trình lên Tòa án đều phải bao gồm các điều khoản như vậy.</w:t>
      </w:r>
    </w:p>
    <w:p>
      <w:pPr>
        <w:spacing w:after="80"/>
      </w:pPr>
      <w:r>
        <w:rPr>
          <w:b w:val="0"/>
          <w:i w:val="0"/>
        </w:rPr>
        <w:t>Điều mà đề xuất này thực hiện, trên thực tế, là chuyển 150 triệu đô la từ tất cả các cổ đông sang những cổ đông Ngân hàng hiện tại, những người bị tổn hại bởi việc không tiết lộ thông tin. Vì S.E.C. trong lá thư ngày 16 tháng 2 năm 2010 ước tính rằng nhóm sau chiếm khoảng 50 phần trăm tổng số cổ đông Ngân hàng hiện tại, hiệu quả là chuyển 75 triệu đô la từ cổ đông "kế thừa" của Merrill sang cổ đông "kế thừa" của Ngân hàng.</w:t>
      </w:r>
    </w:p>
    <w:p>
      <w:pPr>
        <w:spacing w:after="80"/>
      </w:pPr>
      <w:r>
        <w:rPr>
          <w:b w:val="0"/>
          <w:i w:val="0"/>
        </w:rPr>
        <w:t>Nói cách khác, nó phục vụ việc đàm phán lại mức giá mà các cổ đông Ngân hàng lẽ ra phải trả cho các cổ đông Merrill để mua cổ phần Merrill nếu các thông tin đã được tiết lộ.</w:t>
      </w:r>
    </w:p>
    <w:p>
      <w:pPr>
        <w:spacing w:after="80"/>
      </w:pPr>
      <w:r>
        <w:rPr>
          <w:b w:val="0"/>
          <w:i w:val="0"/>
        </w:rPr>
        <w:t>Nhưng hiệu quả rất khiêm tốn, có lẽ chỉ không quá vài xu mỗi cổ phần. Hơn nữa, mặc dù các cổ đông "kế thừa" của Merrill có thể đã nhận được chút lợi bất ngờ nhờ việc không tiết lộ thông tin, họ không chịu trách nhiệm cho những việc không tiết lộ đó. Thay vào đó, trách nhiệm thuộc về các giám đốc điều hành của Ngân hàng, những người, mặc dù bị cấm nhận bất kỳ phần nào của khoản tiền phạt 150 triệu đô la, không đóng góp vào việc thanh toán nó một cách đáng kể nào.</w:t>
      </w:r>
    </w:p>
    <w:p>
      <w:pPr>
        <w:spacing w:after="80"/>
      </w:pPr>
      <w:r>
        <w:rPr>
          <w:b w:val="0"/>
          <w:i w:val="0"/>
        </w:rPr>
        <w:t>Tóm lại, thỏa thuận đề xuất, dù được cải thiện đáng kể so với đề xuất trống rỗng đưa ra hồi tháng 8 năm ngoái liên quan đến vụ Undisclosed Bonuses, vẫn còn xa lý tưởng. Ưu điểm lớn nhất của nó là nó dựa trên một tuyên bố được phát triển tốt hơn nhiều về các sự kiện cơ bản và các suy luận rút ra từ đó, những điều mà, dù bị Tổng chưởng lý tranh cãi ở một diễn đàn khác, đã được Tòa án ở đây xem xét kỹ lưỡng và thấy không phải là phi lý. Khuyết điểm lớn nhất của nó là nó ủng hộ các biện pháp trừng phạt, bồi thường và khắc phục rất khiêm tốn, những biện pháp không nhắm vào các cá nhân cụ thể chịu trách nhiệm cho việc không tiết lộ thông tin cũng như không có vẻ sẽ có tác động nhiều hơn mức rất khiêm tốn đối với các thông lệ doanh nghiệp hoặc việc bồi thường nạn nhân. Dù tốt hơn không có gì, đây cùng lắm chỉ là công lý nửa vời.</w:t>
      </w:r>
    </w:p>
    <w:p>
      <w:pPr>
        <w:spacing w:after="80"/>
      </w:pPr>
      <w:r>
        <w:rPr>
          <w:b w:val="0"/>
          <w:i w:val="0"/>
        </w:rPr>
        <w:t>Vậy Tòa án có nên phê duyệt thỏa thuận đề xuất là công bằng, hợp lý, thỏa đáng và vì lợi ích công cộng không? Nếu Tòa án quyết định câu hỏi đó chỉ dựa trên giá trị pháp lý—</w:t>
      </w:r>
      <w:r>
        <w:rPr>
          <w:b w:val="0"/>
          <w:i/>
        </w:rPr>
        <w:t>de novo</w:t>
      </w:r>
      <w:r>
        <w:rPr>
          <w:b w:val="0"/>
          <w:i w:val="0"/>
        </w:rPr>
        <w:t>, như các luật sư nói—Tòa án sẽ bác bỏ thỏa thuận vì không thỏa đáng và sai lầm. Nhưng như cả hai bên không ngần ngại nhắc nhở Tòa án, luật pháp yêu cầu Tòa án phải dành sự tôn trọng đáng kể cho S.E.C. với tư cách là cơ quan quản lý có trách nhiệm chính trong việc giám sát thị trường chứng khoán, đặc biệt là đối với các vấn đề minh bạch. Mặc dù sự tôn trọng như vậy không bao giờ có thể tuyệt đối—vì Phán quyết cuối cùng được đưa ra là của Tòa án và được Tòa án thực thi bằng quyền lực khinh thường—Tòa án sẽ thất bại trong nhiệm vụ của mình nếu không dành trọng lượng đáng kể cho lập trường của S.E.C.</w:t>
      </w:r>
    </w:p>
    <w:p>
      <w:pPr>
        <w:spacing w:after="80"/>
      </w:pPr>
      <w:r>
        <w:rPr>
          <w:b w:val="0"/>
          <w:i w:val="0"/>
        </w:rPr>
        <w:t>Tuy nhiên, theo quan điểm của Tòa án này, những cân nhắc về sự kiềm chế tư pháp còn nặng ký hơn. Tòa án này, có thể rõ ràng, không từ bỏ vai trò tìm hiểu sâu xa bất kỳ đề xuất nào được trình lên để phê duyệt. Nhưng quyền lực đáng kể được trao cho các thẩm phán liên bang để đảm bảo tuân thủ pháp luật không bao giờ nên bị nhầm lẫn với bất kỳ quyền lực nào để áp đặt sở thích của riêng họ. Chúng ta có thể phản đối khi một ngân hàng cố gắng trốn tránh hệ quả của việc che giấu thông tin trọng yếu khỏi các cổ đông của mình, và chúng ta có thể phản đối khi cơ quan quản lý chịu trách nhiệm răn đe hành vi sai trái như vậy có vẻ bằng lòng với các biện pháp trừng phạt khiêm tốn và sai hướng; nhưng, theo lời của một cựu Thẩm phán vĩ đại của Tòa án Tối cao, Harlan Fiske Stone, "kiểm soát duy nhất đối với việc chúng ta thực thi quyền lực của chính mình là ý thức tự kiềm chế của chính chúng ta." United States v. Butler, 297 U.S. 1, 79, 56 S. Ct. 312, 80 L. Ed. 477, 1936-1 C.B. 421 (1936). Trong việc thực thi sự tự kiềm chế đó, Tòa án này, dù lắc đầu, chấp thuận đơn yêu cầu của S.E.C. và phê duyệt Phán quyết Đồng thuận Đề xuất với điều kiện là, chậm nhất vào Thứ Năm, ngày 25 tháng 2 năm 2010, các bên trình lên Tòa án một Phán quyết Đồng thuận Đề xuất bao gồm các điều khoản sửa đổi mà họ đã đồng ý, như được nêu ở trên.</w:t>
      </w:r>
    </w:p>
    <w:p>
      <w:pPr>
        <w:pStyle w:val="Heading5"/>
      </w:pPr>
      <w:r>
        <w:rPr>
          <w:rFonts w:ascii="Calibri" w:hAnsi="Calibri"/>
          <w:b/>
          <w:i/>
          <w:sz w:val="22"/>
        </w:rPr>
        <w:t>Bình luận và Câu hỏi</w:t>
      </w:r>
    </w:p>
    <w:p>
      <w:pPr>
        <w:spacing w:after="80"/>
      </w:pPr>
      <w:r>
        <w:rPr>
          <w:b w:val="0"/>
          <w:i w:val="0"/>
        </w:rPr>
        <w:t>1. Vụ án này phát sinh khi các bên tiếp cận Thẩm phán Rakoff với một thỏa thuận của một vụ án chỉ liên quan đến các cáo buộc không tiết lộ thông tin về tiền thưởng (và không phải các khoản lỗ lớn mà Merrill Lynch gánh chịu) và một hình phạt nhỏ hơn nhiều áp đặt lên Bank of America. Thẩm phán Rakoff, trong một động thái bất thường, đã bác bỏ thỏa thuận. Vụ án này liên quan đến thỏa thuận thứ hai đạt được trong vụ án.</w:t>
      </w:r>
    </w:p>
    <w:p>
      <w:pPr>
        <w:spacing w:after="80"/>
      </w:pPr>
      <w:r>
        <w:rPr>
          <w:b w:val="0"/>
          <w:i w:val="0"/>
        </w:rPr>
        <w:t>2. Vụ án do SEC đưa ra liên quan đến các cáo buộc rằng Bank of America không tiết lộ đầy đủ về tiền thưởng sẽ được trả cho nhân viên Merrill Lynch. Như một phần của thỏa thuận, Bank of America đồng ý thuê một chuyên gia tư vấn thù lao bên ngoài hoặc độc lập. Tuy nhiên, khi tòa án gợi ý rằng chuyên gia tư vấn nên được lựa chọn tập thể bởi tòa án, SEC và ủy ban thù lao của hội đồng quản trị, Ngân hàng phản đối. Vì chuyên gia tư vấn phải độc lập, tại sao Ngân hàng lại phản đối việc chia sẻ quyền bổ nhiệm? Bạn có nghĩ Ngân hàng lo lắng hơn về tòa án hay SEC?</w:t>
      </w:r>
    </w:p>
    <w:p>
      <w:pPr>
        <w:spacing w:after="80"/>
      </w:pPr>
      <w:r>
        <w:rPr>
          <w:b w:val="0"/>
          <w:i w:val="0"/>
        </w:rPr>
        <w:t>3. Cuối cùng, tòa án đã chọn không yêu cầu quyền hạn chia sẻ này, kết luận rằng cách thức lựa chọn không phải là một "dealbreaker". Bạn nghĩ gì về cách tiếp cận của tòa án? Lẽ ra nó có nên yêu cầu, ví dụ, sự đồng ý của SEC đối với việc bổ nhiệm chuyên gia tư vấn thù lao không?</w:t>
      </w:r>
    </w:p>
    <w:p>
      <w:pPr>
        <w:spacing w:after="80"/>
      </w:pPr>
      <w:r>
        <w:rPr>
          <w:b w:val="0"/>
          <w:i w:val="0"/>
        </w:rPr>
        <w:t xml:space="preserve">4. Đây không phải là trường hợp duy nhất mà việc sử dụng các chuyên gia tư vấn thù lao độc lập được Ủy ban xem xét. </w:t>
      </w:r>
      <w:r>
        <w:rPr>
          <w:b w:val="0"/>
          <w:i/>
        </w:rPr>
        <w:t>Xem In re infoUSA Inc.</w:t>
      </w:r>
      <w:r>
        <w:rPr>
          <w:b w:val="0"/>
          <w:i w:val="0"/>
        </w:rPr>
        <w:t>, Exchange Act Release No. 61708 (thủ tục hành chính ngày 15 tháng 3 năm 2010) (xem xét các nỗ lực khắc phục của công ty bao gồm "thuê một chuyên gia tư vấn thù lao độc lập để tư vấn về các vấn đề thù lao"). Tại sao Ủy ban quan tâm đến vấn đề này? Ủy ban có nên tham gia sâu đến vậy vào quản trị doanh nghiệp của các hội đồng quản trị công ty đại chúng không?</w:t>
      </w:r>
    </w:p>
    <w:p>
      <w:pPr>
        <w:spacing w:after="80"/>
      </w:pPr>
      <w:r>
        <w:rPr>
          <w:b w:val="0"/>
          <w:i w:val="0"/>
        </w:rPr>
        <w:t>5. Tòa án chỉ ra rằng việc không tiết lộ 5,8 tỷ đô la tiền thưởng là trọng yếu đối với các cổ đông và có thể đã khiến họ bỏ phiếu chống lại việc sáp nhập. Bất chấp số tiền đáng kể, liệu điều này có nhất thiết đúng không?</w:t>
      </w:r>
    </w:p>
    <w:p>
      <w:pPr>
        <w:spacing w:after="80"/>
      </w:pPr>
      <w:r>
        <w:rPr>
          <w:b w:val="0"/>
          <w:i w:val="0"/>
        </w:rPr>
        <w:t xml:space="preserve">6. Trong Đạo luật Dodd-Frank, Quốc hội quy định rằng các ủy ban thù lao của các công ty niêm yết phải có thẩm quyền tự chọn cố vấn riêng cho mình. Ủy ban Chứng khoán được trao quyền xác định các “yếu tố” mà ủy ban phải cân nhắc khi đưa ra quyết định. </w:t>
      </w:r>
      <w:r>
        <w:rPr>
          <w:b w:val="0"/>
          <w:i/>
        </w:rPr>
        <w:t>Xem</w:t>
      </w:r>
      <w:r>
        <w:rPr>
          <w:b w:val="0"/>
          <w:i w:val="0"/>
        </w:rPr>
        <w:t xml:space="preserve"> Mục 10C, 15 USC § 78j-3. Các yếu tố này chủ yếu bao gồm những yếu tố giúp nhận diện xung đột lợi ích tiềm ẩn. Mối lo ngại khả dĩ mà Quốc hội đang nhắm tới khi thông qua yêu cầu này là gì?</w:t>
      </w:r>
    </w:p>
    <w:p>
      <w:pPr>
        <w:spacing w:after="80"/>
      </w:pPr>
      <w:r>
        <w:rPr>
          <w:b w:val="0"/>
          <w:i w:val="0"/>
        </w:rPr>
        <w:t>7. Khi làm rõ rằng trách nhiệm bổ nhiệm và trả thù lao cho cố vấn thù lao thuộc về ủy ban thù lao, liệu điều này có làm giảm ảnh hưởng của CEO trong quá trình lựa chọn không?</w:t>
      </w:r>
    </w:p>
    <w:p>
      <w:pPr>
        <w:spacing w:after="80"/>
      </w:pPr>
      <w:r>
        <w:rPr>
          <w:b w:val="0"/>
          <w:i w:val="0"/>
        </w:rPr>
        <w:t>8. Yêu cầu trong Đạo luật Dodd-Frank cũng bổ sung một yếu tố công bố thông tin. Các công ty phải công bố bất kỳ xung đột tiềm ẩn nào liên quan đến ủy ban thù lao đã được nêu ra và “xung đột đó [đã được] giải quyết như thế nào”. Mục đích của yêu cầu này là gì? Nó sẽ tác động thế nào đến quá trình ra quyết định của ủy ban?</w:t>
      </w:r>
    </w:p>
    <w:p>
      <w:pPr>
        <w:pStyle w:val="Heading2"/>
      </w:pPr>
      <w:r>
        <w:rPr>
          <w:rFonts w:ascii="Calibri" w:hAnsi="Calibri"/>
          <w:b/>
          <w:i w:val="0"/>
          <w:sz w:val="32"/>
        </w:rPr>
        <w:t>IV. “Say on Pay” và việc củng cố vai trò của cổ đông trong quy trình thù lao</w:t>
      </w:r>
    </w:p>
    <w:p>
      <w:pPr>
        <w:spacing w:after="80"/>
      </w:pPr>
      <w:r>
        <w:rPr>
          <w:b w:val="0"/>
          <w:i w:val="0"/>
        </w:rPr>
        <w:t>Cổ đông ngày càng đấu tranh đòi quyền có một cuộc bỏ phiếu tư vấn về thù lao lãnh đạo, một thông lệ được gọi là “say on pay”. Các quốc gia khác như Anh từ lâu đã trao quyền này cho cổ đông.</w:t>
      </w:r>
    </w:p>
    <w:p>
      <w:pPr>
        <w:spacing w:after="80"/>
      </w:pPr>
      <w:r>
        <w:rPr>
          <w:b w:val="0"/>
          <w:i w:val="0"/>
        </w:rPr>
        <w:t xml:space="preserve">Một số công ty tự nguyện cho cổ đông bỏ phiếu về thù lao, với Aflac là công ty đầu tiên. Những công ty khác thì bị buộc phải làm vậy. Ủy ban Chứng khoán đã sửa đổi các quy định về proxy (giấy ủy quyền biểu quyết) để yêu cầu bỏ phiếu “say on pay” hằng năm đối với các công ty nhận tiền từ chính phủ trong cuộc khủng hoảng tài chính 2008–2009. </w:t>
      </w:r>
      <w:r>
        <w:rPr>
          <w:b w:val="0"/>
          <w:i/>
        </w:rPr>
        <w:t>Xem</w:t>
      </w:r>
      <w:r>
        <w:rPr>
          <w:b w:val="0"/>
          <w:i w:val="0"/>
        </w:rPr>
        <w:t xml:space="preserve"> Rule 14a-20, 17 C.F.R. § 240.14a-20.</w:t>
      </w:r>
    </w:p>
    <w:p>
      <w:pPr>
        <w:spacing w:after="80"/>
      </w:pPr>
      <w:r>
        <w:rPr>
          <w:b w:val="0"/>
          <w:i w:val="0"/>
        </w:rPr>
        <w:t xml:space="preserve">Tuy nhiên, bước phát triển quan trọng nhất lại diễn ra vào năm 2010 với việc thông qua Đạo luật Cải cách Phố Wall Dodd-Frank. Quốc hội đã biến “say on pay” thành bắt buộc đối với tất cả công ty đại chúng. </w:t>
      </w:r>
      <w:r>
        <w:rPr>
          <w:b w:val="0"/>
          <w:i/>
        </w:rPr>
        <w:t>Xem</w:t>
      </w:r>
      <w:r>
        <w:rPr>
          <w:b w:val="0"/>
          <w:i w:val="0"/>
        </w:rPr>
        <w:t xml:space="preserve"> Mục 951 (bổ sung Mục 14A của Đạo luật Giao dịch Chứng khoán, 15 U.S.C. § 78n-1). SEC nhận được thẩm quyền quản lý để thực thi yêu cầu này. Quy định này phản ánh một lần mở rộng nữa vai trò của SEC trong quy trình quản trị công ty. Hơn nữa, Quốc hội không yêu cầu SEC phải dùng các sở giao dịch chứng khoán làm trung gian để thực thi yêu cầu. Thay vào đó, vai trò của SEC là trực tiếp và áp dụng cho tất cả công ty đại chúng, không chỉ những công ty niêm yết trên sở giao dịch.</w:t>
      </w:r>
    </w:p>
    <w:p>
      <w:pPr>
        <w:pStyle w:val="Heading4"/>
      </w:pPr>
      <w:r>
        <w:rPr>
          <w:rFonts w:ascii="Calibri" w:hAnsi="Calibri"/>
          <w:b/>
          <w:i w:val="0"/>
          <w:sz w:val="23"/>
        </w:rPr>
        <w:t>Cổ đông phê duyệt thù lao lãnh đạo và</w:t>
      </w:r>
      <w:r>
        <w:br/>
      </w:r>
      <w:r>
        <w:rPr>
          <w:rFonts w:ascii="Calibri" w:hAnsi="Calibri"/>
          <w:b/>
          <w:i w:val="0"/>
          <w:sz w:val="23"/>
        </w:rPr>
        <w:t xml:space="preserve"> thù lao “dù vàng”</w:t>
      </w:r>
    </w:p>
    <w:p>
      <w:pPr>
        <w:spacing w:after="80"/>
      </w:pPr>
      <w:r>
        <w:rPr>
          <w:b w:val="0"/>
          <w:i w:val="0"/>
        </w:rPr>
        <w:t>Exchange Act Release No. 63768 (25 tháng 1, 2011)</w:t>
      </w:r>
    </w:p>
    <w:p>
      <w:pPr>
        <w:spacing w:after="80"/>
      </w:pPr>
      <w:r>
        <w:rPr>
          <w:b w:val="0"/>
          <w:i w:val="0"/>
        </w:rPr>
        <w:t>Đạo luật [Cải cách Phố Wall Dodd-Frank] sửa đổi Đạo luật Giao dịch Chứng khoán bằng cách bổ sung Mục 14A mới. Mục 14A(a)(1) mới yêu cầu rằng “[k]hông ít thường xuyên hơn một lần mỗi 3 năm, một giấy ủy quyền hoặc chấp thuận hoặc ủy quyền cho cuộc họp thường niên hoặc cuộc họp cổ đông khác mà các quy định về thu thập giấy ủy quyền của Ủy ban yêu cầu công bố thù lao phải bao gồm một nghị quyết riêng để cổ đông bỏ phiếu phê duyệt thù lao của lãnh đạo,” như được công bố theo Item 402 của Regulation S-K, hoặc bất kỳ văn bản kế nhiệm nào của Item 402 (một “cuộc bỏ phiếu say-on-pay”). Cuộc bỏ phiếu của cổ đông để phê duyệt thù lao lãnh đạo theo yêu cầu của Mục 14A(a)(1) “sẽ không ràng buộc đối với tổ chức phát hành hoặc hội đồng quản trị của tổ chức phát hành.”</w:t>
      </w:r>
    </w:p>
    <w:p>
      <w:pPr>
        <w:spacing w:after="80"/>
      </w:pPr>
      <w:r>
        <w:rPr>
          <w:b w:val="0"/>
          <w:i w:val="0"/>
        </w:rPr>
        <w:t>Mục 951 của Đạo luật cũng bổ sung Mục 14A(a)(2) mới vào Đạo luật Giao dịch Chứng khoán, yêu cầu rằng “[k]hông ít thường xuyên hơn một lần mỗi 6 năm, một giấy ủy quyền hoặc chấp thuận hoặc ủy quyền cho cuộc họp thường niên hoặc cuộc họp cổ đông khác mà các quy định về thu thập giấy ủy quyền của Ủy ban yêu cầu công bố thù lao phải bao gồm một nghị quyết riêng để cổ đông bỏ phiếu xác định xem [cuộc bỏ phiếu say-on-pay] sẽ diễn ra mỗi 1, 2 hay 3 năm.” Như sẽ bàn ở dưới, cuộc bỏ phiếu của cổ đông này “sẽ không ràng buộc đối với tổ chức phát hành hoặc hội đồng quản trị của tổ chức phát hành.”</w:t>
      </w:r>
    </w:p>
    <w:p>
      <w:pPr>
        <w:spacing w:after="80"/>
      </w:pPr>
      <w:r>
        <w:rPr>
          <w:b w:val="0"/>
          <w:i w:val="0"/>
        </w:rPr>
        <w:t>Ngoài ra, Mục 951 của Đạo luật sửa đổi Đạo luật Giao dịch Chứng khoán bằng cách bổ sung Mục 14A(b)(1) mới, yêu cầu rằng, trong bất kỳ tài liệu ủy quyền hoặc xin chấp thuận nào cho cuộc họp cổ đông “mà tại đó cổ đông được yêu cầu phê duyệt việc mua lại, sáp nhập, hợp nhất, hoặc đề xuất bán hoặc định đoạt khác toàn bộ hoặc phần lớn tài sản của tổ chức phát hành, người thực hiện việc xin ủy quyền đó phải công bố trong tài liệu ủy quyền hoặc xin chấp thuận, dưới hình thức rõ ràng và đơn giản theo các quy định do Ủy ban ban hành, mọi thỏa thuận hoặc hiểu biết mà người đó có với bất kỳ viên chức điều hành được nêu tên nào của tổ chức phát hành đó (hoặc của tổ chức phát hành mua lại, nếu tổ chức phát hành đó không phải là bên mua lại) liên quan đến bất kỳ loại thù lao nào (dù hiện tại, hoãn lại hay tùy thuộc) dựa trên hoặc có liên quan đến việc mua lại, sáp nhập, hợp nhất, bán hoặc định đoạt khác toàn bộ hoặc phần lớn tài sản của tổ chức phát hành[ . . . ].” Những thỏa thuận thù lao này thường được gọi là thù lao “dù vàng” (golden parachute). Việc công bố như vậy phải bao gồm tổng cộng gộp tất cả khoản thù lao đó có thể được trả hoặc trở nên phải trả cho hoặc thay mặt cho viên chức điều hành được nêu tên đó, và các điều kiện để khoản đó có thể được trả hoặc trở nên phải trả. Theo Mục 14A(b)(2), “trừ khi các thỏa thuận hoặc hiểu biết đó đã từng chịu [cuộc bỏ phiếu định kỳ của cổ đông được mô tả trong Mục 14A(a)(1)],” thì cũng cần một cuộc bỏ phiếu riêng của cổ đông để phê duyệt các thỏa thuận hoặc hiểu biết đó và khoản thù lao như đã công bố. Giống như cuộc bỏ phiếu say-on-pay và cuộc bỏ phiếu của cổ đông về tần suất các cuộc bỏ phiếu đó, cuộc bỏ phiếu của cổ đông này “sẽ không ràng buộc đối với tổ chức phát hành hoặc hội đồng quản trị của tổ chức phát hành.”</w:t>
      </w:r>
    </w:p>
    <w:p>
      <w:pPr>
        <w:spacing w:after="80"/>
      </w:pPr>
      <w:r>
        <w:rPr>
          <w:b w:val="0"/>
          <w:i w:val="0"/>
        </w:rPr>
        <w:t>Ngoài tính chất không ràng buộc, không cuộc bỏ phiếu nào của cổ đông theo yêu cầu của Mục 14A được hiểu là “phủ quyết một quyết định của tổ chức phát hành hoặc hội đồng quản trị đó.” Những cuộc bỏ phiếu của cổ đông này cũng không “tạo ra hoặc ngụ ý bất kỳ thay đổi nào đối với nghĩa vụ ủy thác của tổ chức phát hành hoặc hội đồng quản trị đó” và cũng không “tạo ra hoặc ngụ ý bất kỳ nghĩa vụ ủy thác bổ sung nào cho tổ chức phát hành hoặc hội đồng quản trị đó.” Hơn nữa, những cuộc bỏ phiếu này sẽ không được hiểu là “hạn chế hoặc giới hạn khả năng của cổ đông trong việc đưa ra đề xuất để đưa vào tài liệu ủy quyền liên quan đến thù lao lãnh đạo.” Mục 14A cũng quy định rằng “Ủy ban có thể, bằng quy định hoặc lệnh, miễn trừ một tổ chức phát hành hoặc một nhóm tổ chức phát hành” khỏi các cuộc bỏ phiếu tư vấn của cổ đông theo yêu cầu của Mục 14A. Khi xác định có nên miễn trừ hay không, Ủy ban được chỉ dẫn phải cân nhắc, cùng với những yếu tố khác, liệu các yêu cầu của Mục 14A(a) và (b) có gây gánh nặng quá mức cho các tổ chức phát hành nhỏ hay không.</w:t>
      </w:r>
    </w:p>
    <w:p>
      <w:pPr>
        <w:spacing w:after="80"/>
      </w:pPr>
      <w:r>
        <w:rPr>
          <w:b w:val="0"/>
          <w:i w:val="0"/>
        </w:rPr>
        <w:t>Mục 14A(b)(2) nhìn chung yêu cầu một cuộc bỏ phiếu tư vấn riêng của cổ đông về các thỏa thuận thù lao “dù vàng” phải được công bố theo Mục 14A(b)(1) liên quan đến các thương vụ sáp nhập và giao dịch tương tự.</w:t>
      </w:r>
    </w:p>
    <w:p>
      <w:pPr>
        <w:pStyle w:val="Heading5"/>
      </w:pPr>
      <w:r>
        <w:rPr>
          <w:rFonts w:ascii="Calibri" w:hAnsi="Calibri"/>
          <w:b/>
          <w:i/>
          <w:sz w:val="22"/>
        </w:rPr>
        <w:t>Bình luận và Câu hỏi</w:t>
      </w:r>
    </w:p>
    <w:p>
      <w:pPr>
        <w:spacing w:after="80"/>
      </w:pPr>
      <w:r>
        <w:rPr>
          <w:b w:val="0"/>
          <w:i w:val="0"/>
        </w:rPr>
        <w:t>1. Một cuộc bỏ phiếu tư vấn có thể ảnh hưởng thế nào đến thù lao lãnh đạo? Dù chỉ là bỏ phiếu tư vấn, trên thực tế hội đồng quản trị có bao nhiêu dư địa để phớt lờ cổ đông khi họ bỏ phiếu bác bỏ một gói thù lao?</w:t>
      </w:r>
    </w:p>
    <w:p>
      <w:pPr>
        <w:spacing w:after="80"/>
      </w:pPr>
      <w:r>
        <w:rPr>
          <w:b w:val="0"/>
          <w:i w:val="0"/>
        </w:rPr>
        <w:t xml:space="preserve">2. Đây có phải là một chủ đề thích hợp cho các cổ đông không? Một số người đã chỉ trích yêu cầu này, cho rằng “các cổ đông thường đưa ra những quyết định trung thực nhưng kém cỏi liên quan đến các vấn đề thù lao.” Andrew C.W. Lund, </w:t>
      </w:r>
      <w:r>
        <w:rPr>
          <w:b w:val="0"/>
          <w:i/>
        </w:rPr>
        <w:t>Say on Pay's Bundling Problems</w:t>
      </w:r>
      <w:r>
        <w:rPr>
          <w:b w:val="0"/>
          <w:i w:val="0"/>
        </w:rPr>
        <w:t xml:space="preserve"> , 99 Ky. L.J. 119, 129 (2010–2011) (mô tả những chỉ trích). Giáo sư Lund cũng lưu ý rằng “say on pay” có thể “có xu hướng đồng nhất hóa các thực hành thù lao trên khắp các công ty đại chúng.” </w:t>
      </w:r>
      <w:r>
        <w:rPr>
          <w:b w:val="0"/>
          <w:i/>
        </w:rPr>
        <w:t>Id.</w:t>
      </w:r>
      <w:r>
        <w:rPr>
          <w:b w:val="0"/>
          <w:i w:val="0"/>
        </w:rPr>
        <w:t xml:space="preserve"> at 131. Tại sao lại như vậy? Hậu quả của một kết cục như thế sẽ là gì?</w:t>
      </w:r>
    </w:p>
    <w:p>
      <w:pPr>
        <w:spacing w:after="80"/>
      </w:pPr>
      <w:r>
        <w:rPr>
          <w:b w:val="0"/>
          <w:i w:val="0"/>
        </w:rPr>
        <w:t>3. Ủy ban đã hệ thống hóa các yêu cầu “say on pay” trong Rule 14a-21. 17 CFR 240.14a-21. Quy tắc này đã được Ủy ban thông qua với tỷ lệ bỏ phiếu 3–2. Trong số những điều khác, các ủy viên phản đối đã phản đối việc không đưa vào một ngoại lệ miễn trừ yêu cầu này cho các công ty mới đại chúng hóa. Lợi ích của một ngoại lệ như vậy là gì? Có nên đưa nó vào quy tắc không?</w:t>
      </w:r>
    </w:p>
    <w:p>
      <w:pPr>
        <w:spacing w:after="80"/>
      </w:pPr>
      <w:r>
        <w:rPr>
          <w:b w:val="0"/>
          <w:i w:val="0"/>
        </w:rPr>
        <w:t>4. Khi thông qua quy tắc, Ủy ban đã cung cấp một ngoại lệ hai năm miễn trừ các cuộc bỏ phiếu “say on pay” (nhưng không miễn trừ các cuộc bỏ phiếu tư vấn về golden parachute) cho các công ty có vốn hóa thị trường dưới 75 triệu đô la. Ủy ban đã quyết định cung cấp cho các công ty báo cáo nhỏ hơn “thêm thời gian” để triển khai yêu cầu này. Tuy nhiên, Ủy ban đã ám chỉ rằng ngoại lệ này có thể được gia hạn. Như Release đã lưu ý: “Chúng tôi cũng tin rằng việc trì hoãn triển khai cho các công ty này sẽ cho phép chúng tôi đánh giá việc triển khai các quy tắc đã được thông qua bởi các công ty lớn hơn và mang lại cho chúng tôi cơ hội bổ sung để xem xét liệu các điều chỉnh đối với quy tắc có phù hợp cho các công ty báo cáo nhỏ hơn trước khi quy tắc áp dụng cho họ hay không.” Bạn nghĩ gì về ngoại lệ này? Các công ty nhỏ hơn có thể tận dụng thời gian thêm này như thế nào?</w:t>
      </w:r>
    </w:p>
    <w:p>
      <w:pPr>
        <w:spacing w:after="80"/>
      </w:pPr>
      <w:r>
        <w:rPr>
          <w:b w:val="0"/>
          <w:i w:val="0"/>
        </w:rPr>
        <w:t>5. Section 14A cũng yêu cầu phê duyệt các golden parachute cùng lúc cổ đông được yêu cầu phê duyệt một vụ sáp nhập. Lợi ích của yêu cầu này là gì?</w:t>
      </w:r>
    </w:p>
    <w:p>
      <w:pPr>
        <w:spacing w:after="80"/>
      </w:pPr>
      <w:r>
        <w:rPr>
          <w:b w:val="0"/>
          <w:i w:val="0"/>
        </w:rPr>
        <w:t xml:space="preserve">6. Những cán bộ nào hiện đang thuộc phạm vi điều chỉnh của Item 402 và do đó có khả năng nằm trong yêu cầu “say on pay”? </w:t>
      </w:r>
      <w:r>
        <w:rPr>
          <w:b w:val="0"/>
          <w:i/>
        </w:rPr>
        <w:t>See</w:t>
      </w:r>
      <w:r>
        <w:rPr>
          <w:b w:val="0"/>
          <w:i w:val="0"/>
        </w:rPr>
        <w:t xml:space="preserve"> Item 402(a) (3), 17 C.F.R. 229.402(a) (3). SEC có thể mở rộng các yêu cầu của Item 402 để bao gồm tất cả các cán bộ điều hành và yêu cầu cổ đông phê duyệt các gói thù lao đó không? Thẩm quyền này có liên quan đến một sự thay đổi đáng kể trong vai trò của Ủy ban trong quá trình quản trị công ty không?</w:t>
      </w:r>
    </w:p>
    <w:p>
      <w:pPr>
        <w:spacing w:after="80"/>
      </w:pPr>
      <w:r>
        <w:rPr>
          <w:b w:val="0"/>
          <w:i w:val="0"/>
        </w:rPr>
        <w:t>7. Section 14A quy định rằng điều khoản này sẽ không “hạn chế hoặc giới hạn khả năng của cổ đông trong việc đưa ra các đề xuất để đưa vào tài liệu proxy liên quan đến thù lao điều hành.” Đây là một tham chiếu đến Rule 14a-8 của các quy tắc proxy. Điều khoản này cho phép cổ đông đệ trình các đề xuất để đưa vào bản tuyên bố proxy của công ty. Những loại đề xuất thù lao nào khác mà cổ đông có thể đệ trình? Vào năm 2010, các cổ đông của Chesapeake Energy đã thông qua một điều khoản kêu gọi một cuộc bỏ phiếu tư vấn về thù lao trả cho các giám đốc.</w:t>
      </w:r>
    </w:p>
    <w:p>
      <w:pPr>
        <w:spacing w:after="80"/>
      </w:pPr>
      <w:r>
        <w:rPr>
          <w:b w:val="0"/>
          <w:i w:val="0"/>
        </w:rPr>
        <w:t>—————</w:t>
      </w:r>
    </w:p>
    <w:p>
      <w:pPr>
        <w:spacing w:after="80"/>
      </w:pPr>
      <w:r>
        <w:rPr>
          <w:b w:val="0"/>
          <w:i w:val="0"/>
        </w:rPr>
        <w:t>“Say on pay” liên quan đến một cuộc bỏ phiếu tư vấn về thù lao điều hành. Section 14A quy định rõ ràng rằng cuộc bỏ phiếu tư vấn sẽ không “tạo ra hoặc ngụ ý bất kỳ thay đổi nào đối với các nghĩa vụ ủy thác của tổ chức phát hành đó hoặc hội đồng quản trị.” Điều đó có nghĩa là cuộc bỏ phiếu tư vấn không có tác động gì đến các nghĩa vụ này không?</w:t>
      </w:r>
    </w:p>
    <w:p>
      <w:pPr>
        <w:pStyle w:val="Heading4"/>
      </w:pPr>
      <w:r>
        <w:rPr>
          <w:rFonts w:ascii="Calibri" w:hAnsi="Calibri"/>
          <w:b/>
          <w:i w:val="0"/>
          <w:sz w:val="23"/>
        </w:rPr>
        <w:t>NECA-IBEW Pension Fund v. Cox</w:t>
      </w:r>
    </w:p>
    <w:p>
      <w:pPr>
        <w:spacing w:after="80"/>
      </w:pPr>
      <w:r>
        <w:rPr>
          <w:b w:val="0"/>
          <w:i w:val="0"/>
        </w:rPr>
        <w:t>Tòa án Quận Hoa Kỳ, Quận Nam Ohio</w:t>
      </w:r>
      <w:r>
        <w:br/>
      </w:r>
      <w:r>
        <w:rPr>
          <w:b w:val="0"/>
          <w:i w:val="0"/>
        </w:rPr>
        <w:t xml:space="preserve"> 2011 U.S. Dist. LEXIS 106161 (ngày 20 tháng 9 năm 2011)</w:t>
      </w:r>
    </w:p>
    <w:p>
      <w:pPr>
        <w:spacing w:after="80"/>
      </w:pPr>
      <w:r>
        <w:rPr>
          <w:b w:val="0"/>
          <w:i w:val="0"/>
        </w:rPr>
        <w:t>BLACK , THẨM PHÁN :</w:t>
      </w:r>
    </w:p>
    <w:p>
      <w:pPr>
        <w:spacing w:after="80"/>
      </w:pPr>
      <w:r>
        <w:rPr>
          <w:b w:val="0"/>
          <w:i w:val="0"/>
        </w:rPr>
        <w:t>Vụ kiện dân sự này đặt ra câu hỏi, trong số những câu hỏi khác, liệu một cổ đông của một công ty đại chúng có thể kiện các giám đốc của mình vì vi phạm nghĩa vụ trung thành khi các giám đốc trao 4 triệu đô la tiền thưởng, cộng thêm 4,5 triệu đô la tiền lương và thù lao khác, cho tổng giám đốc điều hành trong cùng năm mà công ty chịu mức sụt giảm 61,3 triệu đô la thu nhập ròng, mức giảm thu nhập trên mỗi cổ phiếu từ $0.37 xuống $0.09, mức giảm giá cổ phiếu từ $3.45 xuống $2.80, và lợi nhuận cổ đông hàng năm âm 18,8%.</w:t>
      </w:r>
    </w:p>
    <w:p>
      <w:pPr>
        <w:spacing w:after="80"/>
      </w:pPr>
      <w:r>
        <w:rPr>
          <w:b w:val="0"/>
          <w:i w:val="0"/>
        </w:rPr>
        <w:t>Thông thường, một hội đồng quản trị được bảo vệ bởi “quy tắc phán đoán kinh doanh” (business judgment rule) khi đưa ra các quyết định về thù lao điều hành, và các tòa án “sẽ không xem xét tính khôn ngoan của các hành động được thực hiện bởi một giám đốc khi không có gian lận, thiện chí xấu, hoặc lạm dụng quyền tùy ý.” Radol v. Thomas, 772 F.2d 244, 257 (6th Cir. 1987). Tuy nhiên, quy tắc phán đoán kinh doanh là một giả định có thể bị bác bỏ bởi nguyên đơn với bằng chứng thực tế rằng các thành viên hội đồng quản trị đã hành động không trung thành, tức là không vì lợi ích tốt nhất của công ty hoặc các cổ đông của nó. See, e.g., Koos v. Cent. Ohio Cellular, Inc., 94 Ohio App. 3d 579, 641 N.E.2d 265, 272 (Ohio Ct. App. 1994).</w:t>
      </w:r>
    </w:p>
    <w:p>
      <w:pPr>
        <w:spacing w:after="80"/>
      </w:pPr>
      <w:r>
        <w:rPr>
          <w:b w:val="0"/>
          <w:i w:val="0"/>
        </w:rPr>
        <w:t xml:space="preserve">Theo luật liên bang mới được ban hành gần đây, The Dodd-Frank Wall Street Reform Act, các công ty đại chúng phải đưa vào một nghị quyết cổ đông riêng biệt để phê duyệt thù lao điều hành trong tài liệu proxy của họ ít nhất một lần mỗi ba năm. See 15 U.S. Code § 78n-1(a) (2010). Theo yêu cầu đó, Hội đồng quản trị Cincinnati Bell đã đưa vào một nghị quyết cổ đông trong tài liệu proxy ngày 21 tháng 3 năm 2011 của mình nhằm tìm kiếm sự phê duyệt của cổ đông đối với thù lao điều hành năm 2010. Hội đồng quản trị đã khuyến nghị các cổ đông bỏ phiếu ủng hộ nghị quyết. Vào ngày 3 tháng 5 năm 2011, 66% cổ đông bỏ phiếu đã bỏ phiếu chống lại thù lao điều hành năm 2010. Viện dẫn, </w:t>
      </w:r>
      <w:r>
        <w:rPr>
          <w:b w:val="0"/>
          <w:i/>
        </w:rPr>
        <w:t>inter alia</w:t>
      </w:r>
      <w:r>
        <w:rPr>
          <w:b w:val="0"/>
          <w:i w:val="0"/>
        </w:rPr>
        <w:t xml:space="preserve"> , sự từ chối áp đảo của cổ đông đối với thù lao điều hành năm 2010, nguyên đơn đã đệ trình vụ kiện này cáo buộc rằng Hội đồng quản trị Cincinnati Bell đã vi phạm nghĩa vụ trung thành ủy thác của mình khi quyết định phê duyệt các mức tăng lương và tiền thưởng lớn cho ba cán bộ hàng đầu của mình trong một năm mà, theo nguyên đơn, công ty đã hoạt động kém cỏi. Các giám đốc và cán bộ, đến lượt mình, đã đệ trình động thái yêu cầu bác bỏ vụ kiện.</w:t>
      </w:r>
    </w:p>
    <w:p>
      <w:pPr>
        <w:spacing w:after="80"/>
      </w:pPr>
      <w:r>
        <w:rPr>
          <w:b w:val="0"/>
          <w:i w:val="0"/>
        </w:rPr>
        <w:t>* * *</w:t>
      </w:r>
    </w:p>
    <w:p>
      <w:pPr>
        <w:spacing w:after="80"/>
      </w:pPr>
      <w:r>
        <w:rPr>
          <w:b w:val="0"/>
          <w:i w:val="0"/>
        </w:rPr>
        <w:t>B. Quy tắc Phán đoán Kinh doanh Không Yêu cầu Bác bỏ vì Nguyên đơn Trình bày Đầy đủ một Khiếu nại về Vi phạm Nghĩa vụ Ủy thác.</w:t>
      </w:r>
    </w:p>
    <w:p>
      <w:pPr>
        <w:spacing w:after="80"/>
      </w:pPr>
      <w:r>
        <w:rPr>
          <w:b w:val="0"/>
          <w:i w:val="0"/>
        </w:rPr>
        <w:t xml:space="preserve">Các giám đốc có hai nghĩa vụ tín thác (fiduciary duty) riêng biệt đối với công ty: nghĩa vụ trung thành (duty of loyalty) và nghĩa vụ cẩn trọng (duty of care). </w:t>
      </w:r>
      <w:r>
        <w:rPr>
          <w:b w:val="0"/>
          <w:i/>
        </w:rPr>
        <w:t>Radol</w:t>
      </w:r>
      <w:r>
        <w:rPr>
          <w:b w:val="0"/>
          <w:i w:val="0"/>
        </w:rPr>
        <w:t xml:space="preserve"> , 772 F.2d at 256. Nghĩa vụ trung thành đòi hỏi các giám đốc phải thực hiện nhiệm vụ của mình “một cách thiện chí, theo cách mà giám đốc tin tưởng một cách hợp lý rằng nằm trong hoặc không đi ngược lại lợi ích tốt nhất của công ty.” Ohio Rev. Code Ann. § 1701.59(B) (2011). Nguyên đơn cáo buộc rằng các giám đốc của Cincinnati Bell đã vi phạm nghĩa vụ trung thành khi họ phê duyệt gói thù lao điều hành năm 2010.</w:t>
      </w:r>
    </w:p>
    <w:p>
      <w:pPr>
        <w:spacing w:after="80"/>
      </w:pPr>
      <w:r>
        <w:rPr>
          <w:b w:val="0"/>
          <w:i w:val="0"/>
        </w:rPr>
        <w:t xml:space="preserve">Các tòa án Ohio tuân theo “quy tắc phán đoán kinh doanh” (business judgment rule) và “sẽ không xem xét tính khôn ngoan của các hành động do một giám đốc thực hiện khi không có gian lận, bất thiện chí, hoặc lạm dụng quyền tùy nghi.” </w:t>
      </w:r>
      <w:r>
        <w:rPr>
          <w:b w:val="0"/>
          <w:i/>
        </w:rPr>
        <w:t>Radol</w:t>
      </w:r>
      <w:r>
        <w:rPr>
          <w:b w:val="0"/>
          <w:i w:val="0"/>
        </w:rPr>
        <w:t xml:space="preserve"> , 772 F.2d at 257. Theo luật Ohio, các giám đốc chỉ phải chịu trách nhiệm nếu có bằng chứng rõ ràng và thuyết phục cho thấy hành động của họ được thực hiện với “ý định cố ý gây tổn hại cho công ty” hoặc “sự coi nhẹ liều lĩnh đối với lợi ích tốt nhất của công ty.” Ohio Rev. Code Ann. § 1701.59(D) (2011).</w:t>
      </w:r>
    </w:p>
    <w:p>
      <w:pPr>
        <w:spacing w:after="80"/>
      </w:pPr>
      <w:r>
        <w:rPr>
          <w:b w:val="0"/>
          <w:i w:val="0"/>
        </w:rPr>
        <w:t xml:space="preserve">Các quyết định được đưa ra trên cơ sở đầy đủ thông tin về thù lao do các giám đốc không có quyền lợi liên quan đưa ra được suy đoán là kết quả của một phán đoán kinh doanh hợp lệ. Prod. Res. Group LLC v. NCT Group, Inc., 863 A.2d 772, 779 (Del. Ch. 2004). Nguyên đơn có trách nhiệm chứng minh các sự kiện để bác bỏ suy đoán thiện chí của các giám đốc theo quy tắc phán đoán kinh doanh. </w:t>
      </w:r>
      <w:r>
        <w:rPr>
          <w:b w:val="0"/>
          <w:i/>
        </w:rPr>
        <w:t>Radol</w:t>
      </w:r>
      <w:r>
        <w:rPr>
          <w:b w:val="0"/>
          <w:i w:val="0"/>
        </w:rPr>
        <w:t xml:space="preserve"> , 772 F.2d at 257; </w:t>
      </w:r>
      <w:r>
        <w:rPr>
          <w:b w:val="0"/>
          <w:i/>
        </w:rPr>
        <w:t>Koos</w:t>
      </w:r>
      <w:r>
        <w:rPr>
          <w:b w:val="0"/>
          <w:i w:val="0"/>
        </w:rPr>
        <w:t xml:space="preserve"> , 641 N.E.2d at 273.</w:t>
      </w:r>
    </w:p>
    <w:p>
      <w:pPr>
        <w:spacing w:after="80"/>
      </w:pPr>
      <w:r>
        <w:rPr>
          <w:b w:val="0"/>
          <w:i w:val="0"/>
        </w:rPr>
        <w:t xml:space="preserve">Tuy nhiên, “quy tắc phán đoán kinh doanh áp đặt trách nhiệm chứng minh, chứ không phải trách nhiệm trình bày yêu cầu.” In re Nat'l Century Fin. Enters., Indiv. Litig., 504 F.Supp.2d 287, 312 (S.D. Ohio 2007); Marsalis v. Wilson, 149 Ohio App. 3d 637, 2002 Ohio 5534, 778 N.E.2d 612, 616 (Ohio Ct. App. 2002). Khi nguyên đơn cáo buộc vi phạm nghĩa vụ tín thác, “quy tắc phán đoán kinh doanh sẽ áp đặt lên nguyên đơn trách nhiệm tại phiên tòa phải trình bày bằng chứng để bác bỏ suy đoán mà quy tắc này đặt ra. Tuy nhiên, nguyên đơn không có nghĩa vụ tương tự phải trình bày các sự kiện có tính quyết định trong đơn kiện của mình để bác bỏ suy đoán đó.” </w:t>
      </w:r>
      <w:r>
        <w:rPr>
          <w:b w:val="0"/>
          <w:i/>
        </w:rPr>
        <w:t>Marsalis</w:t>
      </w:r>
      <w:r>
        <w:rPr>
          <w:b w:val="0"/>
          <w:i w:val="0"/>
        </w:rPr>
        <w:t xml:space="preserve"> , 778 N.E.2d at 616. Trong khi Tòa án áp dụng luật liên bang về các vấn đề thủ tục, quy tắc liên bang cũng gần như tương tự, cho rằng mặc dù nguyên đơn phải trình bày một ngoại lệ đối với quy tắc phán đoán kinh doanh, nhưng họ “không bắt buộc phải trình bày ngoại lệ đó với mức độ chi tiết cụ thể.” </w:t>
      </w:r>
      <w:r>
        <w:rPr>
          <w:b w:val="0"/>
          <w:i/>
        </w:rPr>
        <w:t>In re Tower Air, Inc.</w:t>
      </w:r>
      <w:r>
        <w:rPr>
          <w:b w:val="0"/>
          <w:i w:val="0"/>
        </w:rPr>
        <w:t xml:space="preserve"> , 416 F.3d 229, 236 (3d Cir. 2005).</w:t>
      </w:r>
    </w:p>
    <w:p>
      <w:pPr>
        <w:spacing w:after="80"/>
      </w:pPr>
      <w:r>
        <w:rPr>
          <w:b w:val="0"/>
          <w:i w:val="0"/>
        </w:rPr>
        <w:t>Trong trường hợp này, nguyên đơn đã trình bày đầy đủ các lập luận rằng “Hội đồng quản trị Cincinnati Bell không được hưởng sự bảo vệ của quy tắc phán đoán kinh doanh đối với các đợt tăng lương điều hành năm 2010 của mình.” (Doc. 1 at ¶4). Đơn kiện đưa ra các cáo buộc dựa trên sự kiện chứ không chỉ đơn thuần là các cáo buộc mang tính kết luận. Những cáo buộc dựa trên sự kiện này đưa ra một khiếu nại hợp lý rằng các khoản tiền thưởng trị giá hàng triệu đô la được các giám đốc phê duyệt vào thời điểm hiệu quả tài chính của công ty đang suy giảm đã vi phạm chính sách thù lao trả theo hiệu quả của Cincinnati Bell và không vì lợi ích tốt nhất của các cổ đông Cincinnati Bell, do đó cấu thành hành vi lạm dụng quyền tùy nghi và/hoặc bất thiện chí.</w:t>
      </w:r>
    </w:p>
    <w:p>
      <w:pPr>
        <w:spacing w:after="80"/>
      </w:pPr>
      <w:r>
        <w:rPr>
          <w:b w:val="0"/>
          <w:i w:val="0"/>
        </w:rPr>
        <w:t>Các bị đơn có thể đưa ra biện pháp bảo vệ khẳng định dựa trên quy tắc phán đoán kinh doanh tại phiên tòa, nơi mà nguyên đơn có thể sẽ không thể chứng minh bằng bằng chứng rõ ràng và thuyết phục rằng các giám đốc đã hành động với “ý định cố ý gây tổn hại cho công ty” hoặc “sự coi nhẹ liều lĩnh đối với lợi ích tốt nhất của công ty.” Nhưng tất cả những điều đó là để dành cho phiên tòa, hoặc phán quyết tóm tắt—đó không phải là cơ sở để bác bỏ đơn kiện. Nguyên đơn đã nêu ra một khiếu nại; không có cơ sở để bác bỏ.</w:t>
      </w:r>
    </w:p>
    <w:p>
      <w:pPr>
        <w:spacing w:after="80"/>
      </w:pPr>
      <w:r>
        <w:rPr>
          <w:b w:val="0"/>
          <w:i w:val="0"/>
        </w:rPr>
        <w:t>* * *</w:t>
      </w:r>
    </w:p>
    <w:p>
      <w:pPr>
        <w:spacing w:after="80"/>
      </w:pPr>
      <w:r>
        <w:rPr>
          <w:b w:val="0"/>
          <w:i w:val="0"/>
        </w:rPr>
        <w:t>Kết luận</w:t>
      </w:r>
    </w:p>
    <w:p>
      <w:pPr>
        <w:spacing w:after="80"/>
      </w:pPr>
      <w:r>
        <w:rPr>
          <w:b w:val="0"/>
          <w:i w:val="0"/>
        </w:rPr>
        <w:t>Theo đó, đề nghị bác bỏ đơn kiện của các bị đơn (Doc. 3) bị BÁC BỎ.</w:t>
      </w:r>
    </w:p>
    <w:p>
      <w:pPr>
        <w:spacing w:after="80"/>
      </w:pPr>
      <w:r>
        <w:rPr>
          <w:b w:val="0"/>
          <w:i w:val="0"/>
        </w:rPr>
        <w:t>TÒA ÁN RA LỆNH NHƯ VẬY.</w:t>
      </w:r>
    </w:p>
    <w:p>
      <w:pPr>
        <w:pStyle w:val="Heading5"/>
      </w:pPr>
      <w:r>
        <w:rPr>
          <w:rFonts w:ascii="Calibri" w:hAnsi="Calibri"/>
          <w:b/>
          <w:i/>
          <w:sz w:val="22"/>
        </w:rPr>
        <w:t>Bình luận và Câu hỏi</w:t>
      </w:r>
    </w:p>
    <w:p>
      <w:pPr>
        <w:spacing w:after="80"/>
      </w:pPr>
      <w:r>
        <w:rPr>
          <w:b w:val="0"/>
          <w:i w:val="0"/>
        </w:rPr>
        <w:t xml:space="preserve">1. Mặc dù bác bỏ đề nghị bác bỏ đơn kiện, tòa án sau đó đã từ chối ban hành lệnh cấm sơ bộ. </w:t>
      </w:r>
      <w:r>
        <w:rPr>
          <w:b w:val="0"/>
          <w:i/>
        </w:rPr>
        <w:t>Xem NECA-IBEW Pension Fund v. Cox</w:t>
      </w:r>
      <w:r>
        <w:rPr>
          <w:b w:val="0"/>
          <w:i w:val="0"/>
        </w:rPr>
        <w:t xml:space="preserve"> , 2011 U.S. Dist. LEXIS 109064 (S.D. Ohio, Sept. 26, 2011) (từ chối ban hành lệnh cấm và lưu ý rằng nguyên đơn chưa chứng minh được “khả năng thành công cao” rằng quyết định thù lao không được “bảo vệ bởi quy tắc phán đoán kinh doanh”). Hơn nữa, rất ít quyết định khác đồng tình với lập luận này. </w:t>
      </w:r>
      <w:r>
        <w:rPr>
          <w:b w:val="0"/>
          <w:i/>
        </w:rPr>
        <w:t>Xem In re Citigroup Shareholder Derivative Litig</w:t>
      </w:r>
      <w:r>
        <w:rPr>
          <w:b w:val="0"/>
          <w:i w:val="0"/>
        </w:rPr>
        <w:t xml:space="preserve"> ., No. 12 Civ. 3114c(JPO) (S.D.N.Y. Aug. 19, 2013) (“Nhưng phần lớn các án lệ—cả hiện nay lẫn vào thời điểm vụ kiện này đang được tranh tụng—cho thấy rằng nguyên đơn không nên được miễn trừ khỏi việc đưa ra yêu cầu đối với hội đồng quản trị khi các cổ đông bác bỏ đề xuất thù lao điều hành thông qua một cuộc bỏ phiếu say-on-pay.”). Điều này gợi ý gì về vai trò của một cuộc bỏ phiếu “say on pay” tiêu cực trong bối cảnh các nghĩa vụ tín thác của hội đồng quản trị?</w:t>
      </w:r>
    </w:p>
    <w:p>
      <w:pPr>
        <w:spacing w:after="80"/>
      </w:pPr>
      <w:r>
        <w:rPr>
          <w:b w:val="0"/>
          <w:i w:val="0"/>
        </w:rPr>
        <w:t>2. Cuộc bỏ phiếu say on pay có vai trò gì trong trường hợp này? Khi thông qua quy tắc say on pay, Quốc hội đã tuyên bố cụ thể rằng cuộc bỏ phiếu tư vấn sẽ không “thay đổi” các nghĩa vụ tín thác hiện có hoặc “tạo ra hay ngụ ý bất kỳ nghĩa vụ tín thác bổ sung nào.” Section 14A, 15 U.S.C. § 78n-1. Trường hợp này có nhất quán với cách tiếp cận đó không?</w:t>
      </w:r>
    </w:p>
    <w:p>
      <w:pPr>
        <w:spacing w:after="80"/>
      </w:pPr>
      <w:r>
        <w:rPr>
          <w:b w:val="0"/>
          <w:i w:val="0"/>
        </w:rPr>
        <w:t>3. Say on pay đã được một số công ty tự nguyện thực hiện. Các công ty nhận tiền liên bang trong cuộc khủng hoảng tài chính năm 2009 được yêu cầu phải áp dụng say on pay. Tuy nhiên, chỉ đến khi Đạo luật Dodd Frank được thông qua, tất cả các công ty đại chúng mới được yêu cầu trao cho cổ đông một cuộc bỏ phiếu tư vấn về thù lao. Trong năm đầu tiên thực hiện, cổ đông tại 37 trong số 2.340 công ty đã bỏ phiếu chống lại gói thù lao. Điều này có cho chúng ta biết điều gì về vai trò của cuộc bỏ phiếu tư vấn trong quá trình quản trị không?</w:t>
      </w:r>
    </w:p>
    <w:p>
      <w:pPr>
        <w:spacing w:after="80"/>
      </w:pPr>
      <w:r>
        <w:rPr>
          <w:b w:val="0"/>
          <w:i w:val="0"/>
        </w:rPr>
        <w:t>4. Trong phạm vi một hội đồng quản trị muốn ngăn chặn một cuộc bỏ phiếu tiêu cực, họ có thể thực hiện những bước nào hoặc triển khai những chiến lược nào?</w:t>
      </w:r>
    </w:p>
    <w:p>
      <w:pPr>
        <w:pStyle w:val="Heading2"/>
      </w:pPr>
      <w:r>
        <w:rPr>
          <w:rFonts w:ascii="Calibri" w:hAnsi="Calibri"/>
          <w:b/>
          <w:i w:val="0"/>
          <w:sz w:val="32"/>
        </w:rPr>
        <w:t>V. Định hướng Tương lai của Thù lao Điều hành</w:t>
      </w:r>
    </w:p>
    <w:p>
      <w:pPr>
        <w:spacing w:after="80"/>
      </w:pPr>
      <w:r>
        <w:rPr>
          <w:b w:val="0"/>
          <w:i w:val="0"/>
        </w:rPr>
        <w:t>Trong khi một số người khẳng định rằng hệ thống xác định thù lao cho ban điều hành không hề hỏng, thì việc Quốc hội liên tục can thiệp ít nhất cũng cho thấy rằng hiện trạng đang có nguy cơ bị sửa đổi thêm. Nếu chúng ta lùi lại một bước và tự hỏi ai nên là người quyết định thù lao cho ban điều hành, thì hội đồng quản trị có vẻ là câu trả lời hiển nhiên. Thù lao là một quyết định mang tính từng trường hợp cụ thể, phụ thuộc vào giá trị của một CEO nhất định đối với một công ty nhất định.</w:t>
      </w:r>
    </w:p>
    <w:p>
      <w:pPr>
        <w:spacing w:after="80"/>
      </w:pPr>
      <w:r>
        <w:rPr>
          <w:b w:val="0"/>
          <w:i w:val="0"/>
        </w:rPr>
        <w:t>Hội đồng quản trị là nơi tốt nhất để đưa ra những quyết định này. Hơn nữa, vì CEO thường là thành viên của hội đồng quản trị, sẽ là hợp lý nếu yêu cầu hội đồng quản trị chứng minh tính công bằng của khoản thù lao. Nhu cầu thiết lập tính công bằng (và rủi ro phải chịu trách nhiệm pháp lý nếu không làm được điều đó) sẽ đòi hỏi hội đồng quản trị phải thiết lập mối quan hệ giữa số tiền chi trả và những lợi ích mà CEO mang lại. Ít nhất, gánh nặng như vậy có khả năng làm giảm động lực phê duyệt các gói thù lao vượt quá đáng kể so với thù lao trả cho các giám đốc tương đương ở các công ty khác.</w:t>
      </w:r>
    </w:p>
    <w:p>
      <w:pPr>
        <w:spacing w:after="80"/>
      </w:pPr>
      <w:r>
        <w:rPr>
          <w:b w:val="0"/>
          <w:i w:val="0"/>
        </w:rPr>
        <w:t xml:space="preserve">Nhưng tất nhiên, đó không phải là tiêu chuẩn. Hội đồng quản trị được hưởng lợi từ quy tắc phán đoán kinh doanh (business judgment rule) nếu đáp ứng một số yêu cầu về quy trình nhất định khi phê duyệt thù lao. </w:t>
      </w:r>
      <w:r>
        <w:rPr>
          <w:b w:val="0"/>
          <w:i/>
        </w:rPr>
        <w:t>Disney</w:t>
      </w:r>
      <w:r>
        <w:rPr>
          <w:b w:val="0"/>
          <w:i w:val="0"/>
        </w:rPr>
        <w:t xml:space="preserve"> cho thấy rằng các yêu cầu về thông tin tốt nhất cũng chỉ ở mức khiêm tốn. Tương tự, luật về giám đốc độc lập không đủ mạnh mẽ để đảm bảo rằng những người phê duyệt thù lao thực sự độc lập.</w:t>
      </w:r>
    </w:p>
    <w:p>
      <w:pPr>
        <w:spacing w:after="80"/>
      </w:pPr>
      <w:r>
        <w:rPr>
          <w:b w:val="0"/>
          <w:i w:val="0"/>
        </w:rPr>
        <w:t>Do đó, các gói thù lao lớn có thể phản ánh giá trị thực tế đối với công ty hoặc có thể là hệ quả của một quy trình bị lỗi. Kết quả là, Quốc hội đã vào cuộc và áp đặt các nghĩa vụ nhằm siết chặt quy trình phê duyệt thù lao. Tuy nhiên, khi làm vậy, Quốc hội đã chọn các quy tắc phân loại áp đặt lên một số lượng lớn công ty — công ty niêm yết trong trường hợp ủy ban thù lao, và tất cả công ty đại chúng trong trường hợp biểu quyết về thù lao (say on pay). Các cải cách ở cấp độ này làm dấy lên lo ngại liệu chúng có hiệu quả hay không và liệu chi phí có vượt quá lợi ích hay không.</w:t>
      </w:r>
    </w:p>
    <w:p>
      <w:pPr>
        <w:spacing w:after="80"/>
      </w:pPr>
      <w:r>
        <w:rPr>
          <w:b w:val="0"/>
          <w:i w:val="0"/>
        </w:rPr>
        <w:t>Trong chừng mực mà cách tiếp cận theo luật tiểu bang là không đủ để đảm bảo các quyết định thù lao đúng đắn, áp lực đòi thêm can thiệp của liên bang sẽ tiếp tục. Suy cho cùng, Quốc hội không phản hồi theo mong muốn của các nhà quản lý và cổ đông mà theo cử tri.</w:t>
      </w:r>
    </w:p>
    <w:p>
      <w:pPr>
        <w:spacing w:after="80"/>
      </w:pPr>
      <w:r>
        <w:rPr>
          <w:b w:val="0"/>
          <w:i w:val="0"/>
        </w:rPr>
        <w:t>Với động lực này, liệu có cách khắc phục nào không? Hay chúng ta phải chờ đợi rằng cứ khoảng mỗi thập kỷ, Quốc hội lại can thiệp thêm và áp đặt thêm các yêu cầu phân loại lên các công ty đại chúng?</w:t>
      </w:r>
    </w:p>
    <w:p>
      <w:pPr>
        <w:spacing w:after="80"/>
      </w:pPr>
      <w:r>
        <w:rPr>
          <w:b w:val="0"/>
          <w:i w:val="0"/>
        </w:rPr>
        <w:t>1 . Bản quyền © 2010 University of Richmond Law Review. Được tái bản với sự cho phép.</w:t>
      </w:r>
    </w:p>
    <w:p>
      <w:pPr>
        <w:spacing w:after="80"/>
      </w:pPr>
      <w:r>
        <w:rPr>
          <w:b w:val="0"/>
          <w:i w:val="0"/>
        </w:rPr>
        <w:t>2 . Bản quyền © 2009 Duke Law Journal. Được tái bản với sự cho phép của Duke Law Journal và tác giả.</w:t>
      </w:r>
    </w:p>
    <w:p>
      <w:pPr>
        <w:spacing w:after="80"/>
      </w:pPr>
      <w:r>
        <w:rPr>
          <w:b w:val="0"/>
          <w:i w:val="0"/>
        </w:rPr>
        <w:t>3 . Bản quyền © 2008 North Dakota Law Review. Được tái bản với sự cho phép.</w:t>
      </w:r>
    </w:p>
    <w:p>
      <w:pPr>
        <w:spacing w:after="80"/>
      </w:pPr>
      <w:r>
        <w:rPr>
          <w:b w:val="0"/>
          <w:i w:val="0"/>
        </w:rPr>
        <w:t>4 . Bản quyền © 2007 Delaware Journal of Corporate Law. Được tái bản với sự cho phép.</w:t>
      </w:r>
    </w:p>
    <w:p>
      <w:pPr>
        <w:spacing w:after="80"/>
      </w:pPr>
      <w:r>
        <w:rPr>
          <w:b w:val="0"/>
          <w:i w:val="0"/>
        </w:rPr>
        <w:t>5 . [1] Một số “nhà bình luận hiện đang xem thù lao ban điều hành quá cao là vấn đề số 1 trong quản trị công ty . . . Trong khi tiền lương khu vực tư nhân chỉ tăng 2% vào năm 2010. . ., thù lao trung vị cho các giám đốc điều hành tại các công ty thuộc chỉ số Standard &amp; Poor's 500 đã tăng 18% từ năm 2009 lên mức trung bình 12 triệu đô la. . . . Năm 1965, một giám đốc điều hành điển hình kiếm được gấp 24 lần lương của người lao động trung bình. [Ngày nay], một giám đốc điều hành điển hình kiếm được gấp 275 lần lương của người lao động trung bình. . . . 1% người có thu nhập cao nhất hiện chiếm khoảng một phần tư thu nhập của quốc gia chúng ta và sở hữu 40% tài sản của quốc gia. . . .” Morrissey, Daniel J. “Courts Should Curb Executive Pay” The National Law Journal (15 tháng 8, 2011). (Xem Ex. 2 trong bản ghi nhớ phản đối của nguyên đơn; Doc. 24). Trong bối cảnh đó, Quốc hội đã thông qua Dodd-Frank Wall Street Reform Act và đưa vào đó điều khoản “say-on-pay”, yêu cầu các công ty đại chúng cho phép cổ đông của họ biểu quyết cố vấn về thù lao của các quan chức cấp cao. Mặc dù Dodd-Frank nêu rõ rằng những ý kiến đó không mang tính ràng buộc và không thay đổi nghĩa vụ ủy thác của giám đốc, một số nhà bình luận cho rằng “[m]ột cuộc biểu quyết say-on-pay tiêu cực cung cấp cho tòa án bằng chứng rằng đã có sự vi phạm nghĩa vụ. Điều đó không có nghĩa là đã có sự vi phạm nghĩa vụ, nhưng nó có thể hỗ trợ cho một phát hiện về vi phạm.” Myles, Danielle “Experts Disagree on Validity of Say-on-Pay Lawsuits” International Financial Law Review (tháng 8, 2011). (Xem Ex. 1 trong bản ghi nhớ phản đối của nguyên đơn; Doc. 24). Những người chỉ trích các điều khoản “say-on-pay” của Dodd-Frank lo ngại rằng sẽ xảy ra tranh tụng rộng khắp và vô nghĩa, nhưng một báo cáo do Shulte Roth &amp; Zabel phát hành về mùa đại hội cổ đông thường niên năm 2011 cho thấy chỉ 1,6% công ty đại chúng đã tổ chức đại hội cổ đông thường niên tính đến cuối tháng 6 năm 2011 nhận được khuyến nghị tiêu cực từ cổ đông. (Xem Ex. 1 trong bản ghi nhớ phản đối của nguyên đơn; Doc. 24). Cincinnati Bell là một trong những công ty đó.</w:t>
      </w:r>
    </w:p>
    <w:p>
      <w:pPr>
        <w:spacing w:after="80"/>
      </w:pPr>
      <w:r>
        <w:rPr>
          <w:b w:val="0"/>
          <w:i w:val="0"/>
        </w:rPr>
        <w:t>6 . [2] Các Giám đốc đã trao cho CEO Cassidy một khoản thưởng hiệu suất hàng năm là $1,335,840, một khoản thưởng đặc biệt là $600,160, và một khoản thưởng giữ chân là $2,100,000, đưa tổng thù lao của ông lên hơn $8.5 triệu, tương ứng mức tăng 71,7% so với tổng thù lao hàng năm trước đó của ông. (Doc. 1 tại ¶¶11–13; 30–31; Doc. 3 tại 11–12). CFO Wojtaszek nhận được khoản thưởng khuyến khích hàng năm là $282,762, một khoản thưởng đặc biệt là $531,300, và một khoản thưởng khuyến khích dài hạn là $552,174, đưa tổng thù lao của ông lên hơn $2 triệu và tương ứng mức tăng 80,3% so với thù lao trước đó của ông. (Id.) Phó Chủ tịch kiêm Tổng Cố vấn Wilson được trao khoản thưởng khuyến khích hàng năm là $282,762 và một khoản thưởng khuyến khích dài hạn là $538,486, đưa tổng thù lao của ông lên hơn $1.5 triệu và tương ứng mức tăng 54,3% so với thù lao hàng năm trước đó của ông. (Id.) Tất cả các khoản thù lao đều được toàn thể Hội đồng quản trị phê duyệt. (Doc. 3 tại 11–12). Việc trao các khoản thưởng này diễn ra trong một năm mà công ty ghi nhận mức giảm $61.3 triệu đô la thu nhập ròng, thu nhập trên mỗi cổ phiếu giảm từ $0.37 xuống $0.09, giá cổ phiếu giảm từ $3.45 xuống $2.80, và lợi nhuận cổ đông hàng năm âm 18,8%. (Doc. 1 tại ¶28). Thu nhập ròng năm 2010 của công ty áp dụng cho cổ đông phổ thông và tổng vốn chủ sở hữu của cổ đông cũng giảm đáng kể. (Id.)</w:t>
      </w:r>
    </w:p>
    <w:p>
      <w:pPr>
        <w:spacing w:after="80"/>
      </w:pPr>
      <w:r>
        <w:rPr>
          <w:b w:val="0"/>
          <w:i w:val="0"/>
        </w:rPr>
        <w:t>7 . [3] Nguyên đơn cáo buộc rằng khoản thù lao đã vi phạm chính sách thù lao bằng văn bản của Cincinnati Bell, trong đó nêu rằng “một phần đáng kể trong tổng thù lao của mỗi giám đốc điều hành của chúng tôi có liên quan trực tiếp đến thu nhập và doanh thu của Công ty cũng như các yếu tố hiệu suất khác” và rằng thù lao có rủi ro nên được “gắn với việc đạt được các mục tiêu hiệu suất ngắn hạn và dài hạn cụ thể, chủ yếu là thu nhập, dòng tiền và hiệu suất cổ phiếu phổ thông của Công ty, qua đó liên kết thù lao ban điều hành với lợi nhuận mà cổ đông thu được.” (Doc. 1 tại ¶27) (phần nhấn mạnh được cung cấp).</w:t>
      </w:r>
    </w:p>
    <w:p>
      <w:pPr>
        <w:spacing w:after="80"/>
      </w:pPr>
      <w:r>
        <w:rPr>
          <w:b w:val="0"/>
          <w:i w:val="0"/>
        </w:rPr>
        <w:t>8 . [4] Nguyên đơn khẳng định rằng cuộc biểu quyết cố vấn tiêu cực của cổ đông về thù lao ban điều hành, trong đó 66% cổ đông có quyền biểu quyết bỏ phiếu chống lại thù lao ban điều hành năm 2010, cung cấp “bằng chứng trực tiếp và có tính chứng minh rằng thù lao ban điều hành năm 2010 không vì lợi ích tốt nhất của các cổ đông Cincinnati Bell.” (Doc. 1 tại ¶36).</w:t>
      </w:r>
    </w:p>
    <w:p>
      <w:pPr>
        <w:pStyle w:val="Heading1"/>
      </w:pPr>
      <w:r>
        <w:rPr>
          <w:rFonts w:ascii="Calibri" w:hAnsi="Calibri"/>
          <w:b/>
          <w:i w:val="0"/>
          <w:sz w:val="40"/>
        </w:rPr>
        <w:t>Chương 7</w:t>
      </w:r>
    </w:p>
    <w:p>
      <w:pPr>
        <w:pStyle w:val="Heading1"/>
      </w:pPr>
      <w:r>
        <w:rPr>
          <w:rFonts w:ascii="Calibri" w:hAnsi="Calibri"/>
          <w:b/>
          <w:i w:val="0"/>
          <w:sz w:val="40"/>
        </w:rPr>
        <w:t>Vai trò của Cổ đông trong Quy trình Quản trị</w:t>
      </w:r>
    </w:p>
    <w:p>
      <w:pPr>
        <w:spacing w:after="80"/>
      </w:pPr>
      <w:r>
        <w:rPr>
          <w:b w:val="0"/>
          <w:i w:val="0"/>
        </w:rPr>
        <w:t>Vai trò của cổ đông trong quá trình quản trị không phải lúc nào cũng dễ mô tả cho chính xác. Ở một mức độ nào đó, họ sở hữu doanh nghiệp. Vậy mà họ không có quyền kiểm soát các hoạt động hằng ngày của công ty. Hơn nữa, dù họ bầu ra các thành viên hội đồng quản trị, thực tế của hệ thống bỏ phiếu đa số tương đối (plurality system) cùng chi phí của một cuộc tranh giành ủy quyền (proxy contest) lại hạn chế một cách hữu hiệu khả năng thay thế giám đốc của cổ đông. Vai trò của họ càng thêm phức tạp bởi sự đa dạng giữa các cổ đông. Các nhà đầu tư, dù là quỹ hưu trí, quỹ tương hỗ, quỹ phòng hộ hay cá nhân, đều khác nhau trong cách tiếp cận đầu tư và trong tầm nhìn lợi nhuận của mình.</w:t>
      </w:r>
    </w:p>
    <w:p>
      <w:pPr>
        <w:spacing w:after="80"/>
      </w:pPr>
      <w:r>
        <w:rPr>
          <w:b w:val="0"/>
          <w:i w:val="0"/>
        </w:rPr>
        <w:t>Tuy vậy, cổ đông vẫn đấu tranh đòi một vai trò lớn hơn trong quá trình quản trị. Họ tìm cách gây ảnh hưởng lên các thông lệ của hội đồng quản trị, đặc biệt là những thông lệ tác động đến lợi ích kinh tế của họ. Cổ đông đã đề xuất và đôi khi thông qua các nghị quyết nhằm khuyến khích loại bỏ hội đồng quản trị theo nhiệm kỳ so le (staggered boards) hoặc hủy bỏ các biện pháp "viên thuốc độc" (poison pills). Họ cũng gây sức ép để cải cách hệ thống bầu cử giám đốc bằng cách khuyến khích các công ty thay thế hệ thống đa số tương đối bằng hệ thống bỏ phiếu đa số (majority vote). Tương tự, áp lực này đã khiến các công ty ngày càng mở rộng quyền tiếp cận bản tuyên bố ủy quyền (proxy statement) của mình cho các ứng viên hội đồng quản trị do cổ đông đề cử.</w:t>
      </w:r>
    </w:p>
    <w:p>
      <w:pPr>
        <w:spacing w:after="80"/>
      </w:pPr>
      <w:r>
        <w:rPr>
          <w:b w:val="0"/>
          <w:i w:val="0"/>
        </w:rPr>
        <w:t>Khi vai trò của cổ đông trở nên quan trọng hơn, những vấn đề khác cũng nổi lên. Các khâu tổ chức bỏ phiếu ở các công ty đại chúng, cho đến gần đây, phần lớn vẫn bị bỏ qua. Hệ thống cho phép các chủ sở hữu hưởng lợi (beneficial owners) thực thi quyền bầu cử vô cùng phức tạp và dễ gặp vấn đề "phiếu treo" (hanging chads). Tương tự, quyền truyền thống của các nhà môi giới được bỏ phiếu cho những cổ phần không có chỉ thị do các chủ sở hữu đứng tên đường phố (street name owners) nắm giữ cũng ngày càng bị soi xét.</w:t>
      </w:r>
    </w:p>
    <w:p>
      <w:pPr>
        <w:spacing w:after="80"/>
      </w:pPr>
      <w:r>
        <w:rPr>
          <w:b w:val="0"/>
          <w:i w:val="0"/>
        </w:rPr>
        <w:t>Do đó, vai trò của cổ đông sẽ tiếp tục tiến hóa. Đây sẽ không phải là một quá trình theo đường thẳng. Việc tìm ra mức độ ảnh hưởng đúng đắn mà không can thiệp quá đáng vào việc quản lý hoạt động kinh doanh sẽ là một nhiệm vụ luôn thay đổi, và trong tương lai có thể thấy trước, nó hẳn sẽ làm nảy sinh bất đồng và tranh cãi giữa những người tham gia vào cuộc tranh luận về quản trị công ty.</w:t>
      </w:r>
    </w:p>
    <w:p>
      <w:pPr>
        <w:pStyle w:val="Heading2"/>
      </w:pPr>
      <w:r>
        <w:rPr>
          <w:rFonts w:ascii="Calibri" w:hAnsi="Calibri"/>
          <w:b/>
          <w:i w:val="0"/>
          <w:sz w:val="32"/>
        </w:rPr>
        <w:t>I. Sự tách biệt giữa quyền sở hữu và quyền kiểm soát</w:t>
      </w:r>
    </w:p>
    <w:p>
      <w:pPr>
        <w:spacing w:after="80"/>
      </w:pPr>
      <w:r>
        <w:rPr>
          <w:b w:val="0"/>
          <w:i w:val="0"/>
        </w:rPr>
        <w:t>Mọi cuộc thảo luận về vai trò của cổ đông đều phải bắt đầu từ hiện tượng mang tính cấu trúc mà Adolf Berle và Gardiner Means đã nhận diện—sự tách biệt giữa quyền sở hữu và quyền kiểm soát. Xem THE MODERN CORPORATION AND PRIVATE PROPERTY (1932). Khi ban quản lý sở hữu doanh nghiệp, về mặt lý thuyết, ít có lo ngại rằng các cán bộ điều hành và giám đốc sẽ hành động theo cách đi ngược lại lợi ích của cổ đông.</w:t>
      </w:r>
    </w:p>
    <w:p>
      <w:pPr>
        <w:spacing w:after="80"/>
      </w:pPr>
      <w:r>
        <w:rPr>
          <w:b w:val="0"/>
          <w:i w:val="0"/>
        </w:rPr>
        <w:t>Tuy nhiên, khi các tập đoàn lớn dần lên, quyền sở hữu và ban quản lý tách rời nhau. Các nhà quản lý có đủ mọi động cơ để thực hiện hành vi trục lợi (rent-seeking) và tối đa hóa lợi ích của mình bằng cách hy sinh cổ đông. Nhiệm vụ giám sát ban quản lý và giảm bớt hành vi vụ lợi bèn đổ lên vai cổ đông. Tuy nhiên, những nỗ lực làm việc này lại đối mặt với chi phí đại diện (agency costs) đáng kể. Đáng chú ý nhất là những vấn đề gắn với hành động tập thể (collective action). Việc tổ chức các nhóm cổ đông phân tán phải vượt qua hàng loạt vấn đề về mặt tổ chức, bao gồm sự thờ ơ hợp lý (rational apathy) và tình trạng ăn theo (free riding).</w:t>
      </w:r>
    </w:p>
    <w:p>
      <w:pPr>
        <w:pStyle w:val="Heading3"/>
      </w:pPr>
      <w:r>
        <w:rPr>
          <w:rFonts w:ascii="Calibri" w:hAnsi="Calibri"/>
          <w:b/>
          <w:i w:val="0"/>
          <w:sz w:val="26"/>
        </w:rPr>
        <w:t>A. Sự trỗi dậy của các nhà đầu tư tổ chức</w:t>
      </w:r>
    </w:p>
    <w:p>
      <w:pPr>
        <w:spacing w:after="80"/>
      </w:pPr>
      <w:r>
        <w:rPr>
          <w:b w:val="0"/>
          <w:i w:val="0"/>
        </w:rPr>
        <w:t>Berle và Means đã nhận diện sự tách biệt giữa quyền sở hữu và ban quản lý. Tuy nhiên, vào thời điểm tác phẩm mang tính khai phá của họ ra đời, cơ cấu sở hữu của hầu hết công ty đại chúng vẫn do các cá nhân chi phối. Trong những năm kể từ khi tác phẩm được xuất bản, cơ cấu đó đã thay đổi.</w:t>
      </w:r>
    </w:p>
    <w:p>
      <w:pPr>
        <w:pStyle w:val="Heading4"/>
      </w:pPr>
      <w:r>
        <w:rPr>
          <w:rFonts w:ascii="Calibri" w:hAnsi="Calibri"/>
          <w:b/>
          <w:i w:val="0"/>
          <w:sz w:val="23"/>
        </w:rPr>
        <w:t>Iman Anabtawi &amp; Lynn Stout,</w:t>
      </w:r>
      <w:r>
        <w:br/>
      </w:r>
      <w:r>
        <w:rPr>
          <w:rFonts w:ascii="Calibri" w:hAnsi="Calibri"/>
          <w:b/>
          <w:i w:val="0"/>
          <w:sz w:val="23"/>
        </w:rPr>
        <w:t xml:space="preserve"> </w:t>
      </w:r>
      <w:r>
        <w:rPr>
          <w:rFonts w:ascii="Calibri" w:hAnsi="Calibri"/>
          <w:b/>
          <w:i/>
          <w:sz w:val="23"/>
        </w:rPr>
        <w:t>Fiduciary Duties for Activist Shareholders</w:t>
      </w:r>
    </w:p>
    <w:p>
      <w:pPr>
        <w:spacing w:after="80"/>
      </w:pPr>
      <w:r>
        <w:rPr>
          <w:b w:val="0"/>
          <w:i w:val="0"/>
        </w:rPr>
        <w:t>60 Stan. L. Rev. 1255, 1274–76 (2008)</w:t>
      </w:r>
    </w:p>
    <w:p>
      <w:pPr>
        <w:spacing w:after="80"/>
      </w:pPr>
      <w:r>
        <w:rPr>
          <w:b w:val="0"/>
          <w:i w:val="0"/>
        </w:rPr>
        <w:t>Khi Berle và Means viết về tình trạng bất lực của cổ đông vào năm 1932, phần lớn cổ đông là cá nhân. Tình hình này đã thay đổi một cách mạnh mẽ với sự trỗi dậy của "nhà đầu tư tổ chức" (institutional investor). Các nhà đầu tư tổ chức—thường là quỹ hưu trí và quỹ tương hỗ—gom tiền tiết kiệm của hàng triệu cá nhân thành những danh mục đầu tư khổng lồ để mua cổ phiếu của các công ty đại chúng. Kết quả là, các nhà đầu tư tổ chức có thể nắm giữ vị thế lớn hơn nhiều trong một công ty cụ thể so với điều mà hầu hết nhà đầu tư cá nhân từng có thể làm.</w:t>
      </w:r>
    </w:p>
    <w:p>
      <w:pPr>
        <w:spacing w:after="80"/>
      </w:pPr>
      <w:r>
        <w:rPr>
          <w:b w:val="0"/>
          <w:i w:val="0"/>
        </w:rPr>
        <w:t>Theo thời gian, các tổ chức đã chiếm tỷ trọng ngày càng lớn trong toàn bộ thị trường cổ phần đại chúng, từ 8% số cổ phần đang lưu hành vào năm 1950 lên gần hai phần ba ngày nay. Xu hướng này được công nhận rộng rãi là làm lung lay tính hiện thực của giả định rằng cổ đông trong các công ty đại chúng vốn phân tán và bất lực. Như Giáo sư Bernard Black đã viết trong bài báo có ảnh hưởng lớn năm 1990 của ông, Shareholder Passivity Reexamined: "Các vấn đề hành động tập thể, tuy quan trọng, có vẻ vẫn có thể xử lý được đối với các tổ chức lớn—những cổ đông thống trị ngày nay." "Mô hình công ty đại chúng được sở hữu bởi hàng nghìn cổ đông ẩn danh đơn giản là không đúng. Chỉ có một số lượng hữu hạn cổ đông lớn, và họ biết nhau."</w:t>
      </w:r>
    </w:p>
    <w:p>
      <w:pPr>
        <w:spacing w:after="80"/>
      </w:pPr>
      <w:r>
        <w:rPr>
          <w:b w:val="0"/>
          <w:i w:val="0"/>
        </w:rPr>
        <w:t>Các nhà đầu tư tổ chức có vị thế thuận lợi hơn nhiều để đóng vai trò hoạt động tích cực trong quản trị công ty so với các nhà đầu tư cá nhân phân tán. Dù nhiều quỹ hưu trí và quỹ tương hỗ dựa vào các chiến lược chọn cổ phiếu tương đối thụ động, đặc biệt khi họ nắm giữ danh mục đầu tư đa dạng hóa cao, một số nhà đầu tư tổ chức nổi bật—bao gồm cả các quỹ tương hỗ như Fidelity và Vanguard lẫn các quỹ hưu trí như CalPERS—đã nổi lên như những nhà đầu tư hoạt động tích cực, sẵn sàng phát động các chiến dịch quan hệ công chúng, khởi kiện và mở các cuộc chiến ủy quyền để gây sức ép buộc các cán bộ điều hành và giám đốc công ty phải theo chiến lược kinh doanh mà họ ưa thích.</w:t>
      </w:r>
    </w:p>
    <w:p>
      <w:pPr>
        <w:pStyle w:val="Heading5"/>
      </w:pPr>
      <w:r>
        <w:rPr>
          <w:rFonts w:ascii="Calibri" w:hAnsi="Calibri"/>
          <w:b/>
          <w:i/>
          <w:sz w:val="22"/>
        </w:rPr>
        <w:t>Bình luận và Câu hỏi</w:t>
      </w:r>
    </w:p>
    <w:p>
      <w:pPr>
        <w:spacing w:after="80"/>
      </w:pPr>
      <w:r>
        <w:rPr>
          <w:b w:val="0"/>
          <w:i w:val="0"/>
        </w:rPr>
        <w:t>1. Berle và Means được ghi nhận là những người đã nhận diện sự tách biệt giữa ban quản lý và quyền sở hữu trong các công ty đại chúng. Điều đó nghĩa là gì? Một số vấn đề nảy sinh do sự tách biệt này là gì? Nhu cầu về một cơ chế nào đó nhằm bảo đảm các giám đốc hành động vì lợi ích tốt nhất của cổ đông thường được gọi là "chi phí đại diện" (agency costs).</w:t>
      </w:r>
    </w:p>
    <w:p>
      <w:pPr>
        <w:spacing w:after="80"/>
      </w:pPr>
      <w:r>
        <w:rPr>
          <w:b w:val="0"/>
          <w:i w:val="0"/>
        </w:rPr>
        <w:t>2. Chịu ảnh hưởng của phân tích này, Quốc hội trong các luật về chứng khoán đã tìm cách trao quyền cho cổ đông thông qua việc sử dụng công bố thông tin. Lịch sử lập pháp của các quy định về ủy quyền (proxy) đã nêu rõ mục tiêu "quyền bầu cử công ty công bằng" (fair corporate suffrage). Đây có phải là một giải pháp hiệu quả cho những vấn đề mà Berle và Means đặt ra không?</w:t>
      </w:r>
    </w:p>
    <w:p>
      <w:pPr>
        <w:spacing w:after="80"/>
      </w:pPr>
      <w:r>
        <w:rPr>
          <w:b w:val="0"/>
          <w:i w:val="0"/>
        </w:rPr>
        <w:t xml:space="preserve">3. Theo một nhà bình luận, các học giả trong thời kỳ hậu Berle và Means "đã tìm kiếm phiên bản doanh nghiệp của Chén Thánh: một cơ chế để bắc cầu qua sự tách biệt bằng cách buộc các nhà quản lý không phải chủ sở hữu phải chịu trách nhiệm về hiệu quả hoạt động của họ." Elizabeth Cosenza, </w:t>
      </w:r>
      <w:r>
        <w:rPr>
          <w:b w:val="0"/>
          <w:i/>
        </w:rPr>
        <w:t>The Holy Grail of Corporate Governance Reform: Independence or Democracy?</w:t>
      </w:r>
      <w:r>
        <w:rPr>
          <w:b w:val="0"/>
          <w:i w:val="0"/>
        </w:rPr>
        <w:t xml:space="preserve"> , 2007 BYU L. Rev. 1, 53. Một số ví dụ về những "Chén Thánh" này là gì và chúng có hiệu quả không?</w:t>
      </w:r>
    </w:p>
    <w:p>
      <w:pPr>
        <w:spacing w:after="80"/>
      </w:pPr>
      <w:r>
        <w:rPr>
          <w:b w:val="0"/>
          <w:i w:val="0"/>
        </w:rPr>
        <w:t xml:space="preserve">4. Xu hướng thể chế hóa ngày càng tăng của thị trường đặc biệt rõ rệt đối với các công ty đại chúng lớn hơn. </w:t>
      </w:r>
      <w:r>
        <w:rPr>
          <w:b w:val="0"/>
          <w:i/>
        </w:rPr>
        <w:t>Xem</w:t>
      </w:r>
      <w:r>
        <w:rPr>
          <w:b w:val="0"/>
          <w:i w:val="0"/>
        </w:rPr>
        <w:t xml:space="preserve"> Carolyn Kay Brancato &amp; Stephan Rabimov, Conference BD., </w:t>
      </w:r>
      <w:r>
        <w:rPr>
          <w:b w:val="0"/>
          <w:i/>
        </w:rPr>
        <w:t>The 2008 Institutional Investment Report: Trends in Institutional Investor Assets and Equity Ownership of U.S. Corporations</w:t>
      </w:r>
      <w:r>
        <w:rPr>
          <w:b w:val="0"/>
          <w:i w:val="0"/>
        </w:rPr>
        <w:t xml:space="preserve"> 27 (2008) (lưu ý rằng các nhà đầu tư tổ chức sở hữu gần 77% cổ phần của 1000 công ty lớn nhất). Điều đó có giải quyết được những vấn đề do sự tách biệt giữa quản lý và sở hữu đặt ra không?</w:t>
      </w:r>
    </w:p>
    <w:p>
      <w:pPr>
        <w:spacing w:after="80"/>
      </w:pPr>
      <w:r>
        <w:rPr>
          <w:b w:val="0"/>
          <w:i w:val="0"/>
        </w:rPr>
        <w:t xml:space="preserve">5. Theo nhiều cách, quyền sở hữu rộng rãi các công ty đại chúng ở Hoa Kỳ là duy nhất. </w:t>
      </w:r>
      <w:r>
        <w:rPr>
          <w:b w:val="0"/>
          <w:i/>
        </w:rPr>
        <w:t>Xem tổng quát</w:t>
      </w:r>
      <w:r>
        <w:rPr>
          <w:b w:val="0"/>
          <w:i w:val="0"/>
        </w:rPr>
        <w:t xml:space="preserve"> John C. Coffee, Jr., </w:t>
      </w:r>
      <w:r>
        <w:rPr>
          <w:b w:val="0"/>
          <w:i/>
        </w:rPr>
        <w:t>The Future as History: The Prospects for Global Convergence in Corporate Governance and Its Implications</w:t>
      </w:r>
      <w:r>
        <w:rPr>
          <w:b w:val="0"/>
          <w:i w:val="0"/>
        </w:rPr>
        <w:t xml:space="preserve"> , 93 Nw. U. L. Rev. 641 (1999) (lưu ý rằng "bằng chứng thực nghiệm đương đại cho thấy rằng, ngay cả ở cấp độ các công ty lớn nhất, quyền sở hữu cổ phần phân tán... phần lớn chỉ giới hạn ở Hoa Kỳ và Anh Quốc..."). Mô hình phổ biến hơn là các công ty đại chúng có một cổ đông kiểm soát, thường là một gia đình. Điều này tạo ra sự khác biệt gì đối với việc giám sát cổ đông?</w:t>
      </w:r>
    </w:p>
    <w:p>
      <w:pPr>
        <w:spacing w:after="80"/>
      </w:pPr>
      <w:r>
        <w:rPr>
          <w:b w:val="0"/>
          <w:i w:val="0"/>
        </w:rPr>
        <w:t>6. Giáo sư Roe lưu ý rằng vấn đề với việc giám sát ban quản lý không phải là sự tách biệt giữa sở hữu và quản lý mà là "sự nguyên tử hóa" (atomization). Như ông viết:</w:t>
      </w:r>
    </w:p>
    <w:p>
      <w:pPr>
        <w:spacing w:after="80"/>
      </w:pPr>
      <w:r>
        <w:rPr>
          <w:b w:val="0"/>
          <w:i w:val="0"/>
        </w:rPr>
        <w:t>Hầu hết các công ty đại chúng được nắm giữ bởi hàng nghìn cổ đông, mỗi người chỉ có một phần vốn nhỏ. Kết quả là, một cổ đông tích cực không thể thu được toàn bộ lợi ích từ việc giám sát các nhà quản lý. Chi phí giám sát do cổ đông tham gia gánh chịu, người nghiên cứu doanh nghiệp, hoặc ngồi trong hội đồng quản trị và do đó chịu rủi ro về trách nhiệm pháp lý gia tăng. Nhưng vì lợi ích từ giám sát sẽ được chia đều cho tất cả cổ đông, hầu hết các cổ đông phân tán đều lý trí mà từ bỏ việc tham gia.</w:t>
      </w:r>
    </w:p>
    <w:p>
      <w:pPr>
        <w:spacing w:after="80"/>
      </w:pPr>
      <w:r>
        <w:rPr>
          <w:b w:val="0"/>
          <w:i w:val="0"/>
        </w:rPr>
        <w:t xml:space="preserve">Mark J. Roe, </w:t>
      </w:r>
      <w:r>
        <w:rPr>
          <w:b w:val="0"/>
          <w:i/>
        </w:rPr>
        <w:t>A Political Theory of American Corporate Finance</w:t>
      </w:r>
      <w:r>
        <w:rPr>
          <w:b w:val="0"/>
          <w:i w:val="0"/>
        </w:rPr>
        <w:t xml:space="preserve"> , 91 Colum. L. Rev. 10, 12 (1991). Bạn có đồng ý với điều này không? Trong phạm vi điều đó đúng, thì cần phải xảy ra điều gì trên thị trường chứng khoán để giảm bớt động lực này?</w:t>
      </w:r>
    </w:p>
    <w:p>
      <w:pPr>
        <w:spacing w:after="80"/>
      </w:pPr>
      <w:r>
        <w:rPr>
          <w:b w:val="0"/>
          <w:i w:val="0"/>
        </w:rPr>
        <w:t>7. Có lẽ một ví dụ về những vấn đề mà Giáo sư Roe nhấn mạnh có thể thấy được qua cấu trúc sở hữu của ExxonMobil. Theo Báo cáo Thường niên trên Mẫu 10-K nộp vào tháng 2 năm 2014, Công ty có 4,194,690,266 cổ phiếu đang lưu hành tính đến ngày 31 tháng 1 năm 2015. Cùng báo cáo đó tiết lộ rằng tính đến cùng ngày, ExxonMobil có 432,983 chủ sở hữu cổ phần phổ thông đã đăng ký (mà có lẽ không bao gồm các chủ sở hữu hưởng lợi). Công ty có một cổ đông nắm 5% (gia đình quỹ tương hỗ Vanguard, với 6.0%), với ba cổ đông tiếp theo nắm 4.26%, 2.63% và 1.52%. Cấu trúc này tạo ra những loại vấn đề gì cho mục đích hành động của cổ đông?</w:t>
      </w:r>
    </w:p>
    <w:p>
      <w:pPr>
        <w:pStyle w:val="Heading3"/>
      </w:pPr>
      <w:r>
        <w:rPr>
          <w:rFonts w:ascii="Calibri" w:hAnsi="Calibri"/>
          <w:b/>
          <w:i w:val="0"/>
          <w:sz w:val="26"/>
        </w:rPr>
        <w:t>B. Các loại nhà đầu tư tổ chức</w:t>
      </w:r>
    </w:p>
    <w:p>
      <w:pPr>
        <w:spacing w:after="80"/>
      </w:pPr>
      <w:r>
        <w:rPr>
          <w:b w:val="0"/>
          <w:i w:val="0"/>
        </w:rPr>
        <w:t xml:space="preserve">Khi thị trường vốn cổ phần ngày càng mang tính thể chế, các loại tổ chức cũng phát triển. Các công ty bảo hiểm và ngân hàng (thông qua các phòng tín thác của họ), cả hai đều có "mối quan hệ chặt chẽ với ban quản lý," </w:t>
      </w:r>
      <w:r>
        <w:rPr>
          <w:b w:val="0"/>
          <w:i/>
        </w:rPr>
        <w:t>xem</w:t>
      </w:r>
      <w:r>
        <w:rPr>
          <w:b w:val="0"/>
          <w:i w:val="0"/>
        </w:rPr>
        <w:t xml:space="preserve"> Robert C. Illig, </w:t>
      </w:r>
      <w:r>
        <w:rPr>
          <w:b w:val="0"/>
          <w:i/>
        </w:rPr>
        <w:t>What Hedge Funds Can Teach Corporate America: A Roadmap for Achieving Institutional Investor Oversight</w:t>
      </w:r>
      <w:r>
        <w:rPr>
          <w:b w:val="0"/>
          <w:i w:val="0"/>
        </w:rPr>
        <w:t xml:space="preserve"> , 57 Am. U. L. Rev. 225, 249 (2007), đã nhường chỗ cho các quỹ tương hỗ, quỹ hưu trí và quỹ đầu cơ với tư cách là những nhà đầu tư tổ chức lớn nhất.</w:t>
      </w:r>
    </w:p>
    <w:p>
      <w:pPr>
        <w:spacing w:after="80"/>
      </w:pPr>
      <w:r>
        <w:rPr>
          <w:b w:val="0"/>
          <w:i w:val="0"/>
        </w:rPr>
        <w:t>Không phải tất cả các nhà đầu tư tổ chức đều có cùng mục tiêu hoặc cách tiếp cận đối với quản trị công ty. Như một báo cáo đã mô tả:</w:t>
      </w:r>
    </w:p>
    <w:p>
      <w:pPr>
        <w:spacing w:after="80"/>
      </w:pPr>
      <w:r>
        <w:rPr>
          <w:b w:val="0"/>
          <w:i w:val="0"/>
        </w:rPr>
        <w:t>Ngoài sự khác biệt về thời gian nắm giữ nói chung và chiến lược đầu tư, các nhà đầu tư tổ chức có thể khác nhau ở một số cách quan trọng khác, chẳng hạn như mức độ quy định của chính phủ mà họ phải tuân theo, mức độ quan tâm của họ đối với quản trị công ty của các công ty trong danh mục đầu tư, mức độ mà các yếu tố chính sách chính trị hoặc xã hội có thể ảnh hưởng đến việc ra quyết định hoặc quyết định biểu quyết của họ, và mức độ hoạt động tích cực của họ (cả dựa trên kiện tụng và không dựa trên kiện tụng).</w:t>
      </w:r>
    </w:p>
    <w:p>
      <w:pPr>
        <w:spacing w:after="80"/>
      </w:pPr>
      <w:r>
        <w:rPr>
          <w:b w:val="0"/>
          <w:i w:val="0"/>
        </w:rPr>
        <w:t>Báo cáo của Ủy ban Quản trị Công ty thuộc Sở Giao dịch Chứng khoán New York, tại 13 (ngày 23 tháng 9 năm 2010). Những khác biệt này có thể dẫn đến những cách tiếp cận quản trị rất khác nhau.</w:t>
      </w:r>
    </w:p>
    <w:p>
      <w:pPr>
        <w:pStyle w:val="Heading4"/>
      </w:pPr>
      <w:r>
        <w:rPr>
          <w:rFonts w:ascii="Calibri" w:hAnsi="Calibri"/>
          <w:b/>
          <w:i w:val="0"/>
          <w:sz w:val="23"/>
        </w:rPr>
        <w:t xml:space="preserve">K. A. D. Camara, </w:t>
      </w:r>
      <w:r>
        <w:rPr>
          <w:rFonts w:ascii="Calibri" w:hAnsi="Calibri"/>
          <w:b/>
          <w:i/>
          <w:sz w:val="23"/>
        </w:rPr>
        <w:t>Classifying Institutional Investors</w:t>
      </w:r>
    </w:p>
    <w:p>
      <w:pPr>
        <w:spacing w:after="80"/>
      </w:pPr>
      <w:r>
        <w:rPr>
          <w:b w:val="0"/>
          <w:i w:val="0"/>
        </w:rPr>
        <w:t>30 J. Corp. L. 219, 235, 239–41 (2005)</w:t>
      </w:r>
    </w:p>
    <w:p>
      <w:pPr>
        <w:spacing w:after="80"/>
      </w:pPr>
      <w:r>
        <w:rPr>
          <w:b w:val="0"/>
          <w:i w:val="0"/>
        </w:rPr>
        <w:t>Các quỹ hưu trí công là những nguồn vốn được nhà nước thu gom và đầu tư thay mặt cho nhân viên nhà nước. Cấu trúc quỹ hưu trí công cung cấp sự cách ly khỏi các thế lực chính trị vốn ưu ái những thứ khác ngoài việc tối đa hóa tài sản cổ đông nhiều hơn so với quyền sở hữu trực tiếp của nhà nước. Các cấu trúc quỹ khác nhau cung cấp các mức độ cách ly khác nhau. Một hội đồng kiểm soát được bầu trực tiếp nhạy cảm hơn với các thế lực chính trị so với một người kiểm soát được bổ nhiệm cho một nhiệm kỳ dài, không thể gia hạn và chỉ có thể bị miễn nhiệm vì lý do chính đáng được chứng minh cẩn thận. Sự đánh đổi là giữa việc cách ly khỏi các thế lực chính trị và trách nhiệm giải trình (bao gồm trách nhiệm giải trình về việc tối đa hóa tài sản cổ đông) đối với cử tri hoặc những người thụ hưởng quỹ khác.</w:t>
      </w:r>
    </w:p>
    <w:p>
      <w:pPr>
        <w:spacing w:after="80"/>
      </w:pPr>
      <w:r>
        <w:rPr>
          <w:b w:val="0"/>
          <w:i w:val="0"/>
        </w:rPr>
        <w:t>Mặc dù các quỹ hưu trí công thường theo đuổi các chương trình nghị sự không nhằm tối đa hóa tài sản của cổ đông ít thường xuyên hơn so với việc các bang đầu tư trực tiếp có thể sẽ làm, chúng vẫn nằm trong số những đơn vị dẫn đầu trong hoạt động vận động quản trị doanh nghiệp. Hoạt động vận động này bao gồm nhưng không giới hạn ở những vấn đề được nhiều người cho là chủ yếu liên quan đến cổ đông: các hội đồng quản trị luân phiên hiệu quả, thuốc độc (poison pills), và các công cụ khác trong tài liệu về thị trường kiểm soát doanh nghiệp. Các quỹ hưu trí công thường đi đầu trong các vấn đề trách nhiệm xã hội như bảo vệ môi trường, quyền của người lao động, và nhân quyền tại các chế độ nước ngoài. Mặc dù cấu trúc quỹ hưu trí công có thể làm giảm bớt áp lực chính trị, nó không loại bỏ hoàn toàn những áp lực đó.</w:t>
      </w:r>
    </w:p>
    <w:p>
      <w:pPr>
        <w:spacing w:after="80"/>
      </w:pPr>
      <w:r>
        <w:rPr>
          <w:b w:val="0"/>
          <w:i w:val="0"/>
        </w:rPr>
        <w:t>* * *</w:t>
      </w:r>
    </w:p>
    <w:p>
      <w:pPr>
        <w:spacing w:after="80"/>
      </w:pPr>
      <w:r>
        <w:rPr>
          <w:b w:val="0"/>
          <w:i w:val="0"/>
        </w:rPr>
        <w:t>Quỹ hưu trí tư nhân là những quỹ gắn liền với các tổ chức tư nhân, chủ yếu là công đoàn và tập đoàn. Quỹ hưu trí công đoàn gom vốn từ các thành viên công đoàn để đầu tư, trong khi quỹ hưu trí tập đoàn gom vốn từ nhân viên. Vốn gom chung được đầu tư trực tiếp hoặc thông qua một quỹ tương hỗ (mutual fund) hay một cố vấn đầu tư có tham gia khác. Quyền biểu quyết được thực hiện bởi cố vấn đầu tư, các quan chức quỹ, hoặc ban lãnh đạo của tổ chức bảo trợ. Đạo luật Bảo đảm Thu nhập Hưu trí cho Người lao động (Employee Retirement Income Security Act - ERISA) yêu cầu rằng các lá phiếu phải được bỏ và quyền biểu quyết phải được sử dụng để mang lại lợi ích cho người thụ hưởng kế hoạch, chứ không phải cho tổ chức bảo trợ. Ví dụ, việc một quỹ hưu trí tập đoàn cố ý bỏ phiếu cho một hành động được thiết kế để bảo vệ các đặc quyền của ban quản lý bằng cách hy sinh giá trị cổ đông là vi phạm ERISA. Nhưng vì hầu như mọi lá phiếu đều có thể được biện hộ một cách hợp lý, tác động của ERISA chủ yếu nằm ở việc định hình các chuẩn mực quản lý, buộc phải có một lớp vỏ điều tra, và ngăn chặn những hành vi thái quá tồi tệ nhất bằng mối đe dọa về trách nhiệm pháp lý. Ở điểm này, nó không khác mấy so với nghĩa vụ cẩn trọng (duty of care) trong luật doanh nghiệp thuần túy.</w:t>
      </w:r>
    </w:p>
    <w:p>
      <w:pPr>
        <w:spacing w:after="80"/>
      </w:pPr>
      <w:r>
        <w:rPr>
          <w:b w:val="0"/>
          <w:i w:val="0"/>
        </w:rPr>
        <w:t>Các quỹ hưu trí công đoàn, vốn nằm trong số những người ủng hộ lớn nhất cho các đề xuất gần đây nhằm tăng quyền lực cổ đông, không chỉ quan tâm đến việc tối đa hóa giá trị cổ đông, mà còn quan tâm đến các hợp đồng lao động và điều kiện làm việc dành cho nhân viên là thành viên. Ví dụ, các quỹ hưu trí công đoàn có thể nhìn nhận một cách thuận lợi một hành động của doanh nghiệp, chẳng hạn như một gói phúc lợi nhân viên lớn hơn, làm giảm tài sản của cổ đông nhưng lại tăng tài sản của nhân viên (một sự chiếm đoạt vốn vì lợi ích của lao động). Dưới một chế độ pháp lý mà trong đó các quỹ hưu trí công đoàn, phối hợp với các tổ chức khác, có thể ra lệnh cho những hành động như vậy, những khó khăn trong việc lập hợp đồng có thể khiến chúng không thể bị ngăn chặn ngay cả khi hành động đó làm giảm tổng tài sản sẵn có để phân phối. Ngay cả khi những khó khăn trong lập hợp đồng này có thể được khắc phục, việc trao một quyền lực như vậy là để thực hiện một sự phân phối cho nhân viên, chứ không phải để tạo ra một cơ chế kiểm soát mới nhằm tối đa hóa tài sản cổ đông. Chúng ta có thể coi nó như một sự tăng lương bắt buộc, áp dụng đồng loạt.</w:t>
      </w:r>
    </w:p>
    <w:p>
      <w:pPr>
        <w:spacing w:after="80"/>
      </w:pPr>
      <w:r>
        <w:rPr>
          <w:b w:val="0"/>
          <w:i w:val="0"/>
        </w:rPr>
        <w:t>Các quỹ hưu trí tập đoàn không chỉ quan tâm đến việc tối đa hóa giá trị cổ đông, mà còn quan tâm đến tất cả những điều mà ban lãnh đạo tập đoàn quan tâm. Ví dụ, các quỹ hưu trí tập đoàn có thể được kỳ vọng là thích sự cách ly của ban quản lý khỏi thị trường kiểm soát doanh nghiệp, các gói thù lao ban quản lý lớn, các thương vụ mua lại tốn kém mà sau đó các nhà quản lý sẽ nắm quyền kiểm soát, v.v. Sự đồng cảm, thấu hiểu, và bỏ phiếu có đi có lại khuyến khích mối quan tâm này khi số cổ phần mà một quỹ hưu trí tập đoàn bỏ phiếu là của một tập đoàn không liên quan. Ban lãnh đạo cấp cao cảm thấy đủ sự kết nối và có đủ hy vọng về sự đáp lại để trông chừng các thành viên khác trong nhóm.</w:t>
      </w:r>
    </w:p>
    <w:p>
      <w:pPr>
        <w:pStyle w:val="Heading5"/>
      </w:pPr>
      <w:r>
        <w:rPr>
          <w:rFonts w:ascii="Calibri" w:hAnsi="Calibri"/>
          <w:b/>
          <w:i/>
          <w:sz w:val="22"/>
        </w:rPr>
        <w:t>Bình luận và Câu hỏi</w:t>
      </w:r>
    </w:p>
    <w:p>
      <w:pPr>
        <w:spacing w:after="80"/>
      </w:pPr>
      <w:r>
        <w:rPr>
          <w:b w:val="0"/>
          <w:i w:val="0"/>
        </w:rPr>
        <w:t>1. Các chính sách quản trị của những loại kế hoạch hưu trí khác nhau có thể khác nhau như thế nào? Liệu chúng có bị ràng buộc theo bất kỳ cách nào có ý nghĩa bởi nghĩa vụ pháp lý phải quản lý tài sản vì lợi ích của người thụ hưởng không?</w:t>
      </w:r>
    </w:p>
    <w:p>
      <w:pPr>
        <w:spacing w:after="80"/>
      </w:pPr>
      <w:r>
        <w:rPr>
          <w:b w:val="0"/>
          <w:i w:val="0"/>
        </w:rPr>
        <w:t xml:space="preserve">2. Có lẽ quỹ hưu trí công năng động nhất là Hệ thống Hưu trí cho Nhân viên Công của California (California Public Employees' Retirement System - CalPERS). Để biết lịch sử về vai trò của CalPERS trong phong trào quản trị doanh nghiệp, xem Sanford M. Jacoby, </w:t>
      </w:r>
      <w:r>
        <w:rPr>
          <w:b w:val="0"/>
          <w:i/>
        </w:rPr>
        <w:t>Convergence by Design: The Case of CalPERS in Japan</w:t>
      </w:r>
      <w:r>
        <w:rPr>
          <w:b w:val="0"/>
          <w:i w:val="0"/>
        </w:rPr>
        <w:t xml:space="preserve"> , 55 Am. J. Comp. L. 239 (2007).</w:t>
      </w:r>
    </w:p>
    <w:p>
      <w:pPr>
        <w:spacing w:after="80"/>
      </w:pPr>
      <w:r>
        <w:rPr>
          <w:b w:val="0"/>
          <w:i w:val="0"/>
        </w:rPr>
        <w:t>3. Các hội đồng quản trị của các kế hoạch hưu trí công đôi khi được bổ nhiệm toàn bộ hoặc một phần bởi các chính trị gia. Điều này có thể có tác động gì đến sự tham gia của các kế hoạch hưu trí công vào quá trình quản trị doanh nghiệp?</w:t>
      </w:r>
    </w:p>
    <w:p>
      <w:pPr>
        <w:spacing w:after="80"/>
      </w:pPr>
      <w:r>
        <w:rPr>
          <w:b w:val="0"/>
          <w:i w:val="0"/>
        </w:rPr>
        <w:t xml:space="preserve">4. Thường được thiết lập như các quỹ tín thác (trust), các kế hoạch hưu trí nói chung chịu sự điều chỉnh của ERISA và dưới sự giám sát của Bộ Lao động. Theo Mục 404(a) (1) (A) của ERISA, những người được ủy thác của kế hoạch được yêu cầu hành động vì lợi ích tốt nhất của người thụ hưởng. Các quy định của DoL cho phép người được ủy thác giao quyền biểu quyết cho một nhà quản lý đầu tư. </w:t>
      </w:r>
      <w:r>
        <w:rPr>
          <w:b w:val="0"/>
          <w:i/>
        </w:rPr>
        <w:t>Xem</w:t>
      </w:r>
      <w:r>
        <w:rPr>
          <w:b w:val="0"/>
          <w:i w:val="0"/>
        </w:rPr>
        <w:t xml:space="preserve"> 29 C.F.R. 2509.08-2(1).</w:t>
      </w:r>
    </w:p>
    <w:p>
      <w:pPr>
        <w:spacing w:after="80"/>
      </w:pPr>
      <w:r>
        <w:rPr>
          <w:b w:val="0"/>
          <w:i w:val="0"/>
        </w:rPr>
        <w:t>5. DoL đã ban hành các quy định quy định rằng “hành vi ủy thác quản lý tài sản của kế hoạch là cổ phiếu của công ty bao gồm việc bỏ phiếu đại diện gắn liền với những cổ phiếu đó.” 29 C.F.R. § 2509.08-2. Tuy nhiên, các quy tắc quy định rằng “người được ủy thác có trách nhiệm chỉ xem xét những yếu tố liên quan đến giá trị kinh tế của khoản đầu tư của kế hoạch và không được đặt lợi ích của người tham gia và người thụ hưởng trong thu nhập hưu trí của họ xuống dưới các mục tiêu không liên quan.” Một số người đã khẳng định rằng những nghĩa vụ này phải ngăn chặn hoạt động vận động cổ đông. Bạn nghĩ sao?</w:t>
      </w:r>
    </w:p>
    <w:p>
      <w:pPr>
        <w:spacing w:after="80"/>
      </w:pPr>
      <w:r>
        <w:rPr>
          <w:b w:val="0"/>
          <w:i w:val="0"/>
        </w:rPr>
        <w:t xml:space="preserve">6. Một số người đã đặt câu hỏi liệu các kế hoạch hưu trí có luôn hành động vì lợi ích tốt nhất của người thụ hưởng không. </w:t>
      </w:r>
      <w:r>
        <w:rPr>
          <w:b w:val="0"/>
          <w:i/>
        </w:rPr>
        <w:t>Xem</w:t>
      </w:r>
      <w:r>
        <w:rPr>
          <w:b w:val="0"/>
          <w:i w:val="0"/>
        </w:rPr>
        <w:t xml:space="preserve"> Leo E. Strine, Jr., </w:t>
      </w:r>
      <w:r>
        <w:rPr>
          <w:b w:val="0"/>
          <w:i/>
        </w:rPr>
        <w:t>Toward a True Corporate Republic: A Traditionalist Response to Bebchuk's Solution for Improving Corporate America</w:t>
      </w:r>
      <w:r>
        <w:rPr>
          <w:b w:val="0"/>
          <w:i w:val="0"/>
        </w:rPr>
        <w:t xml:space="preserve"> , 119 Harv. L. Rev. 1759, 1765 (2006) (“Những tổ chức có xu hướng trở thành nhà đầu tư hoạt động nhất đều gắn liền với chính quyền các bang và công đoàn lao động, và thường có vẻ bị thúc đẩy bởi những mối quan tâm khác ngoài mong muốn nâng cao hiệu quả kinh tế của các công ty mà họ đầu tư.”). Bạn có đồng ý không?</w:t>
      </w:r>
    </w:p>
    <w:p>
      <w:pPr>
        <w:spacing w:after="80"/>
      </w:pPr>
      <w:r>
        <w:rPr>
          <w:b w:val="0"/>
          <w:i w:val="0"/>
        </w:rPr>
        <w:t>—————</w:t>
      </w:r>
    </w:p>
    <w:p>
      <w:pPr>
        <w:spacing w:after="80"/>
      </w:pPr>
      <w:r>
        <w:rPr>
          <w:b w:val="0"/>
          <w:i w:val="0"/>
        </w:rPr>
        <w:t>Các kế hoạch hưu trí thường được quản lý bởi các cố vấn đầu tư. Các cố vấn, ngoài việc lựa chọn các khoản đầu tư, cũng có thể có quyền tùy ý bỏ phiếu cho các cổ phần trong danh mục đầu tư. Điều này có khả năng dẫn đến xung đột lợi ích.</w:t>
      </w:r>
    </w:p>
    <w:p>
      <w:pPr>
        <w:pStyle w:val="Heading4"/>
      </w:pPr>
      <w:r>
        <w:rPr>
          <w:rFonts w:ascii="Calibri" w:hAnsi="Calibri"/>
          <w:b/>
          <w:i w:val="0"/>
          <w:sz w:val="23"/>
        </w:rPr>
        <w:t>In re INTECH Investment Management LLC</w:t>
      </w:r>
    </w:p>
    <w:p>
      <w:pPr>
        <w:spacing w:after="80"/>
      </w:pPr>
      <w:r>
        <w:rPr>
          <w:b w:val="0"/>
          <w:i w:val="0"/>
        </w:rPr>
        <w:t>Investment Advisors Act Release No. 2872 (admin. proc. May 7, 2009)</w:t>
      </w:r>
    </w:p>
    <w:p>
      <w:pPr>
        <w:spacing w:after="80"/>
      </w:pPr>
      <w:r>
        <w:rPr>
          <w:b w:val="0"/>
          <w:i w:val="0"/>
        </w:rPr>
        <w:t>Tóm tắt</w:t>
      </w:r>
    </w:p>
    <w:p>
      <w:pPr>
        <w:spacing w:after="80"/>
      </w:pPr>
      <w:r>
        <w:rPr>
          <w:b w:val="0"/>
          <w:i w:val="0"/>
        </w:rPr>
        <w:t>1. Vụ việc này liên quan đến một cố vấn đầu tư đã đăng ký, INTECH, từ ít nhất năm 2003 đến năm 2006 (“khoảng thời gian liên quan”), đã thực hiện quyền biểu quyết đối với chứng khoán của khách hàng mà không có các chính sách và thủ tục bằng văn bản được thiết kế hợp lý để đảm bảo rằng nó biểu quyết chứng khoán của khách hàng vì lợi ích tốt nhất của khách hàng, bởi vì các chính sách và thủ tục đó không bao gồm cách cố vấn sẽ giải quyết các xung đột lợi ích tiềm ẩn trọng yếu có thể phát sinh giữa lợi ích của nó và lợi ích của khách hàng. INTECH cũng không mô tả đầy đủ các chính sách và thủ tục biểu quyết theo ủy quyền của mình cho khách hàng. Khi quyết định cách biểu quyết chứng khoán (hoặc giấy ủy quyền) cho những khách hàng đã giao phó quyền biểu quyết đó cho INTECH, nó đã chọn hướng dẫn của một dịch vụ biểu quyết theo ủy quyền của bên thứ ba, tuân theo các khuyến nghị biểu quyết theo ủy quyền của AFL-CIO. Những hướng dẫn đó, do Institutional Shareholder Services (“ISS”) cung cấp, được gọi là ISS Proxy Voter Services (“ISS-PVS”). INTECH đã chọn tuân theo ISS-PVS vào thời điểm nó đang tham gia Khảo sát Phiếu bầu then chốt hàng năm của AFL-CIO, khảo sát này xếp hạng các cố vấn đầu tư dựa trên việc họ tuân thủ các khuyến nghị của AFL-CIO về một số phiếu bầu nhất định. INTECH tin rằng việc tuân theo Hướng dẫn ISS-PVS sẽ cải thiện thứ hạng của mình trong Khảo sát Phiếu bầu then chốt của AFL-CIO và rằng điểm số được cải thiện có thể sẽ hữu ích trong việc duy trì khách hàng hiện có và thu hút khách hàng mới có liên kết với công đoàn.</w:t>
      </w:r>
    </w:p>
    <w:p>
      <w:pPr>
        <w:spacing w:after="80"/>
      </w:pPr>
      <w:r>
        <w:rPr>
          <w:b w:val="0"/>
          <w:i w:val="0"/>
        </w:rPr>
        <w:t>2. Liên quan đến Quy tắc 206(4)-6 của Đạo luật Cố vấn Đầu tư khi đó mới có hiệu lực (gọi là “Quy tắc Biểu quyết theo Ủy quyền”), INTECH đã thông qua và thực hiện các chính sách và thủ tục biểu quyết theo ủy quyền bằng văn bản và cung cấp chúng cho khách hàng. Trái với Quy tắc Biểu quyết theo Ủy quyền, các chính sách và thủ tục bằng văn bản của INTECH không đề cập đến các xung đột tiềm ẩn trọng yếu có thể đã phát sinh giữa lợi ích của INTECH và lợi ích của những khách hàng không ủng hộ AFL-CIO. Hơn nữa, INTECH đã không mô tả đầy đủ cho khách hàng về các chính sách và thủ tục biểu quyết theo ủy quyền của mình. Việc sử dụng ISS-PVS đã tạo ra một xung đột lợi ích tiềm ẩn trọng yếu cho INTECH vì INTECH đã chọn một nền tảng biểu quyết dựa trên AFL-CIO cho tất cả khách hàng mà không giải quyết và mô tả tác động tiềm ẩn của nó đối với khả năng của INTECH trong việc giữ chân và giành được hoạt động kinh doanh từ các khách hàng hiện tại và tiềm năng có liên kết với công đoàn.</w:t>
      </w:r>
    </w:p>
    <w:p>
      <w:pPr>
        <w:spacing w:after="80"/>
      </w:pPr>
      <w:r>
        <w:rPr>
          <w:b w:val="0"/>
          <w:i w:val="0"/>
        </w:rPr>
        <w:t>Bị đơn</w:t>
      </w:r>
    </w:p>
    <w:p>
      <w:pPr>
        <w:spacing w:after="80"/>
      </w:pPr>
      <w:r>
        <w:rPr>
          <w:b w:val="0"/>
          <w:i w:val="0"/>
        </w:rPr>
        <w:t>3. INTECH, một công ty trách nhiệm hữu hạn Delaware có trụ sở tại West Palm Beach, Florida, đã được đăng ký với Ủy ban với tư cách là cố vấn đầu tư kể từ ngày 28 tháng 2 năm 2002. Tính đến ngày 30 tháng 9 năm 2008, INTECH có khoảng 400 khách hàng với hơn 55 tỷ đô la tài sản được quản lý. Kể từ năm 2002, INTECH đã thực hiện quyền biểu quyết đối với giấy ủy quyền của những khách hàng mà nó được giao phó quyền đó.</w:t>
      </w:r>
    </w:p>
    <w:p>
      <w:pPr>
        <w:spacing w:after="80"/>
      </w:pPr>
      <w:r>
        <w:rPr>
          <w:b w:val="0"/>
          <w:i w:val="0"/>
        </w:rPr>
        <w:t>* * *</w:t>
      </w:r>
    </w:p>
    <w:p>
      <w:pPr>
        <w:spacing w:after="80"/>
      </w:pPr>
      <w:r>
        <w:rPr>
          <w:b w:val="0"/>
          <w:i w:val="0"/>
        </w:rPr>
        <w:t>5. Trong khoảng thời gian liên quan, INTECH quản lý các danh mục đầu tư tổ chức cho các kế hoạch lương hưu, quỹ từ thiện, công đoàn (bao gồm những khách hàng được gọi là khách hàng “Taft-Hartley”), quỹ công và các tập đoàn công. (sau đây gọi chung là “khách hàng”). Hầu hết tài sản được các quỹ công và tập đoàn công đầu tư đều liên quan đến các kế hoạch lương hưu của nhân viên. Là một phần trong các dịch vụ cố vấn đầu tư của mình, INTECH đã thực hiện quyền biểu quyết đối với chứng khoán của nhiều khách hàng. Khi quyết định cách biểu quyết chứng khoán của khách hàng, INTECH đã chọn dựa vào các khuyến nghị của một dịch vụ biểu quyết theo ủy quyền của bên thứ ba có tên là Institutional Shareholder Services. ISS cung cấp nhiều bộ hoặc nền tảng khuyến nghị khác nhau.</w:t>
      </w:r>
    </w:p>
    <w:p>
      <w:pPr>
        <w:spacing w:after="80"/>
      </w:pPr>
      <w:r>
        <w:rPr>
          <w:b w:val="0"/>
          <w:i w:val="0"/>
        </w:rPr>
        <w:t>6. Trong năm 2002, INTECH đã chọn một trong các nền tảng của ISS được gọi là Hướng dẫn chung của ISS (“ISS-General”). Những hướng dẫn này thường khuyến nghị biểu quyết theo các khuyến nghị của ban lãnh đạo các tập đoàn.</w:t>
      </w:r>
    </w:p>
    <w:p>
      <w:pPr>
        <w:spacing w:after="80"/>
      </w:pPr>
      <w:r>
        <w:rPr>
          <w:b w:val="0"/>
          <w:i w:val="0"/>
        </w:rPr>
        <w:t>7. Để phản hồi lựa chọn này, INTECH đã nhận được các thắc mắc và khiếu nại từ một số khách hàng có liên kết với công đoàn về các phiếu biểu quyết theo ủy quyền mà INTECH đã bỏ thay mặt cho khách hàng do tuân theo ISS-General.</w:t>
      </w:r>
    </w:p>
    <w:p>
      <w:pPr>
        <w:spacing w:after="80"/>
      </w:pPr>
      <w:r>
        <w:rPr>
          <w:b w:val="0"/>
          <w:i w:val="0"/>
        </w:rPr>
        <w:t>INTECH Chuyển Từ Nền tảng Dựa trên Ban lãnh đạo Sang</w:t>
      </w:r>
      <w:r>
        <w:br/>
      </w:r>
      <w:r>
        <w:rPr>
          <w:b w:val="0"/>
          <w:i w:val="0"/>
        </w:rPr>
        <w:t xml:space="preserve"> Nền tảng Biểu quyết Dựa trên AFL-CIO cho Tất cả Khách hàng</w:t>
      </w:r>
    </w:p>
    <w:p>
      <w:pPr>
        <w:spacing w:after="80"/>
      </w:pPr>
      <w:r>
        <w:rPr>
          <w:b w:val="0"/>
          <w:i w:val="0"/>
        </w:rPr>
        <w:t>8. Trong khoảng thời gian liên quan, INTECH đã tham gia Khảo sát Phiếu bầu then chốt hàng năm của AFL-CIO (“Khảo sát AFL-CIO”). AFL-CIO thu thập thông tin về biểu quyết theo ủy quyền từ các cố vấn đầu tư và Khảo sát AFL-CIO tóm tắt và xếp hạng các cố vấn đầu tư dựa trên hồ sơ biểu quyết theo ủy quyền của họ về các vấn đề mà AFL-CIO xác định là “Phiếu bầu then chốt”. Khảo sát AFL-CIO xếp các cố vấn đầu tư vào một trong ba nhóm dựa trên tỷ lệ phần trăm số phiếu mà cố vấn đã bỏ phù hợp với các khuyến nghị biểu quyết của AFL-CIO về các Phiếu bầu then chốt. AFL-CIO xếp hạng các cố vấn bỏ tất cả hoặc phần lớn giấy ủy quyền của khách hàng, bao gồm cả những khách hàng không ủng hộ AFL-CIO, theo các khuyến nghị của AFL-CIO, cao hơn các cố vấn chỉ bỏ phiếu cho các khách hàng có liên kết với công đoàn theo các khuyến nghị của AFL-CIO. INTECH đã nhận ra động cơ khuyến khích này trong Khảo sát AFL-CIO.</w:t>
      </w:r>
    </w:p>
    <w:p>
      <w:pPr>
        <w:spacing w:after="80"/>
      </w:pPr>
      <w:r>
        <w:rPr>
          <w:b w:val="0"/>
          <w:i w:val="0"/>
        </w:rPr>
        <w:t>9. Vào ngày 1 tháng 1 năm 2003, INTECH đã chuyển từ Hướng dẫn ISS-General sang Hướng dẫn ISS-PVS cho tất cả khách hàng của mình. INTECH tin rằng sự thay đổi này có thể cải thiện điểm số của mình trong Khảo sát AFL-CIO. INTECH cũng tin rằng một số khách hàng có liên kết với công đoàn cảm thấy việc INTECH đạt điểm cao trong Khảo sát AFL-CIO là quan trọng. Hơn nữa, INTECH tin rằng các khách hàng tiềm năng có liên kết với công đoàn có thể sử dụng Khảo sát AFL-CIO như một yếu tố để lựa chọn cố vấn đầu tư. Hơn nữa, INTECH đã thực hiện sự thay đổi này để làm hài lòng các khách hàng có liên kết với công đoàn của mình, những người đã bày tỏ sự không hài lòng với một số phiếu bầu năm 2002 của INTECH khi INTECH tuân theo Hướng dẫn ISS-General. INTECH cũng tin rằng ISS-PVS áp dụng một tiêu chuẩn hợp lý để nâng cao giá trị cổ đông liên quan đến các vấn đề quản trị công ty.</w:t>
      </w:r>
    </w:p>
    <w:p>
      <w:pPr>
        <w:spacing w:after="80"/>
      </w:pPr>
      <w:r>
        <w:rPr>
          <w:b w:val="0"/>
          <w:i w:val="0"/>
        </w:rPr>
        <w:t>10. INTECH đã cải thiện điểm số Khảo sát AFL-CIO của mình bằng cách chuyển sang các khuyến nghị ISS-PVS. Năm 2002, khi INTECH tuân theo ISS-General, INTECH đạt 68.9% và được xếp vào nhóm giữa. Năm 2003, khi INTECH tuân theo ISS-PVS, INTECH đạt 100% và được xếp vào nhóm cao nhất.</w:t>
      </w:r>
    </w:p>
    <w:p>
      <w:pPr>
        <w:spacing w:after="80"/>
      </w:pPr>
      <w:r>
        <w:rPr>
          <w:b w:val="0"/>
          <w:i w:val="0"/>
        </w:rPr>
        <w:t>11. Sau khi chuyển từ Hướng dẫn ISS-General sang Hướng dẫn ISS-PVS dựa trên AFL-CIO, INTECH đã nhận được thắc mắc từ một số khách hàng về lý do tại sao dường như có số lượng phiếu chống lại ban lãnh đạo cao hơn đối với các đề xuất của cổ đông.</w:t>
      </w:r>
    </w:p>
    <w:p>
      <w:pPr>
        <w:spacing w:after="80"/>
      </w:pPr>
      <w:r>
        <w:rPr>
          <w:b w:val="0"/>
          <w:i w:val="0"/>
        </w:rPr>
        <w:t>Quy tắc Biểu quyết theo Ủy quyền Yêu cầu Cố vấn Phải Thông qua</w:t>
      </w:r>
      <w:r>
        <w:br/>
      </w:r>
      <w:r>
        <w:rPr>
          <w:b w:val="0"/>
          <w:i w:val="0"/>
        </w:rPr>
        <w:t xml:space="preserve"> Các Chính sách và Thủ tục Biểu quyết theo Ủy quyền</w:t>
      </w:r>
    </w:p>
    <w:p>
      <w:pPr>
        <w:spacing w:after="80"/>
      </w:pPr>
      <w:r>
        <w:rPr>
          <w:b w:val="0"/>
          <w:i w:val="0"/>
        </w:rPr>
        <w:t>12. Quy tắc Biểu quyết theo Ủy quyền có hiệu lực vào ngày 10 tháng 3 năm 2003 và ngày tuân thủ là ngày 6 tháng 8 năm 2003. Quy tắc Biểu quyết theo Ủy quyền yêu cầu cố vấn phải thông qua và thực hiện các chính sách và thủ tục được thiết kế hợp lý để đảm bảo rằng cố vấn biểu quyết giấy ủy quyền của khách hàng vì lợi ích tốt nhất của khách hàng. Các thủ tục như vậy phải bao gồm cách cố vấn giải quyết các xung đột trọng yếu có thể phát sinh giữa lợi ích của cố vấn và lợi ích của khách hàng, tiết lộ cho khách hàng cách họ có thể có được thông tin về cách cố vấn đã biểu quyết các giấy ủy quyền, và mô tả cho khách hàng về các chính sách và thủ tục biểu quyết theo ủy quyền của cố vấn.</w:t>
      </w:r>
    </w:p>
    <w:p>
      <w:pPr>
        <w:spacing w:after="80"/>
      </w:pPr>
      <w:r>
        <w:rPr>
          <w:b w:val="0"/>
          <w:i w:val="0"/>
        </w:rPr>
        <w:t>13. Trong Bản Phát hành Thông qua cho Quy tắc Bỏ phiếu Đại diện (Adopting Release for the Proxy Voting Rule), Ủy ban (Commission) đã công nhận rằng theo Đạo luật Cố vấn (Advisers Act), “một cố vấn là người được ủy thác có nghĩa vụ chăm sóc và trung thành với từng khách hàng của mình đối với tất cả các dịch vụ được thực hiện thay mặt khách hàng, bao gồm cả việc bỏ phiếu đại diện.” Nghĩa vụ chăm sóc này đòi hỏi một cố vấn có thẩm quyền bỏ phiếu phải theo dõi các sự kiện của công ty và bỏ phiếu đại diện. Để thỏa mãn nghĩa vụ trung thành, một cố vấn phải bỏ phiếu đại diện theo cách phù hợp với lợi ích tốt nhất của khách hàng và không được đặt lợi ích của khách hàng xuống dưới lợi ích của chính mình. Ủy ban giải thích rằng các Quy tắc Bỏ phiếu Đại diện (Proxy Voting Rules) “được thiết kế để ngăn chặn các xung đột lợi ích trọng yếu ảnh hưởng đến cách thức mà các cố vấn bỏ phiếu” đại diện của khách hàng.</w:t>
      </w:r>
    </w:p>
    <w:p>
      <w:pPr>
        <w:spacing w:after="80"/>
      </w:pPr>
      <w:r>
        <w:rPr>
          <w:b w:val="0"/>
          <w:i w:val="0"/>
        </w:rPr>
        <w:t>14. Ủy ban lưu ý rằng các cố vấn có thể sử dụng “chính sách bỏ phiếu định trước,” chẳng hạn như nền tảng của dịch vụ bỏ phiếu đại diện bên thứ ba, để bỏ phiếu đại diện với điều kiện chính sách định trước đó “được thiết kế để thúc đẩy lợi ích của khách hàng thay vì lợi ích của cố vấn.”</w:t>
      </w:r>
    </w:p>
    <w:p>
      <w:pPr>
        <w:spacing w:after="80"/>
      </w:pPr>
      <w:r>
        <w:rPr>
          <w:b w:val="0"/>
          <w:i w:val="0"/>
        </w:rPr>
        <w:t>INTECH Đã Không Thỏa mãn Các Yêu cầu của Quy tắc Bỏ phiếu Đại diện</w:t>
      </w:r>
    </w:p>
    <w:p>
      <w:pPr>
        <w:spacing w:after="80"/>
      </w:pPr>
      <w:r>
        <w:rPr>
          <w:b w:val="0"/>
          <w:i w:val="0"/>
        </w:rPr>
        <w:t>15. Trong nỗ lực tuân thủ quy tắc mới, INTECH đã soạn thảo các chính sách và thủ tục bỏ phiếu đại diện bằng văn bản. Hurley, với tư cách là Giám đốc Điều hành (Chief Operating Officer), đã xem xét và chỉnh sửa các bản thảo của cố vấn pháp lý về các chính sách và thủ tục đó. Vào ngày 22 tháng 7 năm 2003, INTECH đã gửi các chính sách và thủ tục đó cho khách hàng kèm theo một lá thư ngỏ từ Hurley. Các chính sách và thủ tục đó vẫn có hiệu lực như đã viết cho đến năm 2006. Theo chính sách bỏ phiếu đại diện của INTECH, Hurley, với tư cách là Giám đốc Điều hành, có trách nhiệm đánh giá liệu một số phiếu đại diện nhất định có tạo ra xung đột giữa lợi ích của INTECH và lợi ích của khách hàng hay không.</w:t>
      </w:r>
    </w:p>
    <w:p>
      <w:pPr>
        <w:spacing w:after="80"/>
      </w:pPr>
      <w:r>
        <w:rPr>
          <w:b w:val="0"/>
          <w:i w:val="0"/>
        </w:rPr>
        <w:t>16. Cùng lúc Hurley tham gia soạn thảo các chính sách và thủ tục bỏ phiếu đại diện, ông biết rằng INTECH đang bỏ phiếu cho tất cả chứng khoán của khách hàng theo Hướng dẫn ISS-PVS (ISS-PVS Guidelines). Hurley nhận ra những lợi ích tiềm năng đối với INTECH khi chọn ISS-PVS, bao gồm điểm số Khảo sát AFL-CIO (AFL-CIO Survey) được cải thiện. Hurley cũng nhận ra rằng sự lựa chọn này tạo ra một xung đột lợi ích tiềm tàng vì ông thừa nhận rằng các loại khách hàng khác nhau có thể đã đưa ra lựa chọn khác với lựa chọn của INTECH. Mặc dù ông đã nhận được một số ý kiến đóng góp từ cố vấn pháp lý trong quá trình soạn thảo, ông đã không thảo luận về xung đột lợi ích tiềm tàng này với cố vấn pháp lý trong quá trình soạn thảo. Chính sách, khi được hoàn thiện, đã không đề cập đến xung đột tiềm tàng này.</w:t>
      </w:r>
    </w:p>
    <w:p>
      <w:pPr>
        <w:spacing w:after="80"/>
      </w:pPr>
      <w:r>
        <w:rPr>
          <w:b w:val="0"/>
          <w:i w:val="0"/>
        </w:rPr>
        <w:t>17. Các chính sách và thủ tục bằng văn bản cuối cùng của INTECH đã không đề cập đến xung đột tiềm tàng gây ra bởi việc INTECH chọn Hướng dẫn ISS-PVS cho tất cả khách hàng của mình trong khi có lợi ích trong việc giữ chân và thu hút các khách hàng liên kết với công đoàn. Hơn nữa, INTECH đã nói với khách hàng của mình trong lá thư ngỏ có chữ ký của Hurley và tuyên bố trong chính sách bỏ phiếu đại diện của mình rằng, vì nó dựa vào một dịch vụ bỏ phiếu đại diện bên thứ ba, nó không “mong đợi [] rằng bất kỳ xung đột nào sẽ phát sinh trong quá trình bỏ phiếu đại diện.”</w:t>
      </w:r>
    </w:p>
    <w:p>
      <w:pPr>
        <w:spacing w:after="80"/>
      </w:pPr>
      <w:r>
        <w:rPr>
          <w:b w:val="0"/>
          <w:i w:val="0"/>
        </w:rPr>
        <w:t>18. Ngoài ra, INTECH đã không mô tả đầy đủ các chính sách và thủ tục bỏ phiếu đại diện của mình cho khách hàng. INTECH đã tiết lộ rằng họ dự định dựa vào ISS-PVS để bỏ phiếu cho chứng khoán của khách hàng. Tuy nhiên, INTECH đã không tiết lộ rằng ISS-PVS tuân theo các khuyến nghị bỏ phiếu đại diện của AFL-CIO. Trên thực tế, INTECH, thông qua Hurley, đã mô tả các chính sách và thủ tục của mình mà không bao gồm các tham chiếu đến việc các hướng dẫn ISS-PVS mà họ đã chọn tuân theo các khuyến nghị của AFL-CIO. Mặc dù INTECH đã không mô tả đầy đủ các chính sách và thủ tục bỏ phiếu đại diện của mình cho khách hàng, họ đã, trên cơ sở hàng quý, gửi cho tất cả khách hàng của mình một báo cáo hiển thị tất cả các phiếu đại diện được bỏ thay mặt cho khách hàng. Tuy nhiên, báo cáo đã không tham chiếu đến các hướng dẫn đã được tuân theo dẫn đến những phiếu bầu đó.</w:t>
      </w:r>
    </w:p>
    <w:p>
      <w:pPr>
        <w:spacing w:after="80"/>
      </w:pPr>
      <w:r>
        <w:rPr>
          <w:b w:val="0"/>
          <w:i w:val="0"/>
        </w:rPr>
        <w:t>19. Vào giữa năm 2005, INTECH đã xem xét việc cung cấp cho khách hàng lựa chọn bổ sung là Hướng dẫn ISS-General (ISS-General Guidelines). Vào tháng 12 năm 2005, sau khi nhân viên của Ủy ban bắt đầu hỏi về việc bỏ phiếu đại diện của INTECH, INTECH đã cung cấp cho khách hàng sự lựa chọn giữa Hướng dẫn ISS-PVS và ISS-General để bắt đầu từ năm 2006. Vào thời điểm đó, INTECH đã gửi một bản tóm tắt về Hướng dẫn ISS-PVS cho khách hàng, trong đó giải thích rằng các khuyến nghị bỏ phiếu dựa trên các khuyến nghị bỏ phiếu đại diện của AFL-CIO. Nếu khách hàng không thông báo cho INTECH về sự lựa chọn, lựa chọn mặc định thay mặt cho khách hàng là theo các khuyến nghị của ISS-PVS. Khoảng 27% khách hàng của INTECH đã chọn chuyển các khuyến nghị bỏ phiếu từ ISS-PVS sang Hướng dẫn ISS-General.</w:t>
      </w:r>
    </w:p>
    <w:p>
      <w:pPr>
        <w:spacing w:after="80"/>
      </w:pPr>
      <w:r>
        <w:rPr>
          <w:b w:val="0"/>
          <w:i w:val="0"/>
        </w:rPr>
        <w:t>20. Vào tháng 5 năm 2006, INTECH, trong Mẫu ADV (Form ADV) của mình, đã mô tả các chính sách và thủ tục bỏ phiếu đại diện của mình. Nó mô tả rằng nó cung cấp cho khách hàng sự lựa chọn giữa ISS-PVS và ISS-General. Nó tuyên bố rằng các khuyến nghị của ISS-PVS dựa trên các hướng dẫn bỏ phiếu đại diện của AFL-CIO và rằng chính sách của INTECH có thể dẫn đến việc INTECH thu hút và giữ chân các khách hàng Taft-Hartley hoặc các khách hàng liên kết với công đoàn khác. Nếu khách hàng không thông báo cho INTECH về sự lựa chọn, lựa chọn mặc định thay mặt cho khách hàng là theo các khuyến nghị của ISS-PVS.</w:t>
      </w:r>
    </w:p>
    <w:p>
      <w:pPr>
        <w:spacing w:after="80"/>
      </w:pPr>
      <w:r>
        <w:rPr>
          <w:b w:val="0"/>
          <w:i w:val="0"/>
        </w:rPr>
        <w:t>23. Mục 206(4) của Đạo luật Cố vấn quy định rằng việc các cố vấn đầu tư “thực hiện bất kỳ hành vi, thông lệ hoặc cách thức kinh doanh nào mang tính gian lận, lừa dối hoặc thao túng” là bất hợp pháp.</w:t>
      </w:r>
    </w:p>
    <w:p>
      <w:pPr>
        <w:spacing w:after="80"/>
      </w:pPr>
      <w:r>
        <w:rPr>
          <w:b w:val="0"/>
          <w:i w:val="0"/>
        </w:rPr>
        <w:t>24. Quy tắc 206(4)-6 theo Đạo luật Cố vấn quy định rằng “việc [một cố vấn đầu tư đã đăng ký] thực hiện thẩm quyền bỏ phiếu đối với chứng khoán của khách hàng là một hành vi, thông lệ hoặc cách thức kinh doanh mang tính gian lận, lừa dối hoặc thao túng theo nghĩa của Mục 206(4) của Đạo luật trừ khi [nó]: (a) thông qua và thực hiện các chính sách và thủ tục bằng văn bản được thiết kế hợp lý để đảm bảo rằng [nó] bỏ phiếu chứng khoán của khách hàng vì lợi ích tốt nhất của khách hàng, trong đó các thủ tục phải bao gồm cách [nó] giải quyết các xung đột lợi ích trọng yếu có thể phát sinh giữa lợi ích của [nó] và lợi ích của khách hàng . . . và (c) mô tả cho khách hàng của [nó] các chính sách và thủ tục bỏ phiếu đại diện của [nó], và, theo yêu cầu, cung cấp một bản sao các chính sách và thủ tục đó cho khách hàng yêu cầu.”</w:t>
      </w:r>
    </w:p>
    <w:p>
      <w:pPr>
        <w:spacing w:after="80"/>
      </w:pPr>
      <w:r>
        <w:rPr>
          <w:b w:val="0"/>
          <w:i w:val="0"/>
        </w:rPr>
        <w:t>25. Nếu các cố vấn đầu tư đã đăng ký không thỏa mãn các điều kiện nêu trên, họ thực hiện các hành vi, thông lệ hoặc cách thức kinh doanh là bất hợp pháp.</w:t>
      </w:r>
    </w:p>
    <w:p>
      <w:pPr>
        <w:spacing w:after="80"/>
      </w:pPr>
      <w:r>
        <w:rPr>
          <w:b w:val="0"/>
          <w:i w:val="0"/>
        </w:rPr>
        <w:t>26. Do hậu quả của hành vi được mô tả ở trên, INTECH đã cố ý vi phạm Mục 206(4) của Đạo luật Cố vấn và các Quy tắc 206(4)-6(a) và 206(4)-6(c) theo đó.</w:t>
      </w:r>
    </w:p>
    <w:p>
      <w:pPr>
        <w:spacing w:after="80"/>
      </w:pPr>
      <w:r>
        <w:rPr>
          <w:b w:val="0"/>
          <w:i w:val="0"/>
        </w:rPr>
        <w:t>27. Do hậu quả của hành vi được mô tả ở trên, Hurley đã cố ý hỗ trợ, tiếp tay và gây ra các vi phạm của INTECH đối với Mục 206(4) của Đạo luật Cố vấn và các Quy tắc 206(4)-6(a) và 206(4)-6(c) theo đó.</w:t>
      </w:r>
    </w:p>
    <w:p>
      <w:pPr>
        <w:spacing w:after="80"/>
      </w:pPr>
      <w:r>
        <w:rPr>
          <w:b w:val="0"/>
          <w:i w:val="0"/>
        </w:rPr>
        <w:t>IV.</w:t>
      </w:r>
    </w:p>
    <w:p>
      <w:pPr>
        <w:spacing w:after="80"/>
      </w:pPr>
      <w:r>
        <w:rPr>
          <w:b w:val="0"/>
          <w:i w:val="0"/>
        </w:rPr>
        <w:t>Xét thấy những điều nêu trên, Ủy ban cho rằng việc áp đặt các biện pháp trừng phạt đã được đồng ý trong các Đề nghị của Bị đơn (Respondents' Offers) là phù hợp và vì lợi ích công cộng.</w:t>
      </w:r>
    </w:p>
    <w:p>
      <w:pPr>
        <w:spacing w:after="80"/>
      </w:pPr>
      <w:r>
        <w:rPr>
          <w:b w:val="0"/>
          <w:i w:val="0"/>
        </w:rPr>
        <w:t>Theo đó, căn cứ vào các Mục 203(e), 203(f) và 203(k) của Advisers Act, nay RA LỆNH rằng:</w:t>
      </w:r>
    </w:p>
    <w:p>
      <w:pPr>
        <w:spacing w:after="80"/>
      </w:pPr>
      <w:r>
        <w:rPr>
          <w:b w:val="0"/>
          <w:i w:val="0"/>
        </w:rPr>
        <w:t>A. Các Bị đơn INTECH và Hurley phải chấm dứt việc thực hiện hoặc gây ra bất kỳ hành vi vi phạm nào và mọi hành vi vi phạm trong tương lai đối với Mục 206(4) của Advisers Act cùng các Quy tắc 206(4)-6(a) và 206(4)-6(c) ban hành theo đó.</w:t>
      </w:r>
    </w:p>
    <w:p>
      <w:pPr>
        <w:spacing w:after="80"/>
      </w:pPr>
      <w:r>
        <w:rPr>
          <w:b w:val="0"/>
          <w:i w:val="0"/>
        </w:rPr>
        <w:t>B. Các Bị đơn INTECH và Hurley bị khiển trách.</w:t>
      </w:r>
    </w:p>
    <w:p>
      <w:pPr>
        <w:spacing w:after="80"/>
      </w:pPr>
      <w:r>
        <w:rPr>
          <w:b w:val="0"/>
          <w:i w:val="0"/>
        </w:rPr>
        <w:t>C. INTECH phải, trong vòng 30 ngày kể từ ngày ban hành Lệnh này, nộp một khoản tiền phạt dân sự với số tiền $300,000 vào Kho bạc Hoa Kỳ . . .</w:t>
      </w:r>
    </w:p>
    <w:p>
      <w:pPr>
        <w:spacing w:after="80"/>
      </w:pPr>
      <w:r>
        <w:rPr>
          <w:b w:val="0"/>
          <w:i w:val="0"/>
        </w:rPr>
        <w:t>D. Hurley phải, trong vòng 30 ngày kể từ ngày ban hành Lệnh này, nộp một khoản tiền phạt dân sự với số tiền $50,000 vào Kho bạc Hoa Kỳ. . . .</w:t>
      </w:r>
    </w:p>
    <w:p>
      <w:pPr>
        <w:pStyle w:val="Heading5"/>
      </w:pPr>
      <w:r>
        <w:rPr>
          <w:rFonts w:ascii="Calibri" w:hAnsi="Calibri"/>
          <w:b/>
          <w:i/>
          <w:sz w:val="22"/>
        </w:rPr>
        <w:t>Bình luận và Câu hỏi</w:t>
      </w:r>
    </w:p>
    <w:p>
      <w:pPr>
        <w:spacing w:after="80"/>
      </w:pPr>
      <w:r>
        <w:rPr>
          <w:b w:val="0"/>
          <w:i w:val="0"/>
        </w:rPr>
        <w:t xml:space="preserve">1. Các quỹ hưu trí (pension plan) có thể tự mình xử lý các vấn đề quản trị. Tuy nhiên, nhiều quỹ lại ký hợp đồng thuê ngoài công việc này cho các cố vấn đầu tư (investment advisor) của mình. </w:t>
      </w:r>
      <w:r>
        <w:rPr>
          <w:b w:val="0"/>
          <w:i/>
        </w:rPr>
        <w:t>Xem</w:t>
      </w:r>
      <w:r>
        <w:rPr>
          <w:b w:val="0"/>
          <w:i w:val="0"/>
        </w:rPr>
        <w:t xml:space="preserve"> Stephen J. Choi &amp; Jill E. Fisch, </w:t>
      </w:r>
      <w:r>
        <w:rPr>
          <w:b w:val="0"/>
          <w:i/>
        </w:rPr>
        <w:t>On Beyond CalPERS: Survey Evidence on the Developing Role of Public Pension Funds in Corporate Governance</w:t>
      </w:r>
      <w:r>
        <w:rPr>
          <w:b w:val="0"/>
          <w:i w:val="0"/>
        </w:rPr>
        <w:t xml:space="preserve"> , 61 Vand. L. Rev. 315, 324 (2008) (“một số lượng đáng kể các quỹ giao phó trách nhiệm quản trị doanh nghiệp, bao gồm cả quyền biểu quyết, cho các nhà quản lý danh mục đầu tư bên ngoài của họ.”). Bạn nghĩ tại sao họ lại làm như vậy? Đến lượt mình, các cố vấn đầu tư thường dựa rất nhiều vào các công ty tư vấn ủy quyền (proxy advisory firm). Tại sao lại như vậy?</w:t>
      </w:r>
    </w:p>
    <w:p>
      <w:pPr>
        <w:spacing w:after="80"/>
      </w:pPr>
      <w:r>
        <w:rPr>
          <w:b w:val="0"/>
          <w:i w:val="0"/>
        </w:rPr>
        <w:t>2. Trường hợp cụ thể này liên quan đến một nỗ lực rõ ràng nhằm điều chỉnh hành vi biểu quyết để thu hút thêm hoạt động kinh doanh từ các quỹ hưu trí do công đoàn tài trợ. Một cố vấn có thể triển khai chiến lược gì nếu muốn thu hút hoạt động kinh doanh từ các quỹ hưu trí tư nhân, do doanh nghiệp tài trợ?</w:t>
      </w:r>
    </w:p>
    <w:p>
      <w:pPr>
        <w:spacing w:after="80"/>
      </w:pPr>
      <w:r>
        <w:rPr>
          <w:b w:val="0"/>
          <w:i w:val="0"/>
        </w:rPr>
        <w:t>3. Như trong trường hợp này, cố vấn đầu tư đã dựa vào một công ty tư vấn ủy quyền để có các khuyến nghị biểu quyết, một chủ đề sẽ được đề cập ở phần sau của chương này. Đôi khi, các cố vấn sẽ thuê ngoài toàn bộ quá trình biểu quyết cho một công ty tư vấn ủy quyền. Đến lượt mình, công ty tư vấn ủy quyền sẽ biểu quyết cổ phần theo các chính sách hoặc hướng dẫn cụ thể mà cố vấn đã thông qua. Việc thuê ngoài này đặt ra những nghĩa vụ gì cho cố vấn? Chẳng hạn, liệu có nghĩa vụ liên tục giám sát quá trình biểu quyết để đảm bảo nó được thực hiện đúng cách hay không? Để biết thêm về chủ đề này, xem Division of Investment Management Division of Corporation Finance Securities and Exchange Commission, Staff Legal Bulletin No. 20 (ngày 30 tháng 6 năm 2014).</w:t>
      </w:r>
    </w:p>
    <w:p>
      <w:pPr>
        <w:spacing w:after="80"/>
      </w:pPr>
      <w:r>
        <w:rPr>
          <w:b w:val="0"/>
          <w:i w:val="0"/>
        </w:rPr>
        <w:t>—————</w:t>
      </w:r>
    </w:p>
    <w:p>
      <w:pPr>
        <w:spacing w:after="80"/>
      </w:pPr>
      <w:r>
        <w:rPr>
          <w:b w:val="0"/>
          <w:i w:val="0"/>
        </w:rPr>
        <w:t>Quỹ tương hỗ (mutual fund) là một nhóm nhà đầu tư tổ chức lớn khác. Chúng được thành lập dưới dạng một công ty hoặc quỹ tín thác (trust) và đầu tư vốn theo các mục tiêu đầu tư đã nêu của mình. Nhiều danh mục đầu tư được quản lý chủ động, với các cố vấn đầu tư khuyến nghị cổ phiếu nên mua hoặc bán. Một số quỹ, chẳng hạn như quỹ chỉ số (index fund), có thể đầu tư theo một công thức. Những quỹ như vậy có thể có ít quyền tự quyết hơn trong việc bán cổ phần khi họ không đồng ý với cách tiếp cận của ban lãnh đạo.</w:t>
      </w:r>
    </w:p>
    <w:p>
      <w:pPr>
        <w:pStyle w:val="Heading4"/>
      </w:pPr>
      <w:r>
        <w:rPr>
          <w:rFonts w:ascii="Calibri" w:hAnsi="Calibri"/>
          <w:b/>
          <w:i w:val="0"/>
          <w:sz w:val="23"/>
        </w:rPr>
        <w:t xml:space="preserve">Jennifer S. Taub, </w:t>
      </w:r>
      <w:r>
        <w:rPr>
          <w:rFonts w:ascii="Calibri" w:hAnsi="Calibri"/>
          <w:b/>
          <w:i/>
          <w:sz w:val="23"/>
        </w:rPr>
        <w:t>Able but Not Willing: The Failure of Mutual</w:t>
      </w:r>
      <w:r>
        <w:br/>
      </w:r>
      <w:r>
        <w:rPr>
          <w:rFonts w:ascii="Calibri" w:hAnsi="Calibri"/>
          <w:b/>
          <w:i/>
          <w:sz w:val="23"/>
        </w:rPr>
        <w:t xml:space="preserve"> Fund Advisers to Advocate for Shareholders' Rights</w:t>
      </w:r>
    </w:p>
    <w:p>
      <w:pPr>
        <w:spacing w:after="80"/>
      </w:pPr>
      <w:r>
        <w:rPr>
          <w:b w:val="0"/>
          <w:i w:val="0"/>
        </w:rPr>
        <w:t>34 J. Corp. L. 843, 847–50, 865 (2009)</w:t>
      </w:r>
    </w:p>
    <w:p>
      <w:pPr>
        <w:spacing w:after="80"/>
      </w:pPr>
      <w:r>
        <w:rPr>
          <w:b w:val="0"/>
          <w:i w:val="0"/>
        </w:rPr>
        <w:t>Các quỹ tương hỗ nắm giữ khối tài sản khổng lồ, là phương tiện tiết kiệm phổ biến khắp nơi đối với các nhà đầu tư cá nhân, và đã củng cố quyền lực của mình. Về khối tài sản, tính đến năm kết thúc 2006, tài sản trong các quỹ tương hỗ trên toàn thế giới đạt $21.8 nghìn tỷ. Trong đó, khoảng 48%, tức $10.4 nghìn tỷ, được nắm giữ trong các quỹ tương hỗ của Hoa Kỳ. Về mức độ phổ biến, Hoa Kỳ có khoảng 90 triệu cổ đông quỹ tương hỗ. Gần một nửa số hộ gia đình Hoa Kỳ (51.8 triệu hộ) sở hữu cổ phiếu thông qua các quỹ tương hỗ. Nghĩa là, khoảng 77.7 triệu người Mỹ đầu tư vào cổ phiếu thông qua các quỹ tương hỗ cổ phiếu. Có hơn 4000 quỹ tương hỗ cổ phiếu riêng lẻ tại Hoa Kỳ với hơn $4 nghìn tỷ tài sản. Với việc nắm giữ khoảng 25% cổ phiếu đang lưu hành của Hoa Kỳ, sức mạnh biểu quyết theo khối của các quỹ tương hỗ có thể xoay chuyển kết quả bầu chọn đối với các vấn đề từ ghế thành viên hội đồng quản trị và thù lao điều hành cho đến quản trị cổ đông và các vấn đề xã hội. Bất chấp số lượng quỹ tương hỗ nói chung, quyền lực của chúng rất tập trung. Năm 2005, top 5 gia đình quỹ tương hỗ nắm khoảng 37% tổng tài sản quỹ, top 10 nắm khoảng 48%, và top 25 nắm 71%.</w:t>
      </w:r>
    </w:p>
    <w:p>
      <w:pPr>
        <w:spacing w:after="80"/>
      </w:pPr>
      <w:r>
        <w:rPr>
          <w:b w:val="0"/>
          <w:i w:val="0"/>
        </w:rPr>
        <w:t>* * *</w:t>
      </w:r>
    </w:p>
    <w:p>
      <w:pPr>
        <w:spacing w:after="80"/>
      </w:pPr>
      <w:r>
        <w:rPr>
          <w:b w:val="0"/>
          <w:i w:val="0"/>
        </w:rPr>
        <w:t>Quỹ tương hỗ là một cấu trúc pháp lý—một quỹ tín thác kinh doanh hoặc công ty—tập hợp tiền của khách hàng để đầu tư vào một danh mục chứng khoán. Hầu hết các quỹ đầu tư vào cổ phiếu, trái phiếu, hoặc công cụ thị trường tiền tệ. Một số sở hữu hỗn hợp. Một quỹ tương hỗ nắm giữ cổ phiếu doanh nghiệp được coi là cổ đông của doanh nghiệp đó. Người (hoặc tổ chức) đầu tư tiền vào quỹ tương hỗ được coi là cổ đông của quỹ tương hỗ.</w:t>
      </w:r>
    </w:p>
    <w:p>
      <w:pPr>
        <w:spacing w:after="80"/>
      </w:pPr>
      <w:r>
        <w:rPr>
          <w:b w:val="0"/>
          <w:i w:val="0"/>
        </w:rPr>
        <w:t>* * *</w:t>
      </w:r>
    </w:p>
    <w:p>
      <w:pPr>
        <w:spacing w:after="80"/>
      </w:pPr>
      <w:r>
        <w:rPr>
          <w:b w:val="0"/>
          <w:i w:val="0"/>
        </w:rPr>
        <w:t>Thông thường, một quỹ tương hỗ (mutual fund) không có nhân viên. Nó có một hội đồng tín thác (board of trustees) hoặc một hội đồng quản trị (board of directors). Vì quỹ tương hỗ thường chỉ là một cái vỏ rỗng, hội đồng này hành động thay mặt cho quỹ. Hội đồng quỹ tương hỗ “thuê” một cố vấn đầu tư (investment adviser) để quản lý các khoản đầu tư trong quỹ. Trong số những việc khác, Cố vấn này là một người được ủy thác (fiduciary) và có nghĩa vụ với quỹ về “thiện chí tối thượng, cùng sự công bố đầy đủ và công bằng.” Chắc chắn rằng, bất chấp cái tên, Cố vấn không chỉ cung cấp lời khuyên cho quỹ mà còn cung cấp các dịch vụ quản lý tùy nghi (discretionary management services). Ngoài ra, theo luật, hội đồng thuê một đại lý chuyển nhượng (transfer agent) để theo dõi thông tin khách hàng, một nhà bảo lãnh phát hành chính (principal underwriter) để quảng cáo và bán cổ phần của quỹ tương hỗ cho khách hàng, một người lưu ký (custodian) để bảo quản tài sản của quỹ, các kiểm toán viên, và các nhà cung cấp dịch vụ khác.</w:t>
      </w:r>
    </w:p>
    <w:p>
      <w:pPr>
        <w:spacing w:after="80"/>
      </w:pPr>
      <w:r>
        <w:rPr>
          <w:b w:val="0"/>
          <w:i w:val="0"/>
        </w:rPr>
        <w:t>Tuy nhiên, trên thực tế, Cố vấn mới là người điều hành mọi thứ. Cố vấn thường là một công ty con thuộc sở hữu hoàn toàn của một công ty dịch vụ tài chính. Một số công ty cố vấn như vậy được gọi là “gia đình quỹ” (fund families) hoặc “tổ hợp quỹ” (fund complexes) do có rất nhiều quỹ tương hỗ mà mỗi công ty cố vấn thành lập và duy trì. Cố vấn có thể là một công ty tư nhân hoặc công ty đại chúng. Công ty cố vấn khởi lập quỹ ban đầu chọn ra một danh sách các giám đốc để được các cổ đông quỹ bầu chọn, và các thành viên hội đồng “độc lập” không liên kết với công ty cố vấn tiếp tục đề cử giám đốc theo định kỳ. Các giám đốc đồng thời là nhân viên của công ty được coi là “có liên quan” (interested). Các giám đốc họp định kỳ, trung bình 4–5 lần mỗi năm và hàng tháng tại các gia đình quỹ lớn, để phê chuẩn các thỏa thuận khác nhau và hoàn thành các yêu cầu pháp lý. Bất kể những biện pháp bảo vệ thủ tục này, Ủy ban Chứng khoán và Giao dịch (SEC) “lưu ý rằng một cố vấn quỹ thường ở vị trí có thể chi phối hội đồng vì sự độc quyền thông tin về quỹ của cố vấn và khả năng thường xuyên kiểm soát chương trình nghị sự của hội đồng.” . . .</w:t>
      </w:r>
    </w:p>
    <w:p>
      <w:pPr>
        <w:spacing w:after="80"/>
      </w:pPr>
      <w:r>
        <w:rPr>
          <w:b w:val="0"/>
          <w:i w:val="0"/>
        </w:rPr>
        <w:t>* * *</w:t>
      </w:r>
    </w:p>
    <w:p>
      <w:pPr>
        <w:spacing w:after="80"/>
      </w:pPr>
      <w:r>
        <w:rPr>
          <w:b w:val="0"/>
          <w:i w:val="0"/>
        </w:rPr>
        <w:t>[S]EC đã ban hành một quy định liên quan đến việc biểu quyết theo ủy quyền (proxy voting) của quỹ tương hỗ. Quy định Công bố Chính sách Biểu quyết theo Ủy quyền và Hồ sơ Biểu quyết theo Ủy quyền của các Công ty Đầu tư Quản lý Đã Đăng ký (Quy định Biểu quyết theo Ủy quyền của Quỹ) có hiệu lực từ ngày 14 tháng 4 năm 2003 với ngày tuân thủ là ngày 31 tháng 8 năm 2004. Quy định này có ba yêu cầu chính. Thứ nhất, các quỹ tương hỗ phải nộp báo cáo thường niên cho SEC “không muộn hơn ngày 31 tháng 8 hàng năm, bao gồm hồ sơ biểu quyết theo ủy quyền của đơn vị đăng ký cho giai đoạn mười hai tháng gần nhất kết thúc vào ngày 30 tháng 6.” Thứ hai, các quỹ tương hỗ phải cung cấp miễn phí cho nhà đầu tư bản mô tả các chính sách và thủ tục biểu quyết theo ủy quyền của mình. Thứ ba, các quỹ tương hỗ phải thông báo cho nhà đầu tư cách họ có thể nhận miễn phí các chính sách, thủ tục và hồ sơ biểu quyết theo ủy quyền hàng năm của quỹ.</w:t>
      </w:r>
    </w:p>
    <w:p>
      <w:pPr>
        <w:pStyle w:val="Heading5"/>
      </w:pPr>
      <w:r>
        <w:rPr>
          <w:rFonts w:ascii="Calibri" w:hAnsi="Calibri"/>
          <w:b/>
          <w:i/>
          <w:sz w:val="22"/>
        </w:rPr>
        <w:t>Bình luận và Câu hỏi</w:t>
      </w:r>
    </w:p>
    <w:p>
      <w:pPr>
        <w:spacing w:after="80"/>
      </w:pPr>
      <w:r>
        <w:rPr>
          <w:b w:val="0"/>
          <w:i w:val="0"/>
        </w:rPr>
        <w:t xml:space="preserve">1. Các quỹ tương hỗ sở hữu một phần đáng kể vốn cổ phần của các công ty đại chúng. Theo một nguồn tin, ước tính họ nắm giữ 29% cổ phần của Mỹ vào cuối năm 2013. </w:t>
      </w:r>
      <w:r>
        <w:rPr>
          <w:b w:val="0"/>
          <w:i/>
        </w:rPr>
        <w:t>Xem</w:t>
      </w:r>
      <w:r>
        <w:rPr>
          <w:b w:val="0"/>
          <w:i w:val="0"/>
        </w:rPr>
        <w:t xml:space="preserve"> Chương 1: Tổng quan về các Công ty Đầu tư Đã Đăng ký của Hoa Kỳ, 2014 ICI Fact Book. Điều này so sánh với các quỹ hưu trí công, ví dụ, nắm giữ khoảng “10 phần trăm hoặc hơn tổng thị trường cổ phần của Hoa Kỳ.” Rhonda L. Brauer, và cộng sự, </w:t>
      </w:r>
      <w:r>
        <w:rPr>
          <w:b w:val="0"/>
          <w:i/>
        </w:rPr>
        <w:t>Báo cáo của Lực lượng Đặc nhiệm thuộc Ủy ban Quản trị Công ty của Ban Luật Kinh doanh thuộc Hiệp hội Luật sư Hoa Kỳ về Phân định Vai trò và Trách nhiệm Quản trị</w:t>
      </w:r>
      <w:r>
        <w:rPr>
          <w:b w:val="0"/>
          <w:i w:val="0"/>
        </w:rPr>
        <w:t xml:space="preserve"> , 65 Bus. Law. 107, 135 (2009).</w:t>
      </w:r>
    </w:p>
    <w:p>
      <w:pPr>
        <w:spacing w:after="80"/>
      </w:pPr>
      <w:r>
        <w:rPr>
          <w:b w:val="0"/>
          <w:i w:val="0"/>
        </w:rPr>
        <w:t>2. Phạm trù rộng của quỹ tương hỗ có thể che giấu những khác biệt đáng kể. Theo một nguồn tin, “[h]ơn 30% tài sản cổ phiếu Hoa Kỳ đang được quản lý hiện được nắm giữ trong các quỹ tương hỗ chỉ số hoặc quỹ giao dịch trao đổi dựa trên các chỉ số.” Robert C. Pozen, Nhà đầu tư tổ chức và Chủ nghĩa ngắn hạn của doanh nghiệp, MIT Sloan School of Management, ngày 25 tháng 8 năm 2015. Điều này có thể tạo ra khác biệt gì trong hành vi biểu quyết?</w:t>
      </w:r>
    </w:p>
    <w:p>
      <w:pPr>
        <w:spacing w:after="80"/>
      </w:pPr>
      <w:r>
        <w:rPr>
          <w:b w:val="0"/>
          <w:i w:val="0"/>
        </w:rPr>
        <w:t xml:space="preserve">3. Các quỹ tương hỗ có thể được mô tả là ít tích cực hơn một số nhà đầu tư tổ chức khác như các quỹ hưu trí công và quỹ phòng hộ (hedge funds). Vì các quỹ tương hỗ thường không có nhân viên và cố vấn “điều hành mọi thứ,” liệu điều này có giải thích cho lập trường ít tích cực hơn không? Đây có phải là một ví dụ của sự dè dặt hợp lý (rational reticence)? Xem Ronald J. Gilson &amp; Jeffrey N. Gordon, </w:t>
      </w:r>
      <w:r>
        <w:rPr>
          <w:b w:val="0"/>
          <w:i/>
        </w:rPr>
        <w:t>Chi phí Đại diện của Chủ nghĩa Tư bản Đại diện: Nhà đầu tư Hoạt động và Sự Định giá lại các Quyền Quản trị</w:t>
      </w:r>
      <w:r>
        <w:rPr>
          <w:b w:val="0"/>
          <w:i w:val="0"/>
        </w:rPr>
        <w:t xml:space="preserve"> , 113 Colum. L. Rev. 863, 895 (2013).</w:t>
      </w:r>
    </w:p>
    <w:p>
      <w:pPr>
        <w:spacing w:after="80"/>
      </w:pPr>
      <w:r>
        <w:rPr>
          <w:b w:val="0"/>
          <w:i w:val="0"/>
        </w:rPr>
        <w:t xml:space="preserve">4. Một số nghiên cứu đã được thực hiện liên quan đến các mô hình biểu quyết của quỹ tương hỗ. Một nghiên cứu về 26 gia đình quỹ tương hỗ đối với các đề xuất liên quan đến thù lao điều hành phát hiện rằng “[m]ức độ ủng hộ trung bình đối với các đề xuất của ban điều hành về các vấn đề thù lao là 82% vào năm 2007 và 84% vào năm 2008. . . .” </w:t>
      </w:r>
      <w:r>
        <w:rPr>
          <w:b w:val="0"/>
          <w:i/>
        </w:rPr>
        <w:t>Biểu quyết theo Ủy quyền của Quỹ Tương hỗ về Thù lao Điều hành: 2007–2008</w:t>
      </w:r>
      <w:r>
        <w:rPr>
          <w:b w:val="0"/>
          <w:i w:val="0"/>
        </w:rPr>
        <w:t xml:space="preserve"> , Liên đoàn Nhân viên Nhà nước, Quận hạt và Thành phố Hoa Kỳ, The Corporate Library và The Shareowner Education Network. Thông tin này gợi ý điều gì về các mô hình biểu quyết của quỹ tương hỗ?</w:t>
      </w:r>
    </w:p>
    <w:p>
      <w:pPr>
        <w:spacing w:after="80"/>
      </w:pPr>
      <w:r>
        <w:rPr>
          <w:b w:val="0"/>
          <w:i w:val="0"/>
        </w:rPr>
        <w:t xml:space="preserve">5. Mặt khác, một nhà bình luận khác lưu ý rằng “[c]ác quỹ tương hỗ có lượng nắm giữ lớn cũng có nhiều khả năng biểu quyết chống lại ban điều hành hơn khi lá phiếu của họ có nhiều khả năng thay đổi kết quả hơn.” George W. Dent, Jr., </w:t>
      </w:r>
      <w:r>
        <w:rPr>
          <w:b w:val="0"/>
          <w:i/>
        </w:rPr>
        <w:t>Sự Thống nhất Thiết yếu của Cổ đông và Huyền thoại về Chủ nghĩa Ngắn hạn của Nhà đầu tư</w:t>
      </w:r>
      <w:r>
        <w:rPr>
          <w:b w:val="0"/>
          <w:i w:val="0"/>
        </w:rPr>
        <w:t xml:space="preserve"> , 35 Del. J. Corp. L. 97, 139–40 (2010). Giả sử tuyên bố này là đúng, liệu đây có phải là kết quả mong muốn?</w:t>
      </w:r>
    </w:p>
    <w:p>
      <w:pPr>
        <w:spacing w:after="80"/>
      </w:pPr>
      <w:r>
        <w:rPr>
          <w:b w:val="0"/>
          <w:i w:val="0"/>
        </w:rPr>
        <w:t>—————</w:t>
      </w:r>
    </w:p>
    <w:p>
      <w:pPr>
        <w:spacing w:after="80"/>
      </w:pPr>
      <w:r>
        <w:rPr>
          <w:b w:val="0"/>
          <w:i w:val="0"/>
        </w:rPr>
        <w:t>Các quỹ phòng hộ (hedge funds) đã trở thành những người tham gia tích cực vào thị trường chứng khoán. Đây là những phương tiện đầu tư góp chung (pooled investment vehicles) cung cấp nhiều chiến lược khác nhau, bao gồm đầu tư vào cổ phần của các công ty đại chúng. Không giống như quỹ tương hỗ, quỹ phòng hộ không chịu sự điều chỉnh của các quy định thực chất trong Đạo luật Công ty Đầu tư năm 1940. Vai trò của các quỹ này được phát triển đầy đủ hơn trong Chương 8.</w:t>
      </w:r>
    </w:p>
    <w:p>
      <w:pPr>
        <w:spacing w:after="80"/>
      </w:pPr>
      <w:r>
        <w:rPr>
          <w:b w:val="0"/>
          <w:i w:val="0"/>
        </w:rPr>
        <w:t xml:space="preserve">Trong lĩnh vực quản trị, họ ngày càng tích cực gây áp lực lên ban điều hành đương nhiệm để thay đổi chiến lược kinh doanh nhằm thúc đẩy giá cổ phiếu. Các quỹ phòng hộ thường áp dụng cơ cấu thù lao khuyến khích tối đa hóa lợi nhuận ngắn hạn. </w:t>
      </w:r>
      <w:r>
        <w:rPr>
          <w:b w:val="0"/>
          <w:i/>
        </w:rPr>
        <w:t>Xem</w:t>
      </w:r>
      <w:r>
        <w:rPr>
          <w:b w:val="0"/>
          <w:i w:val="0"/>
        </w:rPr>
        <w:t xml:space="preserve"> Marcel Kahan &amp; Edward B. Rock, </w:t>
      </w:r>
      <w:r>
        <w:rPr>
          <w:b w:val="0"/>
          <w:i/>
        </w:rPr>
        <w:t>Quỹ Phòng hộ trong Quản trị Công ty và Kiểm soát Công ty,</w:t>
      </w:r>
      <w:r>
        <w:rPr>
          <w:b w:val="0"/>
          <w:i w:val="0"/>
        </w:rPr>
        <w:t xml:space="preserve"> 155 U. PA . L. REV . 1021 (2007) (“Quỹ phòng hộ tiêu chuẩn thu phí cơ bản bằng 1–2% tài sản đang được quản lý và một khoản phí khuyến khích đáng kể, thường là 20% lợi nhuận kiếm được. Cơ cấu phí này mang lại cho các nhà quản lý quỹ phòng hộ một phần lợi ích rất đáng kể trong thành công tài chính của các khoản đầu tư của quỹ.”).</w:t>
      </w:r>
    </w:p>
    <w:p>
      <w:pPr>
        <w:pStyle w:val="Heading5"/>
      </w:pPr>
      <w:r>
        <w:rPr>
          <w:rFonts w:ascii="Calibri" w:hAnsi="Calibri"/>
          <w:b/>
          <w:i/>
          <w:sz w:val="22"/>
        </w:rPr>
        <w:t>Bình luận và Câu hỏi</w:t>
      </w:r>
    </w:p>
    <w:p>
      <w:pPr>
        <w:spacing w:after="80"/>
      </w:pPr>
      <w:r>
        <w:rPr>
          <w:b w:val="0"/>
          <w:i w:val="0"/>
        </w:rPr>
        <w:t>1. Như SEC đã lưu ý, “[m]ột khoản phí hiệu suất có thể thúc đẩy nhà quản lý quỹ phòng hộ chấp nhận rủi ro lớn hơn với hy vọng tạo ra lợi nhuận lớn hơn.” Quỹ Phòng hộ, Investor.gov. Điều này có thể tác động gì đến các chiến lược đầu tư của quỹ phòng hộ? Chúng khác với quỹ tương hỗ như thế nào? Quỹ phòng hộ trung bình có thời gian tồn tại khoảng năm năm. Hình thức thù lao có thể đóng vai trò gì trong vòng đời tương đối ngắn này?</w:t>
      </w:r>
    </w:p>
    <w:p>
      <w:pPr>
        <w:spacing w:after="80"/>
      </w:pPr>
      <w:r>
        <w:rPr>
          <w:b w:val="0"/>
          <w:i w:val="0"/>
        </w:rPr>
        <w:t xml:space="preserve">2. Các quỹ đầu cơ (hedge fund) và cố vấn của họ trong phần lớn lịch sử gần như không bị quản lý. SEC đã cố gắng buộc các cố vấn phải đăng ký và tuân thủ nghĩa vụ báo cáo nhưng nỗ lực non trẻ này đã bị Tòa phúc thẩm Khu vực D.C. bác bỏ. </w:t>
      </w:r>
      <w:r>
        <w:rPr>
          <w:b w:val="0"/>
          <w:i/>
        </w:rPr>
        <w:t>Xem Goldstein v. SEC</w:t>
      </w:r>
      <w:r>
        <w:rPr>
          <w:b w:val="0"/>
          <w:i w:val="0"/>
        </w:rPr>
        <w:t xml:space="preserve"> , 451 F.3d 873 (D.C. Cir. 2006). Quốc hội đã trao cho Ủy ban quyền yêu cầu các cố vấn lưu giữ hồ sơ và nộp một số báo cáo cụ thể. </w:t>
      </w:r>
      <w:r>
        <w:rPr>
          <w:b w:val="0"/>
          <w:i/>
        </w:rPr>
        <w:t>Xem</w:t>
      </w:r>
      <w:r>
        <w:rPr>
          <w:b w:val="0"/>
          <w:i w:val="0"/>
        </w:rPr>
        <w:t xml:space="preserve"> Mục 403 &amp; 404, Public Law 111–203 (ngày 21 tháng 7 năm 2010). Tuy nhiên, các yêu cầu đăng ký không áp dụng cho các cố vấn quản lý dưới 150 triệu đô la hay cho các cố vấn của quỹ đầu tư mạo hiểm (venture capital fund).</w:t>
      </w:r>
    </w:p>
    <w:p>
      <w:pPr>
        <w:spacing w:after="80"/>
      </w:pPr>
      <w:r>
        <w:rPr>
          <w:b w:val="0"/>
          <w:i w:val="0"/>
        </w:rPr>
        <w:t xml:space="preserve">3. Không phải tất cả các quỹ đầu cơ đều là nhà hoạt động cổ đông. </w:t>
      </w:r>
      <w:r>
        <w:rPr>
          <w:b w:val="0"/>
          <w:i/>
        </w:rPr>
        <w:t>Xem</w:t>
      </w:r>
      <w:r>
        <w:rPr>
          <w:b w:val="0"/>
          <w:i w:val="0"/>
        </w:rPr>
        <w:t xml:space="preserve"> Dionysia Katelouzou, </w:t>
      </w:r>
      <w:r>
        <w:rPr>
          <w:b w:val="0"/>
          <w:i/>
        </w:rPr>
        <w:t>Myths and Realities of Hedge Fund Activism: Some Empirical Evidence</w:t>
      </w:r>
      <w:r>
        <w:rPr>
          <w:b w:val="0"/>
          <w:i w:val="0"/>
        </w:rPr>
        <w:t xml:space="preserve"> , 7 Va. L. &amp; Bus. Rev. 459 (2013) ("Các quỹ đầu cơ hoạt động đã nổi lên như một nhóm riêng biệt trong cộng đồng quỹ đầu cơ rộng lớn hơn, mà chúng chỉ chiếm một phần tương đối nhỏ. Về số lượng, chúng chỉ khoảng 100 trong số hơn 9.000 quỹ đầu cơ ở Hoa Kỳ, còn về quy mô, các quỹ đầu cơ hoạt động có khoảng 50 tỷ đô la tài sản quản lý và chỉ chiếm 2,7% tổng tài sản quỹ đầu cơ toàn cầu."). Điều này nói lên gì về vai trò của các quỹ đầu cơ trong hệ thống quản trị doanh nghiệp?</w:t>
      </w:r>
    </w:p>
    <w:p>
      <w:pPr>
        <w:spacing w:after="80"/>
      </w:pPr>
      <w:r>
        <w:rPr>
          <w:b w:val="0"/>
          <w:i w:val="0"/>
        </w:rPr>
        <w:t xml:space="preserve">4. Nếu có thể mô tả các quỹ đầu cơ là có tầm nhìn ngắn hạn, liệu điều đó có nhất thiết gây hại không? Nói cách khác, liệu quan điểm dài hạn có luôn là quan điểm đúng đắn? </w:t>
      </w:r>
      <w:r>
        <w:rPr>
          <w:b w:val="0"/>
          <w:i/>
        </w:rPr>
        <w:t>Xem</w:t>
      </w:r>
      <w:r>
        <w:rPr>
          <w:b w:val="0"/>
          <w:i w:val="0"/>
        </w:rPr>
        <w:t xml:space="preserve"> Lucian A. Bebchuk, </w:t>
      </w:r>
      <w:r>
        <w:rPr>
          <w:b w:val="0"/>
          <w:i/>
        </w:rPr>
        <w:t>Essay: The Myth that Insulating Boards Serves Long-Term Value</w:t>
      </w:r>
      <w:r>
        <w:rPr>
          <w:b w:val="0"/>
          <w:i w:val="0"/>
        </w:rPr>
        <w:t xml:space="preserve"> , 113 Colum. L. Rev. 1637, 1642 (2013) (cho rằng những người "ủng hộ việc bảo vệ hội đồng quản trị" đã "không đưa ra được cơ sở thỏa đáng" cho các tuyên bố rằng tác động dài hạn của việc bảo vệ hội đồng quản trị là tích cực).</w:t>
      </w:r>
    </w:p>
    <w:p>
      <w:pPr>
        <w:spacing w:after="80"/>
      </w:pPr>
      <w:r>
        <w:rPr>
          <w:b w:val="0"/>
          <w:i w:val="0"/>
        </w:rPr>
        <w:t xml:space="preserve">5. Với tư cách là nhà đầu tư tổ chức, liệu các quỹ đầu cơ có thực sự khác biệt đến vậy so với những kiểu nhà đầu tư vốn luôn tồn tại? Những kẻ săn mồi doanh nghiệp (corporate raider) trong thập niên 1980 nhắm vào các công ty đại chúng lớn, đặc biệt là các tập đoàn đa ngành, và được gán cho nhiều nhãn mác khác nhau từ ân nhân của cổ đông đến tai họa của doanh nghiệp. </w:t>
      </w:r>
      <w:r>
        <w:rPr>
          <w:b w:val="0"/>
          <w:i/>
        </w:rPr>
        <w:t>Xem Unocal Corp. v. Mesa Petroleum Co.</w:t>
      </w:r>
      <w:r>
        <w:rPr>
          <w:b w:val="0"/>
          <w:i w:val="0"/>
        </w:rPr>
        <w:t xml:space="preserve"> , 493 A.2d 946, 956 (Del. 1985) (lưu ý rằng sự phản đối của hội đồng quản trị đối với một đề nghị mua lại một phần xuất phát từ việc "mối đe dọa được tạo ra bởi một kẻ săn mồi doanh nghiệp nổi tiếng toàn quốc như một 'kẻ tống tiền xanh'").</w:t>
      </w:r>
    </w:p>
    <w:p>
      <w:pPr>
        <w:spacing w:after="80"/>
      </w:pPr>
      <w:r>
        <w:rPr>
          <w:b w:val="0"/>
          <w:i w:val="0"/>
        </w:rPr>
        <w:t>6. Vào cuối năm 2014, CALPERS, quỹ hưu trí công lớn của bang California, tuyên bố sẽ thoái vốn khỏi 4 tỷ đô la đầu tư vào các quỹ đầu cơ. Các quỹ khác cũng làm theo bằng cách giảm hoặc loại bỏ khoản đầu tư vào quỹ đầu cơ, bao gồm cả Hệ thống Hưu trí Nhân viên Thành phố New York. Một số động cơ khả dĩ nào cho quyết định này?</w:t>
      </w:r>
    </w:p>
    <w:p>
      <w:pPr>
        <w:spacing w:after="80"/>
      </w:pPr>
      <w:r>
        <w:rPr>
          <w:b w:val="0"/>
          <w:i w:val="0"/>
        </w:rPr>
        <w:t>—————</w:t>
      </w:r>
    </w:p>
    <w:p>
      <w:pPr>
        <w:spacing w:after="80"/>
      </w:pPr>
      <w:r>
        <w:rPr>
          <w:b w:val="0"/>
          <w:i w:val="0"/>
        </w:rPr>
        <w:t>Các nhà đầu tư tổ chức nên đóng vai trò gì trong quá trình quản trị doanh nghiệp?</w:t>
      </w:r>
    </w:p>
    <w:p>
      <w:pPr>
        <w:pStyle w:val="Heading4"/>
      </w:pPr>
      <w:r>
        <w:rPr>
          <w:rFonts w:ascii="Calibri" w:hAnsi="Calibri"/>
          <w:b/>
          <w:i w:val="0"/>
          <w:sz w:val="23"/>
        </w:rPr>
        <w:t xml:space="preserve">George W. Dent, Jr., </w:t>
      </w:r>
      <w:r>
        <w:rPr>
          <w:rFonts w:ascii="Calibri" w:hAnsi="Calibri"/>
          <w:b/>
          <w:i/>
          <w:sz w:val="23"/>
        </w:rPr>
        <w:t>The Essential Unity of Shareholders</w:t>
      </w:r>
      <w:r>
        <w:br/>
      </w:r>
      <w:r>
        <w:rPr>
          <w:rFonts w:ascii="Calibri" w:hAnsi="Calibri"/>
          <w:b/>
          <w:i/>
          <w:sz w:val="23"/>
        </w:rPr>
        <w:t xml:space="preserve"> and the Myth of Investor Short-Termism</w:t>
      </w:r>
    </w:p>
    <w:p>
      <w:pPr>
        <w:spacing w:after="80"/>
      </w:pPr>
      <w:r>
        <w:rPr>
          <w:b w:val="0"/>
          <w:i w:val="0"/>
        </w:rPr>
        <w:t>35 Del. J. Corp. L. 97, 143–49 (2010)</w:t>
      </w:r>
    </w:p>
    <w:p>
      <w:pPr>
        <w:spacing w:after="80"/>
      </w:pPr>
      <w:r>
        <w:rPr>
          <w:b w:val="0"/>
          <w:i w:val="0"/>
        </w:rPr>
        <w:t>Trong nhiều thập kỷ đã có những nỗ lực kiềm chế các CEO bằng cách đưa tính độc lập vào hội đồng quản trị—cơ quan quản lý trên danh nghĩa. Bất chấp một số tuyên bố ngược lại, những nỗ lực này đã thất bại. Các CEO luôn gây ảnh hưởng, và thường chi phối, việc lựa chọn các giám đốc bên ngoài. Đương nhiên họ thích những ứng viên có thiện cảm với mức thù lao điều hành cao và các đặc quyền cũng như với việc ban điều hành tự tư lợi. Nhiều giám đốc bên ngoài cũng có xung đột lợi ích. Các CEO cũng kiểm soát thông tin mà các giám đốc bên ngoài nhận được. CEO có thể lấy lòng họ bằng nhiều cách khác nhau và có thể đe dọa loại bỏ những thành viên không hợp tác. CEO (người gần như luôn là một giám đốc) và các đồng minh của cô ấy trong hội đồng quản trị có thể nắm quyền chủ động của hội đồng, và "tư duy tập thể" (groupthink) khiến bất kỳ ai có xu hướng phản đối họ đều bị ngăn cản. Những nỗ lực tiếp theo nhằm đảm bảo tính độc lập của hội đồng quản trị có lẽ sẽ thất bại vì hội đồng quản trị có "tính dễ bị thâu tóm đặc biệt bởi chính các nhà quản lý mà họ được cho là phải giám sát."</w:t>
      </w:r>
    </w:p>
    <w:p>
      <w:pPr>
        <w:spacing w:after="80"/>
      </w:pPr>
      <w:r>
        <w:rPr>
          <w:b w:val="0"/>
          <w:i w:val="0"/>
        </w:rPr>
        <w:t>Việc các hội đồng quản trị có đa số thành viên bên ngoài liên tục thất bại trong việc kiềm chế chế độ chuyên quyền của CEO đã dẫn đến việc liên tục thắt chặt định nghĩa về tính độc lập của giám đốc với hy vọng rằng điều này cuối cùng sẽ đạt được kết quả mong muốn. Chiến lược này chắc chắn sẽ thất bại. Pháp luật có thể loại trừ những giám đốc có một số mối liên hệ nhất định có thể phủ nhận tính độc lập, nhưng điều đó không đảm bảo rằng hội đồng quản trị sẽ hành động tận tâm để tối đa hóa giá trị cổ phần. Các CEO đã bóp méo hội đồng quản trị gồm người ngoài, vốn được thiết kế để kiềm chế họ, thành một công cụ để gia tăng quyền lực của chính họ. Một chiến thuật là sự phát triển của các ban giám đốc đan chéo (interlocking directorate), nơi các CEO ngồi trong hội đồng quản trị của nhau. Tương tự, việc sử dụng các ủy ban và cố vấn thù lao độc lập, vốn được dự định để thiết lập thù lao thực sự gắn với hiệu suất, đã bị bóp méo thành một mánh khóe khác để tiếp tục thổi phồng mức thù lao CEO vốn đã phình to. Việc thắt chặt các tiêu chí về tính độc lập của giám đốc thực ra có thể gây tổn hại cho quản trị doanh nghiệp bằng cách loại trừ "những giám đốc bên ngoài hiểu biết và có lợi ích liên quan với cổ phần đáng kể" vào thời điểm mà "các công ty đang trở nên phức tạp hơn (về mặt địa lý và công nghệ) và lớn hơn, khiến chúng khó giám sát hơn."</w:t>
      </w:r>
    </w:p>
    <w:p>
      <w:pPr>
        <w:spacing w:after="80"/>
      </w:pPr>
      <w:r>
        <w:rPr>
          <w:b w:val="0"/>
          <w:i w:val="0"/>
        </w:rPr>
        <w:t>* * *</w:t>
      </w:r>
    </w:p>
    <w:p>
      <w:pPr>
        <w:spacing w:after="80"/>
      </w:pPr>
      <w:r>
        <w:rPr>
          <w:b w:val="0"/>
          <w:i w:val="0"/>
        </w:rPr>
        <w:t>Bất chấp sự dai dẳng của tình trạng CEO thống trị và những tổn hại của nó đối với nhà đầu tư, một số nhà bình luận cảm thấy rằng cổ đông đã trở nên quá quyền lực và quyền của họ nên bị cắt giảm. Ví dụ, Phó Chánh án Delaware Leo Strine muốn từ chối hoàn toàn quyền biểu quyết đối với những cổ đông đã nắm giữ cổ phần của họ dưới một năm hoặc những người tìm kiếm quyền kiểm soát.</w:t>
      </w:r>
    </w:p>
    <w:p>
      <w:pPr>
        <w:spacing w:after="80"/>
      </w:pPr>
      <w:r>
        <w:rPr>
          <w:b w:val="0"/>
          <w:i w:val="0"/>
        </w:rPr>
        <w:t>Việc mày mò sửa đổi các quy tắc bỏ phiếu của cổ đông sẽ chẳng đạt được gì nhiều. Mọi việc sẽ khác nếu hội đồng quản trị thực sự được cổ đông lựa chọn. Khi đó các giám đốc sẽ biết rằng họ sẽ được tưởng thưởng nếu họ đại diện hiệu quả cho cổ đông, và bị bãi miễn nếu không làm được. Nếu cổ đông chọn hội đồng quản trị, phần thưởng dành cho những giám đốc có năng lực sẽ bao gồm danh tiếng có thể dẫn đến những vị trí giám đốc xa hơn và sinh lợi hơn.</w:t>
      </w:r>
    </w:p>
    <w:p>
      <w:pPr>
        <w:spacing w:after="80"/>
      </w:pPr>
      <w:r>
        <w:rPr>
          <w:b w:val="0"/>
          <w:i w:val="0"/>
        </w:rPr>
        <w:t>Việc tước quyền của cổ đông hiện là một mối đe dọa đối với khả năng thu hút vốn đầu tư của nước Mỹ. Các nhà đầu tư quan tâm đến quyền của cổ đông và cố gắng cải thiện chúng ở các quốc gia khác. Việc bảo vệ nhà đầu tư gắn liền với tăng trưởng kinh tế cao hơn. Nhiều quốc gia nước ngoài hiện có quyền cổ đông mạnh hơn nước Mỹ. Thực tế này có thể giải thích tại sao các giám đốc điều hành Mỹ nhận được thù lao cao hơn các đồng nghiệp nước ngoài. Rupert Murdoch thậm chí đã chuyển việc đăng ký thành lập của News Corp. từ Úc sang Delaware để thoát khỏi quyền cổ đông mạnh hơn mà nước này cung cấp. Ủy ban Quy chế Thị trường Vốn (Committee on Capital Markets Regulation) (gọi là "Ủy ban Paulson") đã kết luận rằng "[n]hìn chung, cổ đông của các công ty Mỹ có ít quyền hơn . . . so với các đối thủ nước ngoài" và rằng tình trạng này đang làm suy yếu đầu tư vào Hoa Kỳ. Ủy ban đã khuyến nghị tăng cường quyền cổ đông trên một số phương diện.</w:t>
      </w:r>
    </w:p>
    <w:p>
      <w:pPr>
        <w:spacing w:after="80"/>
      </w:pPr>
      <w:r>
        <w:rPr>
          <w:b w:val="0"/>
          <w:i w:val="0"/>
        </w:rPr>
        <w:t>Con người là không hoàn hảo. Không hệ thống nào phụ thuộc vào họ có thể hoàn hảo; một số người sẽ luôn tìm cách lợi dụng mọi hệ thống. Theo đó, việc đề cử giám đốc của các công ty đại chúng bởi một ủy ban gồm mười đến hai mươi cổ đông lớn nhất sẽ không hoàn hảo, nhưng đó không phải là lý do để bác bỏ nó. Câu hỏi là liệu nó có khả năng hoạt động tốt hơn bất kỳ phương án thay thế nào không. Nó chắc chắn phải tốt hơn hiện trạng rối loạn chức năng, và tôi không biết có đề xuất nào khác cho một hệ thống mới có thể tốt hơn.</w:t>
      </w:r>
    </w:p>
    <w:p>
      <w:pPr>
        <w:pStyle w:val="Heading5"/>
      </w:pPr>
      <w:r>
        <w:rPr>
          <w:rFonts w:ascii="Calibri" w:hAnsi="Calibri"/>
          <w:b/>
          <w:i/>
          <w:sz w:val="22"/>
        </w:rPr>
        <w:t>Bình luận và Câu hỏi</w:t>
      </w:r>
    </w:p>
    <w:p>
      <w:pPr>
        <w:spacing w:after="80"/>
      </w:pPr>
      <w:r>
        <w:rPr>
          <w:b w:val="0"/>
          <w:i w:val="0"/>
        </w:rPr>
        <w:t>1. Bạn có đồng ý rằng mô hình quản trị doanh nghiệp hiện tại là mô hình bị chi phối bởi CEO và cần phải sửa đổi không?</w:t>
      </w:r>
    </w:p>
    <w:p>
      <w:pPr>
        <w:spacing w:after="80"/>
      </w:pPr>
      <w:r>
        <w:rPr>
          <w:b w:val="0"/>
          <w:i w:val="0"/>
        </w:rPr>
        <w:t>2. Các cổ đông tổ chức đôi khi có quá nhiều ảnh hưởng trong quá trình quản trị doanh nghiệp không? Trong một số trường hợp, một số ít tổ chức nắm giữ một tỷ lệ đáng kể cổ phần của một công ty đại chúng. Như một báo cáo đã mô tả:</w:t>
      </w:r>
    </w:p>
    <w:p>
      <w:pPr>
        <w:spacing w:after="80"/>
      </w:pPr>
      <w:r>
        <w:rPr>
          <w:b w:val="0"/>
          <w:i w:val="0"/>
        </w:rPr>
        <w:t>Sự tập trung quyền sở hữu cổ phần ở hai mươi lăm công ty lớn nhất là đáng kể. Chỉ mười nhà đầu tư tổ chức chiếm khoảng từ 56 phần trăm (WalMart) đến 18 phần trăm (ExxonMobil và Procter &amp; Gamble) quyền sở hữu vốn cổ phần trong hai mươi lăm công ty hàng đầu; và chỉ hai mươi nhà đầu tư tổ chức chiếm khoảng từ 61 phần trăm (WalMart) đến 24 phần trăm (ExxonMobil và Procter &amp; Gamble).</w:t>
      </w:r>
    </w:p>
    <w:p>
      <w:pPr>
        <w:spacing w:after="80"/>
      </w:pPr>
      <w:r>
        <w:rPr>
          <w:b w:val="0"/>
          <w:i w:val="0"/>
        </w:rPr>
        <w:t xml:space="preserve">Rhoda L. Brauer, và cộng sự, </w:t>
      </w:r>
      <w:r>
        <w:rPr>
          <w:b w:val="0"/>
          <w:i/>
        </w:rPr>
        <w:t>Báo cáo của Lực lượng Đặc nhiệm thuộc Ủy ban Quản trị Doanh nghiệp của Phân ban Luật Kinh doanh thuộc ABA về Việc Phân định Vai trò và Trách nhiệm Quản trị</w:t>
      </w:r>
      <w:r>
        <w:rPr>
          <w:b w:val="0"/>
          <w:i w:val="0"/>
        </w:rPr>
        <w:t xml:space="preserve"> , 65 Bus. Law. 107, 135 (2009). Liệu có thể xảy ra trường hợp ở những công ty này, các cổ đông có thể gây ảnh hưởng quá mức lên ban điều hành không?</w:t>
      </w:r>
    </w:p>
    <w:p>
      <w:pPr>
        <w:spacing w:after="80"/>
      </w:pPr>
      <w:r>
        <w:rPr>
          <w:b w:val="0"/>
          <w:i w:val="0"/>
        </w:rPr>
        <w:t xml:space="preserve">3. Khi cuộc tranh luận về vai trò của các nhà đầu tư tổ chức trong quá trình quản trị bắt đầu diễn ra, một số người coi sự tham gia ngày càng tăng này là có khả năng gây hại. </w:t>
      </w:r>
      <w:r>
        <w:rPr>
          <w:b w:val="0"/>
          <w:i/>
        </w:rPr>
        <w:t>Xem</w:t>
      </w:r>
      <w:r>
        <w:rPr>
          <w:b w:val="0"/>
          <w:i w:val="0"/>
        </w:rPr>
        <w:t xml:space="preserve"> John C. Coffee, Jr., </w:t>
      </w:r>
      <w:r>
        <w:rPr>
          <w:b w:val="0"/>
          <w:i/>
        </w:rPr>
        <w:t>Thanh khoản đối lập với Kiểm soát: Nhà đầu tư tổ chức với vai trò Giám sát Doanh nghiệp</w:t>
      </w:r>
      <w:r>
        <w:rPr>
          <w:b w:val="0"/>
          <w:i w:val="0"/>
        </w:rPr>
        <w:t xml:space="preserve"> , 91 Colum. L. Rev. 1277, 1282 (1991) (lưu ý rằng "những người bảo vệ ban điều hành doanh nghiệp dường như cũng tin chắc rằng, trừ khi quyền lực của họ bị kiềm chế, các nhà đầu tư tổ chức sẽ sớm chi phối ban điều hành doanh nghiệp. . . . Thông thường, những đề xuất này miêu tả các nhà đầu tư tổ chức không phải là những thực thể bị hạn chế cao độ và bị quản lý quá mức, mà là những 'thanh niên tài chính', liều lĩnh bị ám ảnh bởi việc tối đa hóa lợi nhuận ngắn hạn."). Trong hai thập kỷ qua, liệu điều này có xảy ra không?</w:t>
      </w:r>
    </w:p>
    <w:p>
      <w:pPr>
        <w:spacing w:after="80"/>
      </w:pPr>
      <w:r>
        <w:rPr>
          <w:b w:val="0"/>
          <w:i w:val="0"/>
        </w:rPr>
        <w:t xml:space="preserve">4. Theo một nhà bình luận, quyền lực của CEO đã bị giảm bớt bởi "sự gia tăng liên tục lượng cổ phần nắm giữ của các nhà đầu tư tổ chức và sự trỗi dậy của các quỹ tương hỗ với tư cách là loại nhà đầu tư tổ chức quan trọng nhất; sự xuất hiện của các quỹ phòng hộ như những nhà hoạt động cổ đông quan trọng; sự chuyển đổi của các quỹ tương hỗ và quỹ hưu trí công sang một phương thức hoạt động đối đầu hơn; và sự nổi bật và quyền lực ngày càng tăng của các công ty tư vấn ủy quyền." Marcel Kahan &amp; Edward Rock, </w:t>
      </w:r>
      <w:r>
        <w:rPr>
          <w:b w:val="0"/>
          <w:i/>
        </w:rPr>
        <w:t>Những CEO Bị Vây Hãm</w:t>
      </w:r>
      <w:r>
        <w:rPr>
          <w:b w:val="0"/>
          <w:i w:val="0"/>
        </w:rPr>
        <w:t xml:space="preserve"> , 88 Tex. L. Rev. 987, 995 (2010). Bạn có đồng ý không? Giả sử điều này là đúng, liệu đây có phải là điều đáng lo ngại không? Có thể làm gì về điều này?</w:t>
      </w:r>
    </w:p>
    <w:p>
      <w:pPr>
        <w:pStyle w:val="Heading3"/>
      </w:pPr>
      <w:r>
        <w:rPr>
          <w:rFonts w:ascii="Calibri" w:hAnsi="Calibri"/>
          <w:b/>
          <w:i w:val="0"/>
          <w:sz w:val="26"/>
        </w:rPr>
        <w:t>C. Vai trò của các Công ty Tư vấn Ủy quyền</w:t>
      </w:r>
    </w:p>
    <w:p>
      <w:pPr>
        <w:spacing w:after="80"/>
      </w:pPr>
      <w:r>
        <w:rPr>
          <w:b w:val="0"/>
          <w:i w:val="0"/>
        </w:rPr>
        <w:t>Các cổ đông có danh mục đầu tư đa dạng phải đưa ra một số lượng đáng kể các quyết định bỏ phiếu phức tạp trong một khoảng thời gian ngắn. Do đó, việc các quỹ hưu trí, cố vấn đầu tư và các nhà đầu tư khác tìm kiếm sự hỗ trợ từ các công ty tư vấn ủy quyền là điều không hiếm gặp. Sự hỗ trợ bao gồm các khuyến nghị bỏ phiếu về những đề xuất cụ thể. Tuy nhiên, vai trò của họ trong quy trình ủy quyền đã gây ra nhiều tranh cãi.</w:t>
      </w:r>
    </w:p>
    <w:p>
      <w:pPr>
        <w:pStyle w:val="Heading4"/>
      </w:pPr>
      <w:r>
        <w:rPr>
          <w:rFonts w:ascii="Calibri" w:hAnsi="Calibri"/>
          <w:b/>
          <w:i w:val="0"/>
          <w:sz w:val="23"/>
        </w:rPr>
        <w:t>Bản Phát hành Khái niệm về Hệ thống Ủy quyền của Hoa Kỳ</w:t>
      </w:r>
    </w:p>
    <w:p>
      <w:pPr>
        <w:spacing w:after="80"/>
      </w:pPr>
      <w:r>
        <w:rPr>
          <w:b w:val="0"/>
          <w:i w:val="0"/>
        </w:rPr>
        <w:t>Exchange Act Release No. 62495 (ngày 14 tháng 7 năm 2010)</w:t>
      </w:r>
    </w:p>
    <w:p>
      <w:pPr>
        <w:spacing w:after="80"/>
      </w:pPr>
      <w:r>
        <w:rPr>
          <w:b w:val="0"/>
          <w:i w:val="0"/>
        </w:rPr>
        <w:t>Trong hai mươi lăm năm qua, các nhà đầu tư tổ chức, bao gồm cố vấn đầu tư, quỹ hưu trí, kế hoạch phúc lợi nhân viên, các phòng và quỹ tín thác ngân hàng, đã gia tăng đáng kể việc sử dụng các công ty tư vấn ủy quyền, phản ánh sự tăng trưởng vượt bậc của đầu tư tổ chức cũng như thực tế rằng, trong nhiều trường hợp, các nhà đầu tư tổ chức có nghĩa vụ ủy thác phải bỏ phiếu cho số cổ phần họ nắm giữ thay mặt cho những người thụ hưởng. Các nhà đầu tư tổ chức thường sở hữu các vị thế chứng khoán tại một số lượng lớn các tổ chức phát hành.</w:t>
      </w:r>
    </w:p>
    <w:p>
      <w:pPr>
        <w:spacing w:after="80"/>
      </w:pPr>
      <w:r>
        <w:rPr>
          <w:b w:val="0"/>
          <w:i w:val="0"/>
        </w:rPr>
        <w:t>Hàng năm, tại các cuộc họp cổ đông, những nhà đầu tư này phải đối mặt với các quyết định về cách bỏ phiếu cho cổ phần của họ đối với một số lượng đáng kể các vấn đề, từ việc bầu chọn giám đốc và phê duyệt các kế hoạch quyền chọn cổ phiếu cho đến các đề xuất của cổ đông được đệ trình theo Quy tắc 14a-8 của Exchange Act, vốn thường đặt ra những câu hỏi chính sách quan trọng và các vấn đề quản trị doanh nghiệp. Tại các cuộc họp cổ đông bất thường, các nhà đầu tư cũng phải đối mặt với các quyết định bỏ phiếu khi một vụ sáp nhập hoặc mua lại hoặc việc bán toàn bộ hoặc gần như toàn bộ tài sản của công ty được trình ra để họ phê duyệt.</w:t>
      </w:r>
    </w:p>
    <w:p>
      <w:pPr>
        <w:spacing w:after="80"/>
      </w:pPr>
      <w:r>
        <w:rPr>
          <w:b w:val="0"/>
          <w:i w:val="0"/>
        </w:rPr>
        <w:t>Để hỗ trợ họ thực hiện quyền bỏ phiếu của mình đối với các vấn đề được trình ra cho cổ đông, các nhà đầu tư tổ chức có thể thuê các công ty tư vấn ủy quyền để thực hiện nhiều chức năng khác nhau, bao gồm những chức năng sau:</w:t>
      </w:r>
    </w:p>
    <w:p>
      <w:pPr>
        <w:spacing w:after="80"/>
        <w:ind w:left="360"/>
      </w:pPr>
      <w:r>
        <w:t xml:space="preserve">• </w:t>
      </w:r>
      <w:r>
        <w:rPr>
          <w:b w:val="0"/>
          <w:i w:val="0"/>
        </w:rPr>
        <w:t>Phân tích và đưa ra các khuyến nghị bỏ phiếu về các vấn đề được trình ra để cổ đông bỏ phiếu và được đưa vào bản tuyên bố ủy quyền của tổ chức phát hành;</w:t>
      </w:r>
    </w:p>
    <w:p>
      <w:pPr>
        <w:spacing w:after="80"/>
        <w:ind w:left="360"/>
      </w:pPr>
      <w:r>
        <w:t xml:space="preserve">• </w:t>
      </w:r>
      <w:r>
        <w:rPr>
          <w:b w:val="0"/>
          <w:i w:val="0"/>
        </w:rPr>
        <w:t>Thực hiện việc bỏ phiếu theo giấy ủy quyền hoặc VIF của các nhà đầu tư tổ chức theo chỉ dẫn của nhà đầu tư, có thể bao gồm việc bỏ phiếu cho cổ phần theo một chính sách bỏ phiếu ủy quyền được tùy chỉnh, là kết quả của việc tham vấn giữa nhà đầu tư tổ chức và công ty tư vấn ủy quyền, theo chính sách bỏ phiếu ủy quyền của công ty tư vấn ủy quyền, hoặc theo chính sách bỏ phiếu của chính tổ chức đó;</w:t>
      </w:r>
    </w:p>
    <w:p>
      <w:pPr>
        <w:spacing w:after="80"/>
        <w:ind w:left="360"/>
      </w:pPr>
      <w:r>
        <w:t xml:space="preserve">• </w:t>
      </w:r>
      <w:r>
        <w:rPr>
          <w:b w:val="0"/>
          <w:i w:val="0"/>
        </w:rPr>
        <w:t>Hỗ trợ các công việc hành chính liên quan đến việc bỏ phiếu và theo dõi số lượng lớn các quyết định bỏ phiếu;</w:t>
      </w:r>
    </w:p>
    <w:p>
      <w:pPr>
        <w:spacing w:after="80"/>
        <w:ind w:left="360"/>
      </w:pPr>
      <w:r>
        <w:t xml:space="preserve">• </w:t>
      </w:r>
      <w:r>
        <w:rPr>
          <w:b w:val="0"/>
          <w:i w:val="0"/>
        </w:rPr>
        <w:t>Cung cấp nghiên cứu và xác định các yếu tố rủi ro tiềm ẩn liên quan đến quản trị doanh nghiệp; và</w:t>
      </w:r>
    </w:p>
    <w:p>
      <w:pPr>
        <w:spacing w:after="80"/>
        <w:ind w:left="360"/>
      </w:pPr>
      <w:r>
        <w:t xml:space="preserve">• </w:t>
      </w:r>
      <w:r>
        <w:rPr>
          <w:b w:val="0"/>
          <w:i w:val="0"/>
        </w:rPr>
        <w:t>Giúp giảm thiểu những lo ngại về xung đột lợi ích phát sinh khi nhà đầu tư tổ chức bỏ phiếu trong một vấn đề mà lợi ích của họ có thể khác với lợi ích của khách hàng.</w:t>
      </w:r>
    </w:p>
    <w:p>
      <w:pPr>
        <w:spacing w:after="80"/>
      </w:pPr>
      <w:r>
        <w:rPr>
          <w:b w:val="0"/>
          <w:i w:val="0"/>
        </w:rPr>
        <w:t>Các công ty hoạt động trong lĩnh vực cung cấp những dịch vụ này cho khách hàng để nhận thù lao — đặc biệt là phân tích và đưa ra khuyến nghị bỏ phiếu về các vấn đề được trình ra để cổ đông biểu quyết — được biết đến rộng rãi với tên gọi là các công ty tư vấn ủy quyền (proxy advisory firms). Khách hàng tổ chức trả phí cho các công ty tư vấn ủy quyền để được cung cấp những dịch vụ như vậy, và các công ty tư vấn ủy quyền thường tuyên bố rằng phân tích và khuyến nghị của họ được chuẩn bị nhằm mục đích tối đa hóa giá trị cổ phần dài hạn hoặc các mục tiêu đầu tư của khách hàng tổ chức.</w:t>
      </w:r>
    </w:p>
    <w:p>
      <w:pPr>
        <w:spacing w:after="80"/>
      </w:pPr>
      <w:r>
        <w:rPr>
          <w:b w:val="0"/>
          <w:i w:val="0"/>
        </w:rPr>
        <w:t>Các tổ chức phát hành (issuer) cũng có thể là người tiêu dùng các dịch vụ do một số công ty tư vấn ủy quyền cung cấp. Một số công ty tư vấn ủy quyền cung cấp dịch vụ tư vấn cho các tổ chức phát hành về các vấn đề quản trị doanh nghiệp hoặc thù lao điều hành, chẳng hạn như hỗ trợ xây dựng các đề xuất để trình cổ đông phê duyệt. Một số công ty tư vấn ủy quyền cũng đánh giá hoặc cho điểm định tính cấu trúc, chính sách và thông lệ quản trị doanh nghiệp của các tổ chức phát hành, đồng thời cung cấp dịch vụ tư vấn cho các khách hàng doanh nghiệp đang tìm cách cải thiện xếp hạng quản trị doanh nghiệp của mình. Kết quả là, một số công ty tư vấn ủy quyền đưa ra khuyến nghị bỏ phiếu cho các nhà đầu tư tổ chức về những vấn đề mà họ cũng đã cung cấp dịch vụ tư vấn cho tổ chức phát hành. Một số công ty tư vấn ủy quyền công bố những mối quan hệ khách hàng kép này; những công ty khác thì chọn cách cố gắng giải quyết xung đột thông qua việc tạo ra các "bức tường lửa" (fire walls) giữa mảng kinh doanh phục vụ nhà đầu tư và mảng kinh doanh phục vụ doanh nghiệp.</w:t>
      </w:r>
    </w:p>
    <w:p>
      <w:pPr>
        <w:spacing w:after="80"/>
      </w:pPr>
      <w:r>
        <w:rPr>
          <w:b w:val="0"/>
          <w:i w:val="0"/>
        </w:rPr>
        <w:t>* * *</w:t>
      </w:r>
    </w:p>
    <w:p>
      <w:pPr>
        <w:spacing w:after="80"/>
      </w:pPr>
      <w:r>
        <w:rPr>
          <w:b w:val="0"/>
          <w:i w:val="0"/>
        </w:rPr>
        <w:t>Việc các nhà đầu tư tổ chức sử dụng các công ty tư vấn ủy quyền đặt ra một số vấn đề tiềm ẩn. . . .</w:t>
      </w:r>
    </w:p>
    <w:p>
      <w:pPr>
        <w:spacing w:after="80"/>
      </w:pPr>
      <w:r>
        <w:rPr>
          <w:b w:val="0"/>
          <w:i w:val="0"/>
        </w:rPr>
        <w:t>a. Xung đột lợi ích</w:t>
      </w:r>
    </w:p>
    <w:p>
      <w:pPr>
        <w:spacing w:after="80"/>
      </w:pPr>
      <w:r>
        <w:rPr>
          <w:b w:val="0"/>
          <w:i w:val="0"/>
        </w:rPr>
        <w:t>Có lẽ mối lo ngại được nhắc đến thường xuyên nhất về ngành tư vấn ủy quyền liên quan đến xung đột lợi ích. Văn phòng Trách nhiệm Chính phủ (Government Accountability Office - GAO) đã ban hành hai báo cáo kể từ năm 2004 để xem xét xung đột lợi ích trong việc bỏ phiếu ủy quyền của các nhà đầu tư tổ chức. Báo cáo GAO ban hành năm 2007 đã đề cập, trong số những vấn đề khác, đến xung đột lợi ích có thể tồn tại đối với các công ty tư vấn ủy quyền, việc các nhà đầu tư tổ chức sử dụng dịch vụ của các công ty này và ảnh hưởng tiềm tàng của các công ty đối với kết quả bỏ phiếu ủy quyền, cũng như các bước mà Ủy ban (Commission) đã thực hiện để giám sát những công ty này. Báo cáo GAO lưu ý rằng xung đột lợi ích được nhắc đến phổ biến nhất đối với các công ty tư vấn ủy quyền là khi họ vừa đưa ra khuyến nghị bỏ phiếu ủy quyền cho các cố vấn đầu tư và các nhà đầu tư tổ chức khác, vừa cung cấp dịch vụ tư vấn cho các doanh nghiệp đang tìm kiếm hỗ trợ về các đề xuất sẽ được trình ra cổ đông hoặc về việc cải thiện xếp hạng quản trị doanh nghiệp của họ.</w:t>
      </w:r>
    </w:p>
    <w:p>
      <w:pPr>
        <w:spacing w:after="80"/>
      </w:pPr>
      <w:r>
        <w:rPr>
          <w:b w:val="0"/>
          <w:i w:val="0"/>
        </w:rPr>
        <w:t>Cụ thể, xung đột lợi ích này phát sinh nếu một công ty tư vấn ủy quyền đưa ra khuyến nghị bỏ phiếu về những vấn đề được đưa ra để cổ đông biểu quyết, đồng thời cũng cung cấp dịch vụ tư vấn cho tổ chức phát hành hoặc cho người đề xuất một đề xuất cổ đông về chính vấn đề đó. Tổ chức phát hành trong tình huống này có thể mua dịch vụ tư vấn từ công ty tư vấn ủy quyền nhằm giành được sự ủng hộ của công ty dành cho tổ chức phát hành khi các khuyến nghị bỏ phiếu được đưa ra. Tương tự, một người đề xuất có thể thuê công ty tư vấn ủy quyền để xin lời khuyên về các khuyến nghị bỏ phiếu nhằm giành được sự ủng hộ của công ty dành cho các đề xuất cổ đông của mình. Báo cáo GAO cũng lưu ý rằng công ty có thể khuyến nghị bỏ phiếu ủng hộ đề xuất cổ đông của một khách hàng để giữ chân hoạt động kinh doanh của khách hàng đó.</w:t>
      </w:r>
    </w:p>
    <w:p>
      <w:pPr>
        <w:spacing w:after="80"/>
      </w:pPr>
      <w:r>
        <w:rPr>
          <w:b w:val="0"/>
          <w:i w:val="0"/>
        </w:rPr>
        <w:t>Một xung đột cũng phát sinh khi một công ty tư vấn ủy quyền cung cấp xếp hạng quản trị doanh nghiệp về các tổ chức phát hành cho khách hàng tổ chức, đồng thời cũng cung cấp dịch vụ tư vấn cho khách hàng doanh nghiệp để những tổ chức phát hành đó có thể cải thiện xếp hạng quản trị doanh nghiệp của mình. Báo cáo GAO cũng mô tả khả năng xảy ra xung đột lợi ích khi chủ sở hữu hoặc lãnh đạo của công ty tư vấn ủy quyền có lợi ích sở hữu đáng kể trong, hoặc tham gia vào hội đồng quản trị của, các tổ chức phát hành có những vấn đề đang được đưa ra để cổ đông biểu quyết mà công ty tư vấn ủy quyền đang đưa ra khuyến nghị bỏ phiếu. Trong những trường hợp như vậy, các nhà đầu tư tổ chức nói với GAO rằng một số công ty tư vấn ủy quyền sẽ không đưa ra khuyến nghị bỏ phiếu để tránh tạo ra vẻ ngoài xung đột lợi ích.</w:t>
      </w:r>
    </w:p>
    <w:p>
      <w:pPr>
        <w:spacing w:after="80"/>
      </w:pPr>
      <w:r>
        <w:rPr>
          <w:b w:val="0"/>
          <w:i w:val="0"/>
        </w:rPr>
        <w:t>Theo hiểu biết của chúng tôi, ít nhất một công ty tư vấn ủy quyền đưa ra công bố chung chung về những xung đột lợi ích như vậy bằng cách tuyên bố rằng công ty tư vấn ủy quyền "có thể" có mối quan hệ tư vấn với tổ chức phát hành, mà không khẳng định rõ liệu công ty tư vấn ủy quyền có hoặc đã từng có mối quan hệ với một tổ chức phát hành cụ thể hay không, hoặc bản chất của bất kỳ mối quan hệ nào như vậy. Một số người cho rằng kiểu công bố chung chung này là không đủ, ngay cả khi công ty tư vấn ủy quyền có các bức tường bảo mật giữa bộ phận tư vấn doanh nghiệp và bộ phận nghiên cứu ủy quyền của mình.</w:t>
      </w:r>
    </w:p>
    <w:p>
      <w:pPr>
        <w:spacing w:after="80"/>
      </w:pPr>
      <w:r>
        <w:rPr>
          <w:b w:val="0"/>
          <w:i w:val="0"/>
        </w:rPr>
        <w:t>b. Thiếu tính chính xác và minh bạch trong việc xây dựng các khuyến nghị bỏ phiếu</w:t>
      </w:r>
    </w:p>
    <w:p>
      <w:pPr>
        <w:spacing w:after="80"/>
      </w:pPr>
      <w:r>
        <w:rPr>
          <w:b w:val="0"/>
          <w:i w:val="0"/>
        </w:rPr>
        <w:t>Một số nhà bình luận đã bày tỏ lo ngại rằng các khuyến nghị bỏ phiếu của các công ty tư vấn ủy quyền có thể được đưa ra dựa trên dữ liệu sai lệch hoặc không đầy đủ một cách trọng yếu, hoặc rằng phân tích được cung cấp cho một khách hàng tổ chức có thể sai lệch hoặc không đầy đủ một cách trọng yếu. Trong phạm vi một khuyến nghị bỏ phiếu dựa trên dữ liệu hoặc phân tích thiếu chính xác, các tổ chức phát hành đã bày tỏ mong muốn có một quy trình để sửa chữa sai sót. Tuy nhiên, chúng tôi hiểu rằng các công ty tư vấn ủy quyền có thể không sẵn lòng, như một chính sách, tiếp nhận bất kỳ nỗ lực liên lạc nào từ tổ chức phát hành hoặc xem xét lại các khuyến nghị dựa trên những liên lạc đó. Ngay cả khi một công ty tư vấn ủy quyền tiếp nhận ý kiến từ tổ chức phát hành và sửa đổi khuyến nghị của mình, các phiếu bầu có thể đã được bỏ dựa trên khuyến nghị trước đó. Do đó, một số tổ chức phát hành đã bày tỏ mong muốn được tham gia xem xét bản nháp báo cáo của công ty tư vấn ủy quyền, dù chỉ với mục đích hạn chế là đảm bảo rằng các khuyến nghị bỏ phiếu dựa trên dữ liệu chính xác của tổ chức phát hành. Một số công ty tư vấn ủy quyền đã tuyên bố rằng họ sẵn lòng thảo luận các vấn đề với các tổ chức phát hành, nhưng một số tổ chức phát hành lại không sẵn lòng tham gia vào những cuộc thảo luận như vậy.</w:t>
      </w:r>
    </w:p>
    <w:p>
      <w:pPr>
        <w:spacing w:after="80"/>
      </w:pPr>
      <w:r>
        <w:rPr>
          <w:b w:val="0"/>
          <w:i w:val="0"/>
        </w:rPr>
        <w:t>Cũng có một lo ngại rằng các công ty tư vấn ủy quyền có thể dựa khuyến nghị của mình trên một cách tiếp cận quản trị "một cỡ vừa cho tất cả". Kết quả là, một chính sách có thể có lợi cho một số tổ chức phát hành, nhưng lại ít phù hợp hơn với các tổ chức phát hành khác, có thể không nhận được khuyến nghị tích cực, khiến nó ít có khả năng được cổ đông phê duyệt hơn.</w:t>
      </w:r>
    </w:p>
    <w:p>
      <w:pPr>
        <w:pStyle w:val="Heading5"/>
      </w:pPr>
      <w:r>
        <w:rPr>
          <w:rFonts w:ascii="Calibri" w:hAnsi="Calibri"/>
          <w:b/>
          <w:i/>
          <w:sz w:val="22"/>
        </w:rPr>
        <w:t>Bình luận và Câu hỏi</w:t>
      </w:r>
    </w:p>
    <w:p>
      <w:pPr>
        <w:spacing w:after="80"/>
      </w:pPr>
      <w:r>
        <w:rPr>
          <w:b w:val="0"/>
          <w:i w:val="0"/>
        </w:rPr>
        <w:t xml:space="preserve">1. Các công ty tư vấn ủy quyền (proxy advisory firm) là những nhà cung cấp dịch vụ cho các tổ chức phát hành và nhà đầu tư tổ chức. Với vai trò này, họ hầu như không bị quản lý. Tuy nhiên, các khuyến nghị bỏ phiếu được coi là một hành vi vận động (solicitation) theo các quy tắc ủy quyền. </w:t>
      </w:r>
      <w:r>
        <w:rPr>
          <w:b w:val="0"/>
          <w:i/>
        </w:rPr>
        <w:t>Xem Division of Investment Management Division of Corporation Finance Securities and Exchange Commission</w:t>
      </w:r>
      <w:r>
        <w:rPr>
          <w:b w:val="0"/>
          <w:i w:val="0"/>
        </w:rPr>
        <w:t xml:space="preserve"> , Staff Legal Bulletin No. 20 (ngày 30 tháng 6 năm 2014) ("Nhìn chung, Ủy ban đã tuyên bố rằng việc cung cấp lời khuyên bỏ phiếu ủy quyền tạo thành một 'hành vi vận động' phải tuân theo các yêu cầu về thông tin và nộp hồ sơ của các quy tắc ủy quyền liên bang."). Tuy nhiên, các công ty này nhìn chung vẫn được miễn trừ khỏi các quy tắc ủy quyền (chỉ trừ Rule 14a-9). </w:t>
      </w:r>
      <w:r>
        <w:rPr>
          <w:b w:val="0"/>
          <w:i/>
        </w:rPr>
        <w:t>Xem</w:t>
      </w:r>
      <w:r>
        <w:rPr>
          <w:b w:val="0"/>
          <w:i w:val="0"/>
        </w:rPr>
        <w:t xml:space="preserve"> Rule 14a-2(b), 17 CFR § 240.14a-2(b).</w:t>
      </w:r>
    </w:p>
    <w:p>
      <w:pPr>
        <w:spacing w:after="80"/>
      </w:pPr>
      <w:r>
        <w:rPr>
          <w:b w:val="0"/>
          <w:i w:val="0"/>
        </w:rPr>
        <w:t>2. Hai công ty thống trị ngành công ty tư vấn ủy quyền là Institutional Shareholder Services (ISS) và Glass Lewis. Hơn nữa, rõ ràng tồn tại những rào cản gia nhập đáng kể, cho thấy cấu trúc này sẽ không sớm thay đổi. Có bao nhiêu phần trong mối lo ngại về các công ty tư vấn ủy quyền là kết quả của cấu trúc này?</w:t>
      </w:r>
    </w:p>
    <w:p>
      <w:pPr>
        <w:spacing w:after="80"/>
      </w:pPr>
      <w:r>
        <w:rPr>
          <w:b w:val="0"/>
          <w:i w:val="0"/>
        </w:rPr>
        <w:t>3. Một phần nhu cầu đối với các công ty tư vấn ủy quyền mang tính cấu trúc. Các cuộc họp thường niên của các công ty đại chúng diễn ra dồn dập, chủ yếu vào nửa đầu năm. Bảng dưới đây là phân tích tần suất theo tháng do ISS cung cấp cho các cuộc họp của các công ty đại chúng trong năm 2013. Số liệu thống kê do ISS cung cấp cho các cuộc họp của S&amp;P 500 và Russell 3000 cho thấy phân bố như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Tháng</w:t>
            </w:r>
          </w:p>
        </w:tc>
        <w:tc>
          <w:tcPr>
            <w:tcW w:type="dxa" w:w="4680"/>
          </w:tcPr>
          <w:p>
            <w:r/>
            <w:r>
              <w:rPr>
                <w:b/>
                <w:i w:val="0"/>
                <w:sz w:val="19"/>
              </w:rPr>
              <w:t>%</w:t>
            </w:r>
          </w:p>
        </w:tc>
      </w:tr>
      <w:tr>
        <w:tc>
          <w:tcPr>
            <w:tcW w:type="dxa" w:w="4680"/>
          </w:tcPr>
          <w:p>
            <w:r/>
            <w:r>
              <w:rPr>
                <w:b/>
                <w:i w:val="0"/>
                <w:sz w:val="19"/>
              </w:rPr>
              <w:t>Tháng Một</w:t>
            </w:r>
          </w:p>
        </w:tc>
        <w:tc>
          <w:tcPr>
            <w:tcW w:type="dxa" w:w="4680"/>
          </w:tcPr>
          <w:p>
            <w:r/>
            <w:r>
              <w:rPr>
                <w:b w:val="0"/>
                <w:i w:val="0"/>
                <w:sz w:val="19"/>
              </w:rPr>
              <w:t>3%</w:t>
            </w:r>
          </w:p>
        </w:tc>
      </w:tr>
      <w:tr>
        <w:tc>
          <w:tcPr>
            <w:tcW w:type="dxa" w:w="4680"/>
          </w:tcPr>
          <w:p>
            <w:r/>
            <w:r>
              <w:rPr>
                <w:b/>
                <w:i w:val="0"/>
                <w:sz w:val="19"/>
              </w:rPr>
              <w:t>Tháng Hai</w:t>
            </w:r>
          </w:p>
        </w:tc>
        <w:tc>
          <w:tcPr>
            <w:tcW w:type="dxa" w:w="4680"/>
          </w:tcPr>
          <w:p>
            <w:r/>
            <w:r>
              <w:rPr>
                <w:b w:val="0"/>
                <w:i w:val="0"/>
                <w:sz w:val="19"/>
              </w:rPr>
              <w:t>3%</w:t>
            </w:r>
          </w:p>
        </w:tc>
      </w:tr>
      <w:tr>
        <w:tc>
          <w:tcPr>
            <w:tcW w:type="dxa" w:w="4680"/>
          </w:tcPr>
          <w:p>
            <w:r/>
            <w:r>
              <w:rPr>
                <w:b/>
                <w:i w:val="0"/>
                <w:sz w:val="19"/>
              </w:rPr>
              <w:t>Tháng Ba</w:t>
            </w:r>
          </w:p>
        </w:tc>
        <w:tc>
          <w:tcPr>
            <w:tcW w:type="dxa" w:w="4680"/>
          </w:tcPr>
          <w:p>
            <w:r/>
            <w:r>
              <w:rPr>
                <w:b w:val="0"/>
                <w:i w:val="0"/>
                <w:sz w:val="19"/>
              </w:rPr>
              <w:t>3%</w:t>
            </w:r>
          </w:p>
        </w:tc>
      </w:tr>
      <w:tr>
        <w:tc>
          <w:tcPr>
            <w:tcW w:type="dxa" w:w="4680"/>
          </w:tcPr>
          <w:p>
            <w:r/>
            <w:r>
              <w:rPr>
                <w:b/>
                <w:i w:val="0"/>
                <w:sz w:val="19"/>
              </w:rPr>
              <w:t>Tháng Tư</w:t>
            </w:r>
          </w:p>
        </w:tc>
        <w:tc>
          <w:tcPr>
            <w:tcW w:type="dxa" w:w="4680"/>
          </w:tcPr>
          <w:p>
            <w:r/>
            <w:r>
              <w:rPr>
                <w:b w:val="0"/>
                <w:i w:val="0"/>
                <w:sz w:val="19"/>
              </w:rPr>
              <w:t>14%</w:t>
            </w:r>
          </w:p>
        </w:tc>
      </w:tr>
      <w:tr>
        <w:tc>
          <w:tcPr>
            <w:tcW w:type="dxa" w:w="4680"/>
          </w:tcPr>
          <w:p>
            <w:r/>
            <w:r>
              <w:rPr>
                <w:b/>
                <w:i w:val="0"/>
                <w:sz w:val="19"/>
              </w:rPr>
              <w:t>Tháng Năm</w:t>
            </w:r>
          </w:p>
        </w:tc>
        <w:tc>
          <w:tcPr>
            <w:tcW w:type="dxa" w:w="4680"/>
          </w:tcPr>
          <w:p>
            <w:r/>
            <w:r>
              <w:rPr>
                <w:b w:val="0"/>
                <w:i w:val="0"/>
                <w:sz w:val="19"/>
              </w:rPr>
              <w:t>38%</w:t>
            </w:r>
          </w:p>
        </w:tc>
      </w:tr>
      <w:tr>
        <w:tc>
          <w:tcPr>
            <w:tcW w:type="dxa" w:w="4680"/>
          </w:tcPr>
          <w:p>
            <w:r/>
            <w:r>
              <w:rPr>
                <w:b/>
                <w:i w:val="0"/>
                <w:sz w:val="19"/>
              </w:rPr>
              <w:t>Tháng Sáu</w:t>
            </w:r>
          </w:p>
        </w:tc>
        <w:tc>
          <w:tcPr>
            <w:tcW w:type="dxa" w:w="4680"/>
          </w:tcPr>
          <w:p>
            <w:r/>
            <w:r>
              <w:rPr>
                <w:b w:val="0"/>
                <w:i w:val="0"/>
                <w:sz w:val="19"/>
              </w:rPr>
              <w:t>16%</w:t>
            </w:r>
          </w:p>
        </w:tc>
      </w:tr>
      <w:tr>
        <w:tc>
          <w:tcPr>
            <w:tcW w:type="dxa" w:w="4680"/>
          </w:tcPr>
          <w:p>
            <w:r/>
            <w:r>
              <w:rPr>
                <w:b/>
                <w:i w:val="0"/>
                <w:sz w:val="19"/>
              </w:rPr>
              <w:t>Tháng Bảy</w:t>
            </w:r>
          </w:p>
        </w:tc>
        <w:tc>
          <w:tcPr>
            <w:tcW w:type="dxa" w:w="4680"/>
          </w:tcPr>
          <w:p>
            <w:r/>
            <w:r>
              <w:rPr>
                <w:b w:val="0"/>
                <w:i w:val="0"/>
                <w:sz w:val="19"/>
              </w:rPr>
              <w:t>4%</w:t>
            </w:r>
          </w:p>
        </w:tc>
      </w:tr>
      <w:tr>
        <w:tc>
          <w:tcPr>
            <w:tcW w:type="dxa" w:w="4680"/>
          </w:tcPr>
          <w:p>
            <w:r/>
            <w:r>
              <w:rPr>
                <w:b/>
                <w:i w:val="0"/>
                <w:sz w:val="19"/>
              </w:rPr>
              <w:t>Tháng Tám</w:t>
            </w:r>
          </w:p>
        </w:tc>
        <w:tc>
          <w:tcPr>
            <w:tcW w:type="dxa" w:w="4680"/>
          </w:tcPr>
          <w:p>
            <w:r/>
            <w:r>
              <w:rPr>
                <w:b w:val="0"/>
                <w:i w:val="0"/>
                <w:sz w:val="19"/>
              </w:rPr>
              <w:t>4%</w:t>
            </w:r>
          </w:p>
        </w:tc>
      </w:tr>
      <w:tr>
        <w:tc>
          <w:tcPr>
            <w:tcW w:type="dxa" w:w="4680"/>
          </w:tcPr>
          <w:p>
            <w:r/>
            <w:r>
              <w:rPr>
                <w:b/>
                <w:i w:val="0"/>
                <w:sz w:val="19"/>
              </w:rPr>
              <w:t>Tháng Chín</w:t>
            </w:r>
          </w:p>
        </w:tc>
        <w:tc>
          <w:tcPr>
            <w:tcW w:type="dxa" w:w="4680"/>
          </w:tcPr>
          <w:p>
            <w:r/>
            <w:r>
              <w:rPr>
                <w:b w:val="0"/>
                <w:i w:val="0"/>
                <w:sz w:val="19"/>
              </w:rPr>
              <w:t>4%</w:t>
            </w:r>
          </w:p>
        </w:tc>
      </w:tr>
      <w:tr>
        <w:tc>
          <w:tcPr>
            <w:tcW w:type="dxa" w:w="4680"/>
          </w:tcPr>
          <w:p>
            <w:r/>
            <w:r>
              <w:rPr>
                <w:b/>
                <w:i w:val="0"/>
                <w:sz w:val="19"/>
              </w:rPr>
              <w:t>Tháng Mười</w:t>
            </w:r>
          </w:p>
        </w:tc>
        <w:tc>
          <w:tcPr>
            <w:tcW w:type="dxa" w:w="4680"/>
          </w:tcPr>
          <w:p>
            <w:r/>
            <w:r>
              <w:rPr>
                <w:b w:val="0"/>
                <w:i w:val="0"/>
                <w:sz w:val="19"/>
              </w:rPr>
              <w:t>3%</w:t>
            </w:r>
          </w:p>
        </w:tc>
      </w:tr>
      <w:tr>
        <w:tc>
          <w:tcPr>
            <w:tcW w:type="dxa" w:w="4680"/>
          </w:tcPr>
          <w:p>
            <w:r/>
            <w:r>
              <w:rPr>
                <w:b/>
                <w:i w:val="0"/>
                <w:sz w:val="19"/>
              </w:rPr>
              <w:t>Tháng Mười Một</w:t>
            </w:r>
          </w:p>
        </w:tc>
        <w:tc>
          <w:tcPr>
            <w:tcW w:type="dxa" w:w="4680"/>
          </w:tcPr>
          <w:p>
            <w:r/>
            <w:r>
              <w:rPr>
                <w:b w:val="0"/>
                <w:i w:val="0"/>
                <w:sz w:val="19"/>
              </w:rPr>
              <w:t>4%</w:t>
            </w:r>
          </w:p>
        </w:tc>
      </w:tr>
      <w:tr>
        <w:tc>
          <w:tcPr>
            <w:tcW w:type="dxa" w:w="4680"/>
          </w:tcPr>
          <w:p>
            <w:r/>
            <w:r>
              <w:rPr>
                <w:b/>
                <w:i w:val="0"/>
                <w:sz w:val="19"/>
              </w:rPr>
              <w:t>Tháng Mười Hai</w:t>
            </w:r>
          </w:p>
        </w:tc>
        <w:tc>
          <w:tcPr>
            <w:tcW w:type="dxa" w:w="4680"/>
          </w:tcPr>
          <w:p>
            <w:r/>
            <w:r>
              <w:rPr>
                <w:b w:val="0"/>
                <w:i w:val="0"/>
                <w:sz w:val="19"/>
              </w:rPr>
              <w:t>5%</w:t>
            </w:r>
          </w:p>
        </w:tc>
      </w:tr>
      <w:tr>
        <w:tc>
          <w:tcPr>
            <w:tcW w:type="dxa" w:w="4680"/>
          </w:tcPr>
          <w:p>
            <w:r/>
            <w:r>
              <w:rPr>
                <w:b/>
                <w:i w:val="0"/>
                <w:sz w:val="19"/>
              </w:rPr>
              <w:t>Tổng cộng</w:t>
            </w:r>
          </w:p>
        </w:tc>
        <w:tc>
          <w:tcPr>
            <w:tcW w:type="dxa" w:w="4680"/>
          </w:tcPr>
          <w:p>
            <w:r/>
            <w:r>
              <w:rPr>
                <w:b w:val="0"/>
                <w:i w:val="0"/>
                <w:sz w:val="19"/>
              </w:rPr>
              <w:t>100%</w:t>
            </w:r>
          </w:p>
        </w:tc>
      </w:tr>
    </w:tbl>
    <w:p>
      <w:pPr>
        <w:spacing w:after="0"/>
      </w:pPr>
    </w:p>
    <w:p>
      <w:pPr>
        <w:spacing w:after="80"/>
      </w:pPr>
      <w:r>
        <w:rPr>
          <w:b w:val="0"/>
          <w:i w:val="0"/>
        </w:rPr>
        <w:t>Do đó, phần lớn các cuộc họp diễn ra trong khoảng thời gian ba tháng. Điều này có thể tác động như thế nào đến nhu cầu về các dịch vụ do các công ty tư vấn ủy quyền (proxy advisory firms) cung cấp?</w:t>
      </w:r>
    </w:p>
    <w:p>
      <w:pPr>
        <w:spacing w:after="80"/>
      </w:pPr>
      <w:r>
        <w:rPr>
          <w:b w:val="0"/>
          <w:i w:val="0"/>
        </w:rPr>
        <w:t>4. Với sự ra đời của các nghị quyết "say on pay" (điều khoản được áp đặt lên các công ty đại chúng trong Dodd-Frank), số lượng đề xuất mà nhà đầu tư phải xem xét đã tăng lên. Do đó, các nhà đầu tư tổ chức thấy mình phải bỏ phiếu nhiều hơn trong một khoảng thời gian ngắn về những vấn đề thù lao phức tạp. Điều này có thể tác động thế nào đến các dịch vụ do các công ty tư vấn ủy quyền (proxy advisory firm) cung cấp?</w:t>
      </w:r>
    </w:p>
    <w:p>
      <w:pPr>
        <w:spacing w:after="80"/>
      </w:pPr>
      <w:r>
        <w:rPr>
          <w:b w:val="0"/>
          <w:i w:val="0"/>
        </w:rPr>
        <w:t xml:space="preserve">5. Đã xuất hiện những lời kêu gọi SEC giám sát chặt chẽ hơn. </w:t>
      </w:r>
      <w:r>
        <w:rPr>
          <w:b w:val="0"/>
          <w:i/>
        </w:rPr>
        <w:t>Xem</w:t>
      </w:r>
      <w:r>
        <w:rPr>
          <w:b w:val="0"/>
          <w:i w:val="0"/>
        </w:rPr>
        <w:t xml:space="preserve"> Ủy viên Daniel M. Gallagher, </w:t>
      </w:r>
      <w:r>
        <w:rPr>
          <w:b w:val="0"/>
          <w:i/>
        </w:rPr>
        <w:t>Remarks at Society of Corporate Secretaries &amp; Governance Professionals</w:t>
      </w:r>
      <w:r>
        <w:rPr>
          <w:b w:val="0"/>
          <w:i w:val="0"/>
        </w:rPr>
        <w:t xml:space="preserve"> , Hội nghị Quốc gia lần thứ 67, Seattle, Washington, ngày 11 tháng 7 năm 2013 ("Ủy ban nên xem xét một cách căn bản vai trò và quy định đối với các công ty tư vấn ủy quyền và khám phá những cải cách khả thi, bao gồm, nhưng không giới hạn ở, yêu cầu họ tuân theo một quy tắc ứng xử phổ quát, đảm bảo rằng các khuyến nghị của họ được thiết kế để gia tăng giá trị cho cổ đông, tăng tính minh bạch trong phương pháp của họ, đảm bảo rằng các xung đột lợi ích được xử lý thỏa đáng, và tăng cường trách nhiệm giải trình tổng thể của họ."). Bạn nghĩ gì về đề xuất này?</w:t>
      </w:r>
    </w:p>
    <w:p>
      <w:pPr>
        <w:spacing w:after="80"/>
      </w:pPr>
      <w:r>
        <w:rPr>
          <w:b w:val="0"/>
          <w:i w:val="0"/>
        </w:rPr>
        <w:t xml:space="preserve">6. Có lẽ khía cạnh gây tranh cãi nhất của các công ty này liên quan đến tác động của các khuyến nghị của họ đối với quá trình bỏ phiếu. Các khuyến nghị tiêu cực sẽ làm tăng tỷ lệ phiếu chống. </w:t>
      </w:r>
      <w:r>
        <w:rPr>
          <w:b w:val="0"/>
          <w:i/>
        </w:rPr>
        <w:t>Xem Yucaipa Am. Alliance Fund II, L.P. v. Riggio</w:t>
      </w:r>
      <w:r>
        <w:rPr>
          <w:b w:val="0"/>
          <w:i w:val="0"/>
        </w:rPr>
        <w:t xml:space="preserve"> , 1 A.3d 310, 357 (Del. Ch. 2010), </w:t>
      </w:r>
      <w:r>
        <w:rPr>
          <w:b w:val="0"/>
          <w:i/>
        </w:rPr>
        <w:t>aff'd</w:t>
      </w:r>
      <w:r>
        <w:rPr>
          <w:b w:val="0"/>
          <w:i w:val="0"/>
        </w:rPr>
        <w:t xml:space="preserve"> , 15 A.3d 218 (Del. 2011) ("[T]ất cả các chuyên gia trong vụ án đều đưa ra một điểm có thể khiến đối tượng bình luận của họ phải đỏ mặt. Tất cả đều nói rằng một trong những yếu tố then chốt quyết định kết quả của một cuộc tranh chấp ủy quyền sẽ là khuyến nghị của các công ty cung cấp cho nhà đầu tư tổ chức lời khuyên về cách bỏ phiếu, tức cái gọi là 'các công ty tư vấn ủy quyền.'"). Một phần của sự gia tăng này có thể xuất phát từ việc nhà đầu tư tự động làm theo khuyến nghị của các công ty này. Tuy nhiên, một phần cũng có thể xuất phát từ "nhiễu" (noise) đi kèm với một khuyến nghị tiêu cực.</w:t>
      </w:r>
    </w:p>
    <w:p>
      <w:pPr>
        <w:pStyle w:val="Heading2"/>
      </w:pPr>
      <w:r>
        <w:rPr>
          <w:rFonts w:ascii="Calibri" w:hAnsi="Calibri"/>
          <w:b/>
          <w:i w:val="0"/>
          <w:sz w:val="32"/>
        </w:rPr>
        <w:t>II. Bỏ phiếu theo Đa số so với Đa số tương đối</w:t>
      </w:r>
    </w:p>
    <w:p>
      <w:pPr>
        <w:spacing w:after="80"/>
      </w:pPr>
      <w:r>
        <w:rPr>
          <w:b w:val="0"/>
          <w:i w:val="0"/>
        </w:rPr>
        <w:t>Cho đến thiên niên kỷ mới, các giám đốc gần như phổ biến được bầu thông qua hệ thống bỏ phiếu đa số tương đối (plurality voting). Bỏ phiếu đa số tương đối có nghĩa là cổ phiếu không được bỏ phiếu thuận hay chống lại các giám đốc. Thay vào đó, các ứng viên có nhiều phiếu nhất sẽ được bầu. Trong lĩnh vực công ty đại chúng, các ứng viên cho hội đồng quản trị thường được ban điều hành đề cử và tranh cử không có đối thủ. Trong các cuộc bầu cử không có đối thủ, hệ thống đa số tương đối đảm bảo rằng những người được đề cử tự động thắng, bất kể số cổ phiếu bỏ phiếu "chống" họ là bao nhiêu.</w:t>
      </w:r>
    </w:p>
    <w:p>
      <w:pPr>
        <w:spacing w:after="80"/>
      </w:pPr>
      <w:r>
        <w:rPr>
          <w:b w:val="0"/>
          <w:i w:val="0"/>
        </w:rPr>
        <w:t xml:space="preserve">Áp lực thay đổi hệ thống bắt đầu với chiến dịch "just vote no" (chỉ bỏ phiếu không) do Giáo sư Joseph Grundfest tại Trường Luật Stanford khởi xướng. </w:t>
      </w:r>
      <w:r>
        <w:rPr>
          <w:b w:val="0"/>
          <w:i/>
        </w:rPr>
        <w:t>Xem</w:t>
      </w:r>
      <w:r>
        <w:rPr>
          <w:b w:val="0"/>
          <w:i w:val="0"/>
        </w:rPr>
        <w:t xml:space="preserve"> Joseph A. Grundfest, </w:t>
      </w:r>
      <w:r>
        <w:rPr>
          <w:b w:val="0"/>
          <w:i/>
        </w:rPr>
        <w:t>Just Vote No: A Minimalist Strategy for Dealing with Barbarians Inside the Gates</w:t>
      </w:r>
      <w:r>
        <w:rPr>
          <w:b w:val="0"/>
          <w:i w:val="0"/>
        </w:rPr>
        <w:t xml:space="preserve"> , 45 Stan. L. Rev. 857, 862 (1993). Bằng cách bỏ phiếu không (thực chất là giữ lại phiếu) chống lại một giám đốc không có đối thủ, cổ đông có thể gửi đi thông điệp về mức độ bất mãn của họ đối với ứng viên đó. Cách tiếp cận này được đưa vào thực tiễn khi, vào năm 2004, 45% cổ đông tại The Walt Disney Corporation bỏ phiếu chống lại việc bầu Michael Eisner, CEO, vào hội đồng quản trị.</w:t>
      </w:r>
    </w:p>
    <w:p>
      <w:pPr>
        <w:spacing w:after="80"/>
      </w:pPr>
      <w:r>
        <w:rPr>
          <w:b w:val="0"/>
          <w:i w:val="0"/>
        </w:rPr>
        <w:t>Không bằng lòng với những thông điệp mang tính biểu tượng, cổ đông bắt đầu thúc đẩy một hệ thống bỏ phiếu theo đa số (majority voting) nơi các phiếu chống lại một giám đốc thực sự có ý nghĩa. Cổ đông đệ trình các đề xuất theo Rule 14a-8 kêu gọi các giám đốc triển khai một hệ thống như vậy và nhiều đề xuất đã nhận được sự ủng hộ đa số. Nhanh chóng, một số lượng lớn công ty đã đưa ra các chính sách yêu cầu giám đốc phải nhận được đa số phiếu bầu.</w:t>
      </w:r>
    </w:p>
    <w:p>
      <w:pPr>
        <w:spacing w:after="80"/>
      </w:pPr>
      <w:r>
        <w:rPr>
          <w:b w:val="0"/>
          <w:i w:val="0"/>
        </w:rPr>
        <w:t>Tuy nhiên, các điều khoản này vấp phải một số vấn đề pháp lý. Luật tiểu bang vẫn tiếp tục dựa vào bỏ phiếu đa số tương đối để bầu giám đốc. Kết quả là, các giám đốc không nhận được đa số phiếu bầu vẫn được bầu theo luật tiểu bang. Do đó, thực tiễn nảy sinh là yêu cầu các giám đốc không nhận được đa số phiếu phải từ chức và để hội đồng quản trị quyết định có chấp nhận đơn từ chức hay không.</w:t>
      </w:r>
    </w:p>
    <w:p>
      <w:pPr>
        <w:spacing w:after="80"/>
      </w:pPr>
      <w:r>
        <w:rPr>
          <w:b w:val="0"/>
          <w:i w:val="0"/>
        </w:rPr>
        <w:t>Trong khoảng vài năm ngắn ngủi, các điều khoản bỏ phiếu theo đa số đã trở nên phổ biến, ít nhất là trong các công ty đại chúng lớn hơn. Một số người coi đây là thắng lợi cho hoạt động vận động của cổ đông, những người khác coi đó là sự tái khẳng định trật tự tư nhân (private ordering). Tuy nhiên, trong một số trường hợp, giá trị đối với cổ đông, suy cho cùng, không phải lúc nào cũng rõ ràng.</w:t>
      </w:r>
    </w:p>
    <w:p>
      <w:pPr>
        <w:pStyle w:val="Heading4"/>
      </w:pPr>
      <w:r>
        <w:rPr>
          <w:rFonts w:ascii="Calibri" w:hAnsi="Calibri"/>
          <w:b/>
          <w:i w:val="0"/>
          <w:sz w:val="23"/>
        </w:rPr>
        <w:t>City of Westland Police &amp; Fire Retirement System v.</w:t>
      </w:r>
      <w:r>
        <w:br/>
      </w:r>
      <w:r>
        <w:rPr>
          <w:rFonts w:ascii="Calibri" w:hAnsi="Calibri"/>
          <w:b/>
          <w:i w:val="0"/>
          <w:sz w:val="23"/>
        </w:rPr>
        <w:t xml:space="preserve"> Axcelis Technologies, Inc.</w:t>
      </w:r>
    </w:p>
    <w:p>
      <w:pPr>
        <w:spacing w:after="80"/>
      </w:pPr>
      <w:r>
        <w:rPr>
          <w:b w:val="0"/>
          <w:i w:val="0"/>
        </w:rPr>
        <w:t>Tòa án Chancery Delaware</w:t>
      </w:r>
      <w:r>
        <w:br/>
      </w:r>
      <w:r>
        <w:rPr>
          <w:b w:val="0"/>
          <w:i w:val="0"/>
        </w:rPr>
        <w:t xml:space="preserve"> 2009 Del. Ch. LEXIS 173 (ngày 28 tháng 9 năm 2009), </w:t>
      </w:r>
      <w:r>
        <w:rPr>
          <w:b w:val="0"/>
          <w:i/>
        </w:rPr>
        <w:t>aff'd</w:t>
      </w:r>
      <w:r>
        <w:rPr>
          <w:b w:val="0"/>
          <w:i w:val="0"/>
        </w:rPr>
        <w:t xml:space="preserve"> , 1 A.3d 281 (2010)</w:t>
      </w:r>
    </w:p>
    <w:p>
      <w:pPr>
        <w:spacing w:after="80"/>
      </w:pPr>
      <w:r>
        <w:rPr>
          <w:b w:val="0"/>
          <w:i w:val="0"/>
        </w:rPr>
        <w:t>NOBLE , PHÓ CHÁNH ÁN :</w:t>
      </w:r>
    </w:p>
    <w:p>
      <w:pPr>
        <w:spacing w:after="80"/>
      </w:pPr>
      <w:r>
        <w:rPr>
          <w:b w:val="0"/>
          <w:i w:val="0"/>
        </w:rPr>
        <w:t>* * *</w:t>
      </w:r>
    </w:p>
    <w:p>
      <w:pPr>
        <w:spacing w:after="80"/>
      </w:pPr>
      <w:r>
        <w:rPr>
          <w:b w:val="0"/>
          <w:i w:val="0"/>
        </w:rPr>
        <w:t>Bị đơn Axcelis Technologies, Inc. ("Axcelis" hay "Công ty") là một công ty Delaware chuyên về sản xuất thiết bị cấy ion (ion implantation) và thiết bị bán dẫn (semiconductor).</w:t>
      </w:r>
    </w:p>
    <w:p>
      <w:pPr>
        <w:spacing w:after="80"/>
      </w:pPr>
      <w:r>
        <w:rPr>
          <w:b w:val="0"/>
          <w:i w:val="0"/>
        </w:rPr>
        <w:t>SHI là một công ty Nhật Bản cũng sản xuất và bán thiết bị bán dẫn. Năm 1983, Axcelis và SHI trở thành đối tác ngang hàng trong một liên doanh có tên SEN. SEN, giống như Axcelis và SHI, sản xuất thiết bị cấy ion và thiết bị bán dẫn. SEN là một tài sản quan trọng đối với cả Axcelis và SHI.</w:t>
      </w:r>
    </w:p>
    <w:p>
      <w:pPr>
        <w:spacing w:after="80"/>
      </w:pPr>
      <w:r>
        <w:rPr>
          <w:b w:val="0"/>
          <w:i w:val="0"/>
        </w:rPr>
        <w:t>* * *</w:t>
      </w:r>
    </w:p>
    <w:p>
      <w:pPr>
        <w:spacing w:after="80"/>
      </w:pPr>
      <w:r>
        <w:rPr>
          <w:b w:val="0"/>
          <w:i w:val="0"/>
        </w:rPr>
        <w:t xml:space="preserve">B. </w:t>
      </w:r>
      <w:r>
        <w:rPr>
          <w:b w:val="0"/>
          <w:i/>
        </w:rPr>
        <w:t>Các đề xuất của SHI</w:t>
      </w:r>
    </w:p>
    <w:p>
      <w:pPr>
        <w:spacing w:after="80"/>
      </w:pPr>
      <w:r>
        <w:rPr>
          <w:b w:val="0"/>
          <w:i w:val="0"/>
        </w:rPr>
        <w:t>Vào ngày 4 tháng 2 năm 2008, SHI (cùng với TPG Capital LLP) đã đưa ra một đề nghị mua lại Axcelis không được yêu cầu trước với giá 5,20 đô la mỗi cổ phiếu. Cổ phiếu của Axcelis đóng cửa ở mức 4,18 đô la mỗi cổ phiếu vào ngày hôm đó. Ba ngày sau, Axcelis thông báo cho SHI rằng họ sẽ phản hồi đề xuất mua lại sau khi hoàn tất các cuộc thảo luận với một số cố vấn. Hội đồng quản trị đã bác bỏ đề xuất của SHI vào ngày 25 tháng 2 năm 2008. Hội đồng quản trị nhận thấy rằng mức giá 5,20 đô la mỗi cổ phiếu không đủ để bù đắp thỏa đáng cho các cổ đông về giá trị hiệp lực của liên doanh SEN và đã bỏ qua cơ hội kinh doanh đáng kể để giành lại thị phần từ các đối thủ cạnh tranh của Axcelis.</w:t>
      </w:r>
    </w:p>
    <w:p>
      <w:pPr>
        <w:spacing w:after="80"/>
      </w:pPr>
      <w:r>
        <w:rPr>
          <w:b w:val="0"/>
          <w:i w:val="0"/>
        </w:rPr>
        <w:t>Vào ngày 10 tháng 3 năm 2008, SHI một lần nữa đề xuất mua lại Axcelis, lần này với mức giá 6 đô la mỗi cổ phiếu. Cổ phiếu của Axcelis đóng cửa ở mức 5,45 đô la mỗi cổ phiếu vào ngày hôm đó. Vào ngày 17 tháng 3 năm 2008, Hội đồng quản trị lại bác bỏ những đề nghị của SHI. Hội đồng quản trị kết luận rằng, mặc dù “một cách tiếp cận ‘một công ty’ kết hợp Axcelis và SEN có thể mang lại những hiệp lực đáng kể về vận hành và thương mại, . . . [nhưng] quan điểm của [họ] về các điều kiện thị trường hiện tại và về triển vọng của công ty khi các điều kiện thị trường thực sự cải thiện” đã dẫn đến niềm tin rằng một thương vụ với SHI sẽ không mang lại lợi ích tốt nhất cho các cổ đông. Hội đồng quản trị cũng lưu ý cảm nhận của mình rằng, để tham gia vào các cuộc thảo luận nghiêm túc và hiệu quả với SHI, cần phải có một số trao đổi thông tin mật, và SHI vẫn chưa đồng ý giữ bí mật những thông tin và cuộc thảo luận đó.</w:t>
      </w:r>
    </w:p>
    <w:p>
      <w:pPr>
        <w:spacing w:after="80"/>
      </w:pPr>
      <w:r>
        <w:rPr>
          <w:b w:val="0"/>
          <w:i w:val="0"/>
        </w:rPr>
        <w:t xml:space="preserve">C. </w:t>
      </w:r>
      <w:r>
        <w:rPr>
          <w:b w:val="0"/>
          <w:i/>
        </w:rPr>
        <w:t>Cuộc họp cổ đông Axcelis tháng 5 năm 2008, bầu cử giám đốc, và việc bác bỏ đơn từ chức của giám đốc</w:t>
      </w:r>
    </w:p>
    <w:p>
      <w:pPr>
        <w:spacing w:after="80"/>
      </w:pPr>
      <w:r>
        <w:rPr>
          <w:b w:val="0"/>
          <w:i w:val="0"/>
        </w:rPr>
        <w:t>Vào ngày 1 tháng 5 năm 2008, Axcelis đã tổ chức cuộc họp cổ đông thường niên. Nhiệm kỳ của ba giám đốc sắp hết hạn, và mỗi người đều tranh cử không có đối thủ để tái đắc cử vào Hội đồng quản trị. Những giám đốc đó là Hardis, Fletcher và Thompson (“Ba Giám đốc”). Axcelis tuân theo các quy định bỏ phiếu đa số tương đối của luật Delaware, và do đó một giám đốc có thể được bầu mà không cần nhận được đa số phiếu bầu trong một cuộc bầu cử nhất định. Mỗi người trong Ba Giám đốc nhận được ít hơn đa số phiếu bầu trong cuộc tái tranh cử của mình. Tòa án giả định lập trường của Nguyên đơn là đúng: rằng việc Ba Giám đốc không nhận được đa số phiếu bầu trong các cuộc tái tranh cử của họ là kết quả của một nỗ lực phối hợp của ít nhất một số cổ đông Axcelis nhằm “gửi một thông điệp đến hội đồng quản trị, bày tỏ sự bất mãn của họ với việc [C]ông ty không phản hồi SHI” bằng cách không ủng hộ mỗi người trong Ba Giám đốc đang tái tranh cử tại cuộc họp thường niên năm 2008.</w:t>
      </w:r>
    </w:p>
    <w:p>
      <w:pPr>
        <w:spacing w:after="80"/>
      </w:pPr>
      <w:r>
        <w:rPr>
          <w:b w:val="0"/>
          <w:i w:val="0"/>
        </w:rPr>
        <w:t>Việc không nhận được ít nhất đa số phiếu bầu đã kích hoạt một trong các chính sách quản trị doanh nghiệp của Axcelis. Theo chính sách này (“Chính sách”), các giám đốc không nhận được đa số phiếu bầu của cổ đông phải nộp đơn từ chức của họ cho Ủy ban Đề cử và Quản trị Doanh nghiệp của Hội đồng quản trị, ủy ban này sau đó phải xem xét và đề xuất với Hội đồng quản trị liệu những đơn từ chức đó nên được chấp nhận hay bác bỏ. Hội đồng quản trị sau đó phải chấp nhận hoặc bác bỏ bất kỳ đơn từ chức nào do các giám đốc của mình nộp theo Chính sách. Sau cuộc bỏ phiếu ngày 1 tháng 5 năm 2008, Ba Giám đốc đã đề nghị từ chức vị trí của họ. Thông qua một thông cáo báo chí ngày 23 tháng 5 năm 2008, Hội đồng quản trị đã công bố quyết định không chấp nhận những đơn từ chức đó.</w:t>
      </w:r>
    </w:p>
    <w:p>
      <w:pPr>
        <w:spacing w:after="80"/>
      </w:pPr>
      <w:r>
        <w:rPr>
          <w:b w:val="0"/>
          <w:i w:val="0"/>
        </w:rPr>
        <w:t>Thông cáo báo chí nêu rằng:</w:t>
      </w:r>
    </w:p>
    <w:p>
      <w:pPr>
        <w:spacing w:after="80"/>
      </w:pPr>
      <w:r>
        <w:rPr>
          <w:b w:val="0"/>
          <w:i w:val="0"/>
        </w:rPr>
        <w:t>Khi đưa ra quyết định của mình, Hội đồng quản trị đã xem xét một số yếu tố liên quan đến lợi ích tốt nhất của Axcelis. Hội đồng quản trị lưu ý rằng ba giám đốc này có kinh nghiệm và hiểu biết về Công ty, và rằng nếu đơn từ chức của họ được chấp nhận, Hội đồng quản trị sẽ chỉ còn lại bốn giám đốc. Một hoặc nhiều người trong ba giám đốc này phục vụ trong mỗi ủy ban chủ chốt của Công ty và ông Hardis giữ vai trò giám đốc chính. Hội đồng quản trị tin rằng việc mất đi kinh nghiệm và kiến thức này sẽ gây tổn hại cho Công ty. Hội đồng quản trị cũng lưu ý rằng việc giữ lại các giám đốc này đặc biệt quan trọng nếu Axcelis có thể tiến hành các cuộc thảo luận với SHI sau khi hoàn tất một thỏa thuận bảo mật phù hợp.</w:t>
      </w:r>
    </w:p>
    <w:p>
      <w:pPr>
        <w:spacing w:after="80"/>
      </w:pPr>
      <w:r>
        <w:rPr>
          <w:b w:val="0"/>
          <w:i w:val="0"/>
        </w:rPr>
        <w:t>Hội đồng quản trị cũng bày tỏ ý định phản hồi những lo ngại của cổ đông đã dẫn đến các phiếu không ủng hộ. Hội đồng quản trị đang tìm cách tham gia vào các cuộc thảo luận mật với SHI và, trước Cuộc họp Thường niên năm sau, Hội đồng quản trị sẽ xem xét đề xuất ủng hộ một đề xuất phân loại lại tại cuộc họp đó.</w:t>
      </w:r>
    </w:p>
    <w:p>
      <w:pPr>
        <w:spacing w:after="80"/>
      </w:pPr>
      <w:r>
        <w:rPr>
          <w:b w:val="0"/>
          <w:i w:val="0"/>
        </w:rPr>
        <w:t>* * *</w:t>
      </w:r>
    </w:p>
    <w:p>
      <w:pPr>
        <w:spacing w:after="80"/>
      </w:pPr>
      <w:r>
        <w:rPr>
          <w:b w:val="0"/>
          <w:i w:val="0"/>
        </w:rPr>
        <w:t xml:space="preserve">E. </w:t>
      </w:r>
      <w:r>
        <w:rPr>
          <w:b w:val="0"/>
          <w:i/>
        </w:rPr>
        <w:t>Yêu cầu theo Mục 220</w:t>
      </w:r>
    </w:p>
    <w:p>
      <w:pPr>
        <w:spacing w:after="80"/>
      </w:pPr>
      <w:r>
        <w:rPr>
          <w:b w:val="0"/>
          <w:i w:val="0"/>
        </w:rPr>
        <w:t>Nguyên đơn đã gửi một Yêu cầu, đề ngày 9 tháng 12 năm 2008, đến Axcelis qua thư chuyển phát qua đêm. Yêu cầu này tìm kiếm việc kiểm tra các loại sổ sách và hồ sơ sau:</w:t>
      </w:r>
    </w:p>
    <w:p>
      <w:pPr>
        <w:spacing w:after="80"/>
      </w:pPr>
      <w:r>
        <w:rPr>
          <w:b w:val="0"/>
          <w:i w:val="0"/>
        </w:rPr>
        <w:t>* * *</w:t>
      </w:r>
    </w:p>
    <w:p>
      <w:pPr>
        <w:spacing w:after="80"/>
      </w:pPr>
      <w:r>
        <w:rPr>
          <w:b w:val="0"/>
          <w:i w:val="0"/>
        </w:rPr>
        <w:t>6. Tất cả biên bản các chương trình nghị sự của các cuộc họp (bao gồm tất cả biên bản dự thảo và tài liệu kèm theo của các biên bản và chương trình nghị sự đó) của Hội đồng quản trị mà tại đó Hội đồng quản trị đã thảo luận, xem xét hoặc được trình bày thông tin liên quan đến hoặc có liên quan tới quyết định của Hội đồng quản trị không chấp nhận đơn từ chức của các Giám đốc Stephen R. Hardis, R. John Fletcher và H. Brian Thompson.</w:t>
      </w:r>
    </w:p>
    <w:p>
      <w:pPr>
        <w:spacing w:after="80"/>
      </w:pPr>
      <w:r>
        <w:rPr>
          <w:b w:val="0"/>
          <w:i w:val="0"/>
        </w:rPr>
        <w:t>7. Tất cả tài liệu được Hội đồng quản trị xem xét, cân nhắc hoặc tạo ra liên quan đến quyết định của Hội đồng quản trị không chấp nhận đơn từ chức của các Giám đốc Stephen R. Hardis, R. John Fletcher và H. Brian Thompson.</w:t>
      </w:r>
    </w:p>
    <w:p>
      <w:pPr>
        <w:spacing w:after="80"/>
      </w:pPr>
      <w:r>
        <w:rPr>
          <w:b w:val="0"/>
          <w:i w:val="0"/>
        </w:rPr>
        <w:t>* * *</w:t>
      </w:r>
    </w:p>
    <w:p>
      <w:pPr>
        <w:spacing w:after="80"/>
      </w:pPr>
      <w:r>
        <w:rPr>
          <w:b w:val="0"/>
          <w:i w:val="0"/>
        </w:rPr>
        <w:t xml:space="preserve">G. </w:t>
      </w:r>
      <w:r>
        <w:rPr>
          <w:b w:val="0"/>
          <w:i/>
        </w:rPr>
        <w:t>Hành vi sai trái bị cáo buộc</w:t>
      </w:r>
    </w:p>
    <w:p>
      <w:pPr>
        <w:spacing w:after="80"/>
      </w:pPr>
      <w:r>
        <w:rPr>
          <w:b w:val="0"/>
          <w:i w:val="0"/>
        </w:rPr>
        <w:t>Nguyên đơn cáo buộc rằng có một cơ sở đáng tin cậy để Tòa án này suy luận rằng Hội đồng quản trị đã vi phạm nghĩa vụ ủy thác của mình đối với cổ đông bằng cách: . . . (3) giữ lại ba ứng viên cho Hội đồng quản trị sau khi đa số cổ đông từ chối ủng hộ họ, được cho là do họ không đàm phán với SHI; . . .</w:t>
      </w:r>
    </w:p>
    <w:p>
      <w:pPr>
        <w:spacing w:after="80"/>
      </w:pPr>
      <w:r>
        <w:rPr>
          <w:b w:val="0"/>
          <w:i w:val="0"/>
        </w:rPr>
        <w:t>* * *</w:t>
      </w:r>
    </w:p>
    <w:p>
      <w:pPr>
        <w:spacing w:after="80"/>
      </w:pPr>
      <w:r>
        <w:rPr>
          <w:b w:val="0"/>
          <w:i w:val="0"/>
        </w:rPr>
        <w:t xml:space="preserve">B. </w:t>
      </w:r>
      <w:r>
        <w:rPr>
          <w:b w:val="0"/>
          <w:i/>
        </w:rPr>
        <w:t>Nguyên đơn đã chứng minh được mục đích chính đáng chưa?</w:t>
      </w:r>
    </w:p>
    <w:p>
      <w:pPr>
        <w:spacing w:after="80"/>
      </w:pPr>
      <w:r>
        <w:rPr>
          <w:b w:val="0"/>
          <w:i w:val="0"/>
        </w:rPr>
        <w:t>Nguyên đơn ở đây tìm cách kiểm tra sổ sách và hồ sơ của Axcelis nhằm mục đích điều tra xem liệu các thành viên Hội đồng quản trị có vi phạm nghĩa vụ ủy thác của mình hay không liên quan đến: (1) quyết định của Hội đồng quản trị giữ lại Ba Giám đốc, những người đã nộp đơn từ chức lên Hội đồng quản trị theo chính sách hiện hành của Hội đồng quản trị sau đại hội thường niên; . . .</w:t>
      </w:r>
    </w:p>
    <w:p>
      <w:pPr>
        <w:spacing w:after="80"/>
      </w:pPr>
      <w:r>
        <w:rPr>
          <w:b w:val="0"/>
          <w:i w:val="0"/>
        </w:rPr>
        <w:t>1. Quyết định của Hội đồng quản trị giữ lại Ba Giám đốc</w:t>
      </w:r>
    </w:p>
    <w:p>
      <w:pPr>
        <w:spacing w:after="80"/>
      </w:pPr>
      <w:r>
        <w:rPr>
          <w:b w:val="0"/>
          <w:i w:val="0"/>
        </w:rPr>
        <w:t xml:space="preserve">Theo Nguyên đơn, các thành viên Hội đồng quản trị giữ lại Ba Giám đốc nhằm mục đích củng cố vị trí của những giám đốc đó và chính bản thân họ trong bộ máy lãnh đạo. Nguyên đơn lập luận rằng, vì sự "can thiệp" này vào quyền bầu cử của cổ đông nhằm mục đích củng cố quyền lực, Hội đồng quản trị phải gánh trách nhiệm nặng nề là biện minh cho hành động của mình theo tiêu chuẩn biện minh thuyết phục được nêu trong </w:t>
      </w:r>
      <w:r>
        <w:rPr>
          <w:b w:val="0"/>
          <w:i/>
        </w:rPr>
        <w:t>Blasius Indus., Inc. v. Atlas Corp.</w:t>
      </w:r>
      <w:r>
        <w:rPr>
          <w:b w:val="0"/>
          <w:i w:val="0"/>
        </w:rPr>
        <w:t xml:space="preserve"> Ngoài ra, Nguyên đơn lập luận rằng Hội đồng quản trị phải biện minh cho hành động của mình theo tiêu chuẩn hợp lý và tương xứng của </w:t>
      </w:r>
      <w:r>
        <w:rPr>
          <w:b w:val="0"/>
          <w:i/>
        </w:rPr>
        <w:t>Unocal Corp. v. Mesa Petroleum Co.</w:t>
      </w:r>
      <w:r>
        <w:rPr>
          <w:b w:val="0"/>
          <w:i w:val="0"/>
        </w:rPr>
        <w:t xml:space="preserve"> bởi vì quyết định giữ lại Ba Giám đốc là một biện pháp phòng vệ được thiết kế để đánh bại hoặc cản trở việc thay đổi quyền kiểm soát.</w:t>
      </w:r>
    </w:p>
    <w:p>
      <w:pPr>
        <w:spacing w:after="80"/>
      </w:pPr>
      <w:r>
        <w:rPr>
          <w:b w:val="0"/>
          <w:i w:val="0"/>
        </w:rPr>
        <w:t>Tòa án không cần phải giải quyết tiêu chuẩn xem xét thực chất phù hợp đối với hành vi của hội đồng quản trị theo các chính sách kiểu Pfizer này bởi vì Nguyên đơn không chứng minh được bất kỳ cơ sở đáng tin cậy nào để Tòa án có thể suy luận ra những giả định nền tảng mà lý thuyết của Nguyên đơn dựa vào: rằng quyết định giữ lại Ba Giám đốc của Hội đồng quản trị hoặc là được thúc đẩy bởi động cơ củng cố quyền lực hoặc là có tính chất phòng vệ.</w:t>
      </w:r>
    </w:p>
    <w:p>
      <w:pPr>
        <w:spacing w:after="80"/>
      </w:pPr>
      <w:r>
        <w:rPr>
          <w:b w:val="0"/>
          <w:i w:val="0"/>
        </w:rPr>
        <w:t>Không có bằng chứng nào trong hồ sơ về bất kỳ động cơ củng cố quyền lực nào. Chỉ có những lời cáo buộc suông của Nguyên đơn gợi ý về động cơ như vậy, và những lời cáo buộc suông thì không đủ. Nguyên đơn đã không chứng minh được lý do tại sao Tòa án nên nghi ngờ rằng các thành viên giám đốc độc lập, bên ngoài của Hội đồng quản trị lại có động cơ duy trì Ba Giám đốc trong bộ máy lãnh đạo. Ba Giám đốc đã được tái bầu hợp lệ vào Hội đồng quản trị theo các quy định bầu cử đa số tương đối của luật doanh nghiệp Delaware. Với sự thật này, các Nguyên đơn không, và không thể, phản đối. Tuy nhiên, vì một số lượng cổ đông nhất định đã giữ lại phiếu bầu của mình, một chính sách quản trị do Hội đồng quản trị ban hành đã được kích hoạt, yêu cầu mỗi người trong Ba Giám đốc phải nộp đơn từ chức lên một ủy ban do Hội đồng quản trị chỉ định, ủy ban này sau đó sẽ đề xuất liệu Hội đồng quản trị có nên, theo toàn quyền quyết định của mình, chấp nhận đơn từ chức hay không. Nguyên đơn lập luận rằng một số lượng đủ cổ đông đã giữ lại phiếu bầu của mình với niềm tin vào, và mong muốn kích hoạt, Chính sách này. Nếu đúng như vậy, họ đã thành công; những cổ đông này đã đạt được mục tiêu mong muốn và Chính sách đã được kích hoạt.</w:t>
      </w:r>
    </w:p>
    <w:p>
      <w:pPr>
        <w:spacing w:after="80"/>
      </w:pPr>
      <w:r>
        <w:rPr>
          <w:b w:val="0"/>
          <w:i w:val="0"/>
        </w:rPr>
        <w:t>Vấn đề đối với Nguyên đơn là Chính sách đã trao quyền quyết định có chấp nhận đơn từ chức của Ba Giám đốc hay không cho Hội đồng quản trị. Bằng cách từ chối chấp nhận những đơn từ chức này, Hội đồng quản trị đã thực thi kết quả của một cuộc bầu cử cổ đông hợp lệ. Không có bằng chứng nào cho thấy Hội đồng quản trị đã xác định, và sau đó tìm cách cản trở, ý chí của quyền bầu cử cổ đông bằng cách từ chối chấp nhận đơn từ chức của Ba Giám đốc.</w:t>
      </w:r>
    </w:p>
    <w:p>
      <w:pPr>
        <w:spacing w:after="80"/>
      </w:pPr>
      <w:r>
        <w:rPr>
          <w:b w:val="0"/>
          <w:i w:val="0"/>
        </w:rPr>
        <w:t>Nguyên đơn lập luận rằng những biện minh được cho là của Hội đồng quản trị cho việc giữ lại Ba Giám đốc theo Chính sách không nhất quán về mặt logic với hồ sơ, và sự bất nhất này tạo ra một cơ sở đáng tin cậy để Tòa án có thể suy luận ra hành vi sai trái dưới hình thức vi phạm nghĩa vụ trung thành của Hội đồng quản trị. Nguyên đơn xác định sự bất nhất bị cáo buộc này như sau: SHI tuyên bố trong các phát ngôn công khai của mình rằng họ đã cố gắng đàm phán với Hội đồng quản trị Axcelis trong gần hai năm, nhưng liên tục bị từ chối. Tuy nhiên, Hội đồng quản trị biện minh cho việc giữ lại Ba Giám đốc là điều thiết yếu để tiến hành bất kỳ cuộc đàm phán nào với SHI. Sự bất nhất bị cáo buộc này không phải là một cơ sở đủ đáng tin cậy để Tòa án có thể suy luận ra hành vi sai trái.</w:t>
      </w:r>
    </w:p>
    <w:p>
      <w:pPr>
        <w:spacing w:after="80"/>
      </w:pPr>
      <w:r>
        <w:rPr>
          <w:b w:val="0"/>
          <w:i w:val="0"/>
        </w:rPr>
        <w:t>Tiến hành đàm phán với SHI không phải là biện minh duy nhất cho việc giữ lại Ba Giám đốc. Hội đồng quản trị cũng đánh giá cao kinh nghiệm và kiến thức của họ về việc quản lý Axcelis, cũng như việc họ đã phục vụ trong một số ủy ban quan trọng của Axcelis. Hồ sơ cho thấy rằng, trong suốt các cuộc đàm phán trước đó với SHI, Hội đồng quản trị đã khăng khăng yêu cầu một hình thức thỏa thuận bảo mật nào đó trước khi tiến hành—một yêu cầu mà SHI đã né tránh. Ngay sau khi quyết định giữ lại Ba Giám đốc của Hội đồng quản trị được đưa ra, Axcelis và SHI đã ký kết một thỏa thuận bảo mật và các cuộc đàm phán đã tiến triển, dù không thành công. Tóm lại, những biện minh được cho là cho việc giữ lại Ba Giám đốc không mâu thuẫn về mặt thực chất với hồ sơ và không chứng minh được một cơ sở đáng tin cậy để suy luận ra hành vi sai trái.</w:t>
      </w:r>
    </w:p>
    <w:p>
      <w:pPr>
        <w:spacing w:after="80"/>
      </w:pPr>
      <w:r>
        <w:rPr>
          <w:b w:val="0"/>
          <w:i w:val="0"/>
        </w:rPr>
        <w:t>Tuy nhiên, Nguyên đơn lập luận rằng việc Hội đồng quản trị thực hiện quyền quyết định theo Chính sách đòi hỏi sự xem xét kỹ lưỡng hơn và sự nghi ngờ về hành vi sai trái. Logic của Nguyên đơn không đủ đáng tin cậy để hỗ trợ sự nghi ngờ như vậy. Lập trường của Nguyên đơn sẽ đòi hỏi Tòa án này phải chấp nhận lý thuyết rằng chỉ cần cổ đông tin tưởng vào một chính sách quản trị do hội đồng quản trị ban hành cũng có thể thực sự viết lại các quy định bầu cử được nêu trong điều lệ của công ty. Điều lệ của Axcelis quy định việc bầu giám đốc bằng bỏ phiếu đa số tương đối, và việc xen vào việc xem xét theo quyền quyết định của Hội đồng quản trị mà Chính sách yêu cầu không thể thay đổi sự thật đó chỉ vì những cổ đông đã chọn giữ lại phiếu bầu của mình mong muốn như vậy. Có lẽ một số cổ đông nhất định đã giữ lại phiếu bầu của mình nhằm mục đích thể hiện một cách tượng trưng sự thiếu tin tưởng của họ vào Hội đồng quản trị. Nếu mục đích là loại bỏ Ba Giám đốc, thì những cổ đông đó sẽ được phục vụ tốt hơn bằng cách ủng hộ một danh sách giám đốc thay thế trong cuộc bầu cử tháng 5 năm 2008. Một lựa chọn chiến lược tồi không thể là cơ sở của một vụ kiện theo Mục 220.</w:t>
      </w:r>
    </w:p>
    <w:p>
      <w:pPr>
        <w:spacing w:after="80"/>
      </w:pPr>
      <w:r>
        <w:rPr>
          <w:b w:val="0"/>
          <w:i w:val="0"/>
        </w:rPr>
        <w:t>Hơn nữa, có vẻ như lập trường của Nguyên đơn sẽ đòi hỏi Tòa án này phải bắt Axcelis gánh chịu gánh nặng của một yêu cầu theo Mục 220 chỉ vì đã thông qua Chính sách, và thực hiện quyền quyết định của mình theo đó một cách trung thành với Điều lệ của Axcelis. Trừ khi việc ban hành Chính sách và sau đó hành động phù hợp với nó cấu thành bằng chứng đáng tin cậy về hành vi sai trái, Nguyên đơn đã không chứng minh được cơ sở đáng tin cậy cần thiết để nghi ngờ hành vi sai trái theo án lệ Mục 220 của Delaware. Nếu chỉ hành động phù hợp với các điều khoản của một chính sách kiểu Pfizer bị coi là bằng chứng đáng tin cậy về hành vi sai trái, thì hồi chuông báo tử của nó đã được gióng lên. Những người hợp lý có thể không đồng ý về tính hữu ích và tính thích hợp của Chính sách. Tuy nhiên, Tòa án này chưa sẵn sàng loại bỏ về mặt chức năng việc sử dụng nó vào thời điểm này. Chỉ việc chỉ ra rằng Hội đồng quản trị thực hiện quyền quyết định theo Chính sách—một việc thực hiện mà cuối cùng đã thực thi quyền bầu cử của cổ đông—không phải là bằng chứng đáng tin cậy về hành vi sai trái trong hồ sơ này. Ba Giám đốc đã nhậm chức, được bầu hợp lệ bởi đa số tương đối cổ đông của Axcelis. Kết quả cuối cùng theo Chính sách là kết quả của quyền bầu cử cổ đông, không phải là sự can thiệp vào nó. Nếu không có Chính sách, kết quả của cuộc bầu cử tháng 5 năm 2008 sẽ không khác gì.</w:t>
      </w:r>
    </w:p>
    <w:p>
      <w:pPr>
        <w:spacing w:after="80"/>
      </w:pPr>
      <w:r>
        <w:rPr>
          <w:b w:val="0"/>
          <w:i w:val="0"/>
        </w:rPr>
        <w:t>Nỗ lực của Nguyên đơn nhằm mô tả việc giữ lại Ba Giám đốc như một biện pháp phòng vệ đòi hỏi phải áp dụng Unocal cũng không thành công. Không có mối đe dọa hiện hữu nào đối với quyền kiểm soát công ty vào thời điểm cuộc bầu cử tháng 5 năm 2008. Không có bằng chứng nào cho thấy Hội đồng quản trị bất trung muốn đẩy lùi những đề nghị của SHI. Thực tế, hồ sơ cho thấy điều ngược lại. Ngay sau khi Ba Giám đốc được tái bầu, Hội đồng quản trị đã tham gia vào các cuộc thảo luận mua lại tiếp theo với SHI và ký kết một thỏa thuận bảo mật, mà sự thiếu vắng nó trước đó đã cản trở các cuộc đàm phán. Không có cơ sở đáng tin cậy nào để Tòa án có thể suy luận rằng các cuộc đàm phán của Hội đồng quản trị được tiến hành với ý đồ xấu. Các cuộc đàm phán thất bại, không có gì thêm, không tạo thành cơ sở đáng tin cậy hỗ trợ cho suy luận về hành vi sai trái. Tóm lại, Nguyên đơn đã không chứng minh được một cơ sở đáng tin cậy về mặt logic để có thể suy luận ra hành vi sai trái từ việc Hội đồng quản trị giữ lại Ba Giám đốc theo Chính sách.</w:t>
      </w:r>
    </w:p>
    <w:p>
      <w:pPr>
        <w:pStyle w:val="Heading5"/>
      </w:pPr>
      <w:r>
        <w:rPr>
          <w:rFonts w:ascii="Calibri" w:hAnsi="Calibri"/>
          <w:b/>
          <w:i/>
          <w:sz w:val="22"/>
        </w:rPr>
        <w:t>Bình luận và Câu hỏi</w:t>
      </w:r>
    </w:p>
    <w:p>
      <w:pPr>
        <w:spacing w:after="80"/>
      </w:pPr>
      <w:r>
        <w:rPr>
          <w:b w:val="0"/>
          <w:i w:val="0"/>
        </w:rPr>
        <w:t xml:space="preserve">1. Delaware đã áp dụng hệ thống bỏ phiếu theo đa số cho đến năm 1987. Bang đã thay đổi yêu cầu này vì lo ngại về các cuộc bầu cử thất bại trong trường hợp có tranh chấp. </w:t>
      </w:r>
      <w:r>
        <w:rPr>
          <w:b w:val="0"/>
          <w:i/>
        </w:rPr>
        <w:t>Xem</w:t>
      </w:r>
      <w:r>
        <w:rPr>
          <w:b w:val="0"/>
          <w:i w:val="0"/>
        </w:rPr>
        <w:t xml:space="preserve"> S. 93, 134th Gen. Assembly, 66 Del. Laws ch. 136, § 11 (1987), </w:t>
      </w:r>
      <w:r>
        <w:rPr>
          <w:b w:val="0"/>
          <w:i/>
        </w:rPr>
        <w:t>Discussion Paper on Voting by Shareholders for the Election of Directors</w:t>
      </w:r>
      <w:r>
        <w:rPr>
          <w:b w:val="0"/>
          <w:i w:val="0"/>
        </w:rPr>
        <w:t xml:space="preserve"> , Committee on Corporate Laws of the Section of Business Law of the American Bar Association, June 22, 2005, at 5 (“Quy tắc của Delaware là cần có phiếu thuận của đa số những người có mặt để thực hiện hành động của cổ đông. Tuy nhiên, người ta cho rằng ít nhất trong trường hợp bầu cử giám đốc, luật chỉ nên yêu cầu bỏ phiếu theo đa số tương đối.”).</w:t>
      </w:r>
    </w:p>
    <w:p>
      <w:pPr>
        <w:spacing w:after="80"/>
      </w:pPr>
      <w:r>
        <w:rPr>
          <w:b w:val="0"/>
          <w:i w:val="0"/>
        </w:rPr>
        <w:t>2. Bạn nghĩ gì về lời giải thích của hội đồng quản trị về việc giữ lại các giám đốc? Liệu chúng có đủ cụ thể không? Chúng có nhất quán với các nghĩa vụ ủy thác (fiduciary obligations) của hội đồng quản trị không?</w:t>
      </w:r>
    </w:p>
    <w:p>
      <w:pPr>
        <w:spacing w:after="80"/>
      </w:pPr>
      <w:r>
        <w:rPr>
          <w:b w:val="0"/>
          <w:i w:val="0"/>
        </w:rPr>
        <w:t>3. Trong phạm vi mà “kinh nghiệm và kiến thức” của các giám đốc là lời giải thích đủ để từ chối các thư từ chức, điều này gợi ý gì về khả năng của cổ đông trong việc thách thức quyết định của hội đồng quản trị trong lĩnh vực này?</w:t>
      </w:r>
    </w:p>
    <w:p>
      <w:pPr>
        <w:spacing w:after="80"/>
      </w:pPr>
      <w:r>
        <w:rPr>
          <w:b w:val="0"/>
          <w:i w:val="0"/>
        </w:rPr>
        <w:t>4. Axcelis có thể có những lý do nào để từ chối tiết lộ các tài liệu được yêu cầu? Hậu quả sẽ ra sao nếu thông tin và quy trình mà hội đồng quản trị Axcelis sử dụng được công bố?</w:t>
      </w:r>
    </w:p>
    <w:p>
      <w:pPr>
        <w:spacing w:after="80"/>
      </w:pPr>
      <w:r>
        <w:rPr>
          <w:b w:val="0"/>
          <w:i w:val="0"/>
        </w:rPr>
        <w:t>5. Quyết định đã được giữ nguyên khi kháng cáo, mặc dù Tòa án Tối cao đã sử dụng một lập luận khác. (Vụ án này được trình bày và thảo luận trong Chương 9 .) Trong quyết định đó, Tòa án đã lưu ý rằng cổ đông có quyền truy cập tài liệu để xác định liệu “các giám đốc, với tư cách là người ủy thác, đã đưa ra một phán quyết kinh doanh vô tư, được thông tin đầy đủ rằng lợi ích tốt nhất của công ty đòi hỏi sự phục vụ tiếp tục của các giám đốc này, hay liệu Hội đồng quản trị có động cơ nào đó khác, khuất tất.” 1 A.3d at 291. Điều này gợi ý gì về tiêu chuẩn xem xét mà các tòa án Delaware sẽ áp dụng cho các vụ án thách thức quyết định của hội đồng quản trị trong việc từ chối các thư từ chức?</w:t>
      </w:r>
    </w:p>
    <w:p>
      <w:pPr>
        <w:spacing w:after="80"/>
      </w:pPr>
      <w:r>
        <w:rPr>
          <w:b w:val="0"/>
          <w:i w:val="0"/>
        </w:rPr>
        <w:t>6. Hiệu quả thực tế của quyết định này đối với khả năng của cổ đông trong việc thách thức quyết định của hội đồng quản trị từ chối chấp nhận thư từ chức của các giám đốc không nhận được sự ủng hộ đa số là gì?</w:t>
      </w:r>
    </w:p>
    <w:p>
      <w:pPr>
        <w:spacing w:after="80"/>
      </w:pPr>
      <w:r>
        <w:rPr>
          <w:b w:val="0"/>
          <w:i w:val="0"/>
        </w:rPr>
        <w:t>—————</w:t>
      </w:r>
    </w:p>
    <w:p>
      <w:pPr>
        <w:spacing w:after="80"/>
      </w:pPr>
      <w:r>
        <w:rPr>
          <w:b w:val="0"/>
          <w:i w:val="0"/>
        </w:rPr>
        <w:t>Dù theo cách tiếp cận nào, liệu nó có thực sự mang lại cho cổ đông một cơ hội có ý nghĩa để gây ảnh hưởng đến thành viên hội đồng quản trị không?</w:t>
      </w:r>
    </w:p>
    <w:p>
      <w:pPr>
        <w:pStyle w:val="Heading4"/>
      </w:pPr>
      <w:r>
        <w:rPr>
          <w:rFonts w:ascii="Calibri" w:hAnsi="Calibri"/>
          <w:b/>
          <w:i w:val="0"/>
          <w:sz w:val="23"/>
        </w:rPr>
        <w:t>William K. Sjostrom, Jr. &amp; Young Sang Kim,</w:t>
      </w:r>
      <w:r>
        <w:br/>
      </w:r>
      <w:r>
        <w:rPr>
          <w:rFonts w:ascii="Calibri" w:hAnsi="Calibri"/>
          <w:b/>
          <w:i w:val="0"/>
          <w:sz w:val="23"/>
        </w:rPr>
        <w:t xml:space="preserve"> </w:t>
      </w:r>
      <w:r>
        <w:rPr>
          <w:rFonts w:ascii="Calibri" w:hAnsi="Calibri"/>
          <w:b/>
          <w:i/>
          <w:sz w:val="23"/>
        </w:rPr>
        <w:t>Majority Voting for the Election of Directors</w:t>
      </w:r>
    </w:p>
    <w:p>
      <w:pPr>
        <w:spacing w:after="80"/>
      </w:pPr>
      <w:r>
        <w:rPr>
          <w:b w:val="0"/>
          <w:i w:val="0"/>
        </w:rPr>
        <w:t>40 Conn. L. Rev. 459, 486–89 (2007)</w:t>
      </w:r>
    </w:p>
    <w:p>
      <w:pPr>
        <w:spacing w:after="80"/>
      </w:pPr>
      <w:r>
        <w:rPr>
          <w:b w:val="0"/>
          <w:i w:val="0"/>
        </w:rPr>
        <w:t>C. Khói và gương?</w:t>
      </w:r>
    </w:p>
    <w:p>
      <w:pPr>
        <w:spacing w:after="80"/>
      </w:pPr>
      <w:r>
        <w:rPr>
          <w:b w:val="0"/>
          <w:i w:val="0"/>
        </w:rPr>
        <w:t>Chúng tôi đã xem xét các hệ thống bỏ phiếu theo đa số của tất cả 371 công ty được đưa vào Nghiên cứu Bỏ phiếu theo Đa số (Majority Vote Study) cũng như của một số công ty đã áp dụng một hình thức bỏ phiếu theo đa số nào đó sau khi nghiên cứu hoàn thành. Cuối cùng, chúng tôi không tìm thấy một công ty nào thực sự áp dụng một hình thức bỏ phiếu theo đa số trao cho cổ đông quyền phủ quyết đối với các giám đốc đương nhiệm. Gần như tất cả các hình thức được áp dụng đều bao gồm các chính sách từ chức yêu cầu một giám đốc “thua cuộc” phải từ chức, nhưng tất cả các chính sách từ chức này đều để lại quyền tùy nghi cho hội đồng quản trị về việc có chấp nhận đơn từ chức hay không. Và có lẽ quyết định của hội đồng quản trị không chấp nhận đơn từ chức sẽ được đối xử như bất kỳ quyết định kinh doanh nào khác và được hưởng sự bảo vệ của quy tắc phán quyết kinh doanh (business judgment rule). Miễn là hội đồng quản trị đưa ra quyết định “trên cơ sở được thông tin đầy đủ, với thiện chí và với niềm tin trung thực rằng hành động được thực hiện là vì lợi ích tốt nhất của công ty,” quyết định đó có khả năng sẽ đứng vững trước thách thức pháp lý. Chắc chắn, khi đưa ra quyết định, hội đồng quản trị sẽ được kỳ vọng phải tính đến việc đa số cổ phần phản đối một ứng viên cụ thể và sẽ lo ngại về dư luận xấu. Tuy nhiên, như cựu Thẩm phán Delaware Allen đã tuyên bố trong Paramount Communications Inc. v. Time Inc.: “Luật công ty không vận hành theo lý thuyết rằng các giám đốc, khi thực thi quyền hạn quản lý công ty, có nghĩa vụ tuân theo mong muốn của đa số cổ phần. Trên thực tế, chính các giám đốc, chứ không phải cổ đông, mới là người được giao nhiệm vụ quản lý công ty.” Do đó, quyết định của hội đồng quản trị giữ lại một giám đốc “thua cuộc” sẽ có cơ sở pháp lý vững chắc.</w:t>
      </w:r>
    </w:p>
    <w:p>
      <w:pPr>
        <w:spacing w:after="80"/>
      </w:pPr>
      <w:r>
        <w:rPr>
          <w:b w:val="0"/>
          <w:i w:val="0"/>
        </w:rPr>
        <w:t>Do đó, theo quan điểm của chúng tôi, bỏ phiếu theo đa số khi được thực thi chẳng khác gì khói và gương. . . . theo tiêu chuẩn đa số tương đối truyền thống, nếu không có sự kiện rất hiếm gặp là một cuộc tranh giành ủy quyền (proxy fight), hội đồng quản trị sẽ bao gồm những cá nhân do hội đồng quản trị hiện tại lựa chọn bất kể cổ đông bỏ phiếu như thế nào. Nhưng điều tương tự cũng đúng với cả đa số tương đối cộng (plurality plus) và đa số cộng (majority plus) vì quyền tùy nghi được tích hợp vào yêu cầu từ chức, việc thực thi quyền này được bảo vệ bởi quy tắc phán quyết kinh doanh, và quyền của hội đồng quản trị trong việc lấp đầy một vị trí trống nếu họ quyết định chấp nhận đơn từ chức. Chung quy lại, theo tiêu chuẩn đa số tương đối truyền thống và các tiêu chuẩn đa số mới, tất cả các giám đốc cuối cùng đều được lựa chọn bởi hội đồng quản trị hiện tại bất kể cổ đông bỏ phiếu như thế nào. Bỏ phiếu theo đa số, như được thực thi trên thực tế, đơn giản là không trao cho cổ đông quyền phủ quyết đối với các giám đốc.</w:t>
      </w:r>
    </w:p>
    <w:p>
      <w:pPr>
        <w:spacing w:after="80"/>
      </w:pPr>
      <w:r>
        <w:rPr>
          <w:b w:val="0"/>
          <w:i w:val="0"/>
        </w:rPr>
        <w:t>Kết luận cuối cùng này có lẽ giải thích tại sao rất nhiều công ty đã áp dụng một hình thức bỏ phiếu theo đa số nào đó trong một khoảng thời gian tương đối ngắn. Không có quyền phủ quyết của cổ đông, không có nguy cơ bầu cử thất bại và do đó những phản đối do các nhà phê bình bỏ phiếu theo đa số đưa ra (khả năng gây bất ổn cho hội đồng quản trị, thu hẹp nguồn ứng viên, v.v.) thực sự không được đề cập đến. Vì vậy, quyết định triển khai hệ thống đa số tương đối cộng hoặc đa số cộng đòi hỏi rất ít sự cân nhắc của hội đồng quản trị. Bằng cách triển khai nó, hội đồng quản trị từ bỏ rất ít, nếu có, quyền kiểm soát đối với việc bầu cử giám đốc nhưng sau đó có thể phát hành một thông cáo báo chí quảng bá việc triển khai này như ví dụ mới nhất về “cam kết lâu dài trong việc đáp ứng các mối quan tâm của cổ đông,” và/hoặc xoa dịu các cổ đông hoạt động (activist shareholders). Như một phần thưởng thêm, truyền thông thậm chí có thể đưa tin, như đã từng xảy ra nhiều lần, và ca ngợi cam kết của công ty đối với quản trị công ty.</w:t>
      </w:r>
    </w:p>
    <w:p>
      <w:pPr>
        <w:spacing w:after="80"/>
      </w:pPr>
      <w:r>
        <w:rPr>
          <w:b w:val="0"/>
          <w:i w:val="0"/>
        </w:rPr>
        <w:t>Một số người khẳng định rằng có thực chất trong sự chuyển dịch từ bỏ phiếu theo đa số tương đối sang bỏ phiếu theo đa số như được thực thi. Ví dụ, Ira Millstein, một đối tác cấp cao của hãng luật Weil, Gotshal &amp; Manges đã tuyên bố:</w:t>
      </w:r>
    </w:p>
    <w:p>
      <w:pPr>
        <w:spacing w:after="80"/>
      </w:pPr>
      <w:r>
        <w:rPr>
          <w:b w:val="0"/>
          <w:i w:val="0"/>
        </w:rPr>
        <w:t>Điều tôi thích ở [bỏ phiếu theo đa số] là nó đặt trách nhiệm trở lại hội đồng quản trị. . . . Một khi giám đốc đó không được bầu bởi đa số, hội đồng quản trị phải làm gì đó. Và bất kỳ hội đồng quản trị nào không làm gì trước tình huống đó sẽ là ngu ngốc. Nó sẽ thay đổi hoàn toàn động lực của quá trình.</w:t>
      </w:r>
    </w:p>
    <w:p>
      <w:pPr>
        <w:spacing w:after="80"/>
      </w:pPr>
      <w:r>
        <w:rPr>
          <w:b w:val="0"/>
          <w:i w:val="0"/>
        </w:rPr>
        <w:t>Có lẽ “điều gì đó” mà ông ấy đang nhắc đến chính là nghĩa vụ của hội đồng quản trị theo một chính sách từ chức, phải xem xét việc từ chức của bất kỳ giám đốc nào không giành được số phiếu cần thiết. Nhưng liệu điều này có thực sự khác biệt đến vậy so với hệ thống đa số tương đối truyền thống? Theo hệ thống đó, nếu một ứng viên giám đốc nhận được đa số phiếu chống (withheld votes), thì liệu có hội đồng quản trị nào mà không làm gì trước kết quả như vậy lại không bị coi là “ngớ ngẩn”? Đúng là theo hệ thống truyền thống, một ứng viên nhận được đa số phiếu “chống” vẫn được bầu và không buộc phải nộp đơn từ chức. Cũng đúng là hội đồng quản trị không có quyền lực pháp lý để buộc ông ấy rời ghế trái ý muốn. Nhưng có vẻ rất khó xảy ra chuyện một giám đốc không có được sự tín nhiệm của cổ đông, và do đó bị phần còn lại của hội đồng quản trị yêu cầu từ chức, lại từ chối từ chức. Dù sao đi nữa, hội đồng quản trị chỉ cần đơn giản là không đề cử lại ông ấy vào lần tới khi ghế của ông ấy đến kỳ bầu cử. Vì vậy, chúng tôi hoài nghi rằng việc bỏ phiếu theo đa số như đang được thực hiện có tác động nhiều đến động lực của quy trình, chứ chưa nói đến việc thay đổi hoàn toàn quy trình.</w:t>
      </w:r>
    </w:p>
    <w:p>
      <w:pPr>
        <w:pStyle w:val="Heading5"/>
      </w:pPr>
      <w:r>
        <w:rPr>
          <w:rFonts w:ascii="Calibri" w:hAnsi="Calibri"/>
          <w:b/>
          <w:i/>
          <w:sz w:val="22"/>
        </w:rPr>
        <w:t>Bình luận và Câu hỏi</w:t>
      </w:r>
    </w:p>
    <w:p>
      <w:pPr>
        <w:spacing w:after="80"/>
      </w:pPr>
      <w:r>
        <w:rPr>
          <w:b w:val="0"/>
          <w:i w:val="0"/>
        </w:rPr>
        <w:t>1. Có một sự khác biệt đáng kể giữa các công ty trong việc áp dụng các điều khoản bỏ phiếu theo đa số. Mặc dù gần như phổ biến ở các công ty vốn hóa lớn, các doanh nghiệp nhỏ hơn ít có xu hướng áp dụng các điều khoản này. Các điều khoản bỏ phiếu theo đa số kiểu này hay kiểu khác đã trở nên phổ biến ở các công ty lớn hơn. Đến năm 2014, 86% các công ty trong S&amp;P 500 đã có chính sách bỏ phiếu theo đa số. Tỷ lệ này giảm xuống còn 56% ở S&amp;P 400 (vốn hóa trung bình) và 28% ở S&amp;P 600 (vốn hóa nhỏ). Những yếu tố nào có thể giải thích cấu hình này?</w:t>
      </w:r>
    </w:p>
    <w:p>
      <w:pPr>
        <w:spacing w:after="80"/>
      </w:pPr>
      <w:r>
        <w:rPr>
          <w:b w:val="0"/>
          <w:i w:val="0"/>
        </w:rPr>
        <w:t>2. Bạn nghĩ gì về kết luận rằng các điều khoản bỏ phiếu theo đa số là một “huyền thoại”? Ngay cả khi đặc điểm hóa này là chính xác, liệu chúng có chút giá trị nào còn sót lại không? Khi một giám đốc đương nhiệm không nhận được sự ủng hộ của đa số thì điều đó gửi đi tín hiệu gì? Chân dung của một giám đốc dễ bị cổ đông nhắm đến trong một chiến dịch chống phiếu (withhold campaign) là như thế nào?</w:t>
      </w:r>
    </w:p>
    <w:p>
      <w:pPr>
        <w:spacing w:after="80"/>
      </w:pPr>
      <w:r>
        <w:rPr>
          <w:b w:val="0"/>
          <w:i w:val="0"/>
        </w:rPr>
        <w:t xml:space="preserve">3. Các điều khoản bỏ phiếu theo đa số thường được dùng để ủng hộ cách tiếp cận “sắp đặt tư nhân” (private ordering) đối với luật công ty. Chúng được dùng để cho thấy rằng các cải cách quản trị công ty có thể được triển khai nhanh chóng mà không cần đến sự can thiệp của cơ quan quản lý. </w:t>
      </w:r>
      <w:r>
        <w:rPr>
          <w:b w:val="0"/>
          <w:i/>
        </w:rPr>
        <w:t>Xem Lá thư do Hiệp hội Luật sư Bang Delaware gửi lên Ủy ban Chứng khoán và Giao dịch</w:t>
      </w:r>
      <w:r>
        <w:rPr>
          <w:b w:val="0"/>
          <w:i w:val="0"/>
        </w:rPr>
        <w:t xml:space="preserve"> , ngày 24 tháng 7 năm 2009, tại trang 11 (chỉ ra rằng “một đa số đáng kể các công ty trong S&amp;P 500, chỉ trong vòng ba năm, đã áp dụng quy tắc bỏ phiếu theo đa số cho việc bầu cử giám đốc, thay cho quy tắc mặc định của luật bang là bỏ phiếu theo đa số tương đối.”). Bạn nghĩ gì về lập luận này?</w:t>
      </w:r>
    </w:p>
    <w:p>
      <w:pPr>
        <w:spacing w:after="80"/>
      </w:pPr>
      <w:r>
        <w:rPr>
          <w:b w:val="0"/>
          <w:i w:val="0"/>
        </w:rPr>
        <w:t xml:space="preserve">4. Việc các giám đốc không nhận được đa số phiếu bầu vẫn còn tương đối ít phổ biến. </w:t>
      </w:r>
      <w:r>
        <w:rPr>
          <w:b w:val="0"/>
          <w:i/>
        </w:rPr>
        <w:t>Xem</w:t>
      </w:r>
      <w:r>
        <w:rPr>
          <w:b w:val="0"/>
          <w:i w:val="0"/>
        </w:rPr>
        <w:t xml:space="preserve"> Annual Shareholder Meetings and the Conundrum of “Unelected” Directors, Ủy ban Quy chế Thị trường Vốn, tháng 2 năm 2015 (“Nghiên cứu đã tổng hợp và phân tích dữ liệu quản trị được chọn lọc và thông tin liên quan từ các công ty thuộc Chỉ số Russell 3000, phát hiện rằng trong số 97.958 cuộc bầu cử giám đốc được tổ chức tại các công ty Russell 3000 trong năm năm 2010, 2011, 2012, 2013 và 2014, trong 270 trường hợp (0,28%) giám đốc không đạt được đa số phiếu bầu trong các cuộc bầu cử giám đốc được tiến hành theo bất kỳ hình thức bỏ phiếu nào.”). Hơn nữa, gần 85% các giám đốc không nhận được sự ủng hộ của đa số vẫn ở lại hội đồng quản trị hai năm sau đó (so với 90,3% các giám đốc có nhận được sự ủng hộ của đa số). Những người không nhận được đa số nhưng vẫn ở lại hội đồng quản trị đôi khi được gọi là “giám đốc xác sống” (zombie directors). Bạn nghĩ điều gì giải thích những số liệu thống kê này? SEC có nên yêu cầu công bố thêm thông tin liên quan đến các giám đốc xác sống không? Những yêu cầu công bố như vậy có thể có hình thức như thế nào?</w:t>
      </w:r>
    </w:p>
    <w:p>
      <w:pPr>
        <w:spacing w:after="80"/>
      </w:pPr>
      <w:r>
        <w:rPr>
          <w:b w:val="0"/>
          <w:i w:val="0"/>
        </w:rPr>
        <w:t xml:space="preserve">5. Do các điều khoản bỏ phiếu theo đa số, các chiến dịch “bỏ phiếu không” (vote no) chống lại các giám đốc đã trở thành một nét thường thấy trong quy trình ủy quyền bỏ phiếu (proxy process). Giá trị của một chiến dịch như vậy là gì? Tại sao một số giám đốc cụ thể lại bị nhắm đến? Liệu một số phiếu phản đối đáng kể nhưng chưa đạt đến mức đa số có gây áp lực buộc các giám đốc phải từ chức không? Năm 2013, ba giám đốc trong ủy ban rủi ro tại JP Morgan Chase nhận được từ 53% đến 59% số phiếu bầu. </w:t>
      </w:r>
      <w:r>
        <w:rPr>
          <w:b w:val="0"/>
          <w:i/>
        </w:rPr>
        <w:t>Xem</w:t>
      </w:r>
      <w:r>
        <w:rPr>
          <w:b w:val="0"/>
          <w:i w:val="0"/>
        </w:rPr>
        <w:t xml:space="preserve"> Form 8-K, JP Morgan Chase &amp; Co., nộp ngày 23 tháng 5 năm 2013. Vài tháng sau, hai trong số các giám đốc đó đã rời khỏi hội đồng quản trị. </w:t>
      </w:r>
      <w:r>
        <w:rPr>
          <w:b w:val="0"/>
          <w:i/>
        </w:rPr>
        <w:t>Xem</w:t>
      </w:r>
      <w:r>
        <w:rPr>
          <w:b w:val="0"/>
          <w:i w:val="0"/>
        </w:rPr>
        <w:t xml:space="preserve"> Form 8-K, JP Morgan Chase &amp; Co., nộp ngày 19 tháng 7 năm 2013 (công bố rằng hai giám đốc trong hội đồng quản trị đã nghỉ hưu).</w:t>
      </w:r>
    </w:p>
    <w:p>
      <w:pPr>
        <w:spacing w:after="80"/>
      </w:pPr>
      <w:r>
        <w:rPr>
          <w:b w:val="0"/>
          <w:i w:val="0"/>
        </w:rPr>
        <w:t>6. Không phải tất cả các điều khoản bỏ phiếu theo đa số đều yêu cầu một lá thư từ chức phải được nộp lên hội đồng quản trị. Mục 10.22 của MBCA cho phép một điều lệ coi một giám đốc không nhận được đa số là đã được bầu nhưng quy định rằng nhiệm kỳ phải chấm dứt vào ngày sớm hơn trong hai ngày: 90 ngày sau khi kết quả bỏ phiếu được xác định hoặc ngày mà hội đồng quản trị chỉ định người thay thế. Bạn nghĩ tại sao MBCA lại chọn cách tiếp cận này? Chẳng phải sẽ đơn giản hơn nếu chỉ quy định rằng các giám đốc không nhận được sự ủng hộ của đa số thì không được bầu sao? Ngay cả khi một giám đốc rời ghế sau 90 ngày, liệu hội đồng quản trị có thể bổ nhiệm chính giám đốc bị đánh bại đó vào vị trí trống không? Để có câu trả lời, hãy đọc phần bình luận cho Mục 10.22.</w:t>
      </w:r>
    </w:p>
    <w:p>
      <w:pPr>
        <w:pStyle w:val="Heading2"/>
      </w:pPr>
      <w:r>
        <w:rPr>
          <w:rFonts w:ascii="Calibri" w:hAnsi="Calibri"/>
          <w:b/>
          <w:i w:val="0"/>
          <w:sz w:val="32"/>
        </w:rPr>
        <w:t>III. Đề xuất của Cổ đông</w:t>
      </w:r>
    </w:p>
    <w:p>
      <w:pPr>
        <w:spacing w:after="80"/>
      </w:pPr>
      <w:r>
        <w:rPr>
          <w:b w:val="0"/>
          <w:i w:val="0"/>
        </w:rPr>
        <w:t xml:space="preserve">Cổ đông có thể muốn gây ảnh hưởng đến hướng đi của công ty mà không nhất thiết phải thay đổi ban điều hành. Họ làm điều này thông qua việc thông qua các đề xuất được thiết kế để gây ảnh hưởng đến các chính sách của hội đồng quản trị. Mặc dù các đề xuất có thể được đưa ra tại các cuộc họp cổ đông, chúng không có cơ hội được thông qua trừ khi có một cuộc vận động ủy quyền bỏ phiếu (proxy solicitation) trước đó. Nhận thức được điều này, Ủy ban Chứng khoán và Giao dịch đã thông qua điều mà nay là Quy tắc 14a-8 vào năm 1942. </w:t>
      </w:r>
      <w:r>
        <w:rPr>
          <w:b w:val="0"/>
          <w:i/>
        </w:rPr>
        <w:t>Xem</w:t>
      </w:r>
      <w:r>
        <w:rPr>
          <w:b w:val="0"/>
          <w:i w:val="0"/>
        </w:rPr>
        <w:t xml:space="preserve"> Exchange Act Release No. 2376 (1942). Quy tắc này cho phép cổ đông nộp các đề xuất để đưa vào bản tuyên bố ủy quyền bỏ phiếu (proxy statement) của công ty.</w:t>
      </w:r>
    </w:p>
    <w:p>
      <w:pPr>
        <w:spacing w:after="80"/>
      </w:pPr>
      <w:r>
        <w:rPr>
          <w:b w:val="0"/>
          <w:i w:val="0"/>
        </w:rPr>
        <w:t xml:space="preserve">Quy tắc này áp dụng cho bất kỳ cổ đông nào sở hữu mức thấp hơn giữa 1% hoặc $2000 cổ phần có quyền biểu quyết của công ty trong ít nhất một năm. Yêu cầu sở hữu khiêm tốn này về cơ bản có nghĩa là quy tắc này dành cho hầu hết các cổ đông. Trong những ngày đầu, quy tắc này chủ yếu được sử dụng bởi các cá nhân, những người thường được mô tả là những kẻ quấy rầy công ty (corporate gadflies). </w:t>
      </w:r>
      <w:r>
        <w:rPr>
          <w:b w:val="0"/>
          <w:i/>
        </w:rPr>
        <w:t>Xem</w:t>
      </w:r>
      <w:r>
        <w:rPr>
          <w:b w:val="0"/>
          <w:i w:val="0"/>
        </w:rPr>
        <w:t xml:space="preserve"> Frank D. Emerson &amp; Franklin C. Latcham, </w:t>
      </w:r>
      <w:r>
        <w:rPr>
          <w:b w:val="0"/>
          <w:i/>
        </w:rPr>
        <w:t>The SEC Proxy Proposal Rule: The Corporate Gadfly</w:t>
      </w:r>
      <w:r>
        <w:rPr>
          <w:b w:val="0"/>
          <w:i w:val="0"/>
        </w:rPr>
        <w:t xml:space="preserve"> , 19 U. Chi. L. Rev. 807, 808 (1951). Tuy nhiên, đến những năm 1990, nhiều đề xuất đã được nộp bởi các nhà đầu tư tổ chức, đặc biệt là các quỹ hưu trí của công đoàn và nhà nước.</w:t>
      </w:r>
    </w:p>
    <w:p>
      <w:pPr>
        <w:spacing w:after="80"/>
      </w:pPr>
      <w:r>
        <w:rPr>
          <w:b w:val="0"/>
          <w:i w:val="0"/>
        </w:rPr>
        <w:t>Quy tắc này chứa một số yêu cầu về mặt thủ tục. Cổ đông không thể nộp nhiều hơn một đề xuất. Đề xuất và bất kỳ tuyên bố kèm theo nào không được vượt quá 500 từ (mặc dù có thể tham chiếu đến một trang web để biết thêm thông tin). Đề xuất phải được nộp ít nhất 120 ngày trước khi phân phối bản tuyên bố ủy quyền bỏ phiếu (được tính dựa trên ngày phân phối bản tuyên bố ủy quyền bỏ phiếu của năm trước).</w:t>
      </w:r>
    </w:p>
    <w:p>
      <w:pPr>
        <w:spacing w:after="80"/>
      </w:pPr>
      <w:r>
        <w:rPr>
          <w:b w:val="0"/>
          <w:i w:val="0"/>
        </w:rPr>
        <w:t xml:space="preserve">Quan trọng nhất, Quy tắc này chứa mười ba căn cứ để loại trừ một đề xuất. Chúng bao gồm các vấn đề không phù hợp theo luật bang, không liên quan đáng kể đến hoạt động kinh doanh của công ty, hoặc đã được thực hiện rồi. Có lẽ khó áp dụng nhất và thường bị kiện tụng nhất là việc loại trừ các đề xuất liên quan đến “hoạt động kinh doanh thông thường” (ordinary business) của công ty. </w:t>
      </w:r>
      <w:r>
        <w:rPr>
          <w:b w:val="0"/>
          <w:i/>
        </w:rPr>
        <w:t>Xem</w:t>
      </w:r>
      <w:r>
        <w:rPr>
          <w:b w:val="0"/>
          <w:i w:val="0"/>
        </w:rPr>
        <w:t xml:space="preserve"> Rule 14a-8(i)(7), 17 CFR 240.14a-8(i)(7).</w:t>
      </w:r>
    </w:p>
    <w:p>
      <w:pPr>
        <w:pStyle w:val="Heading3"/>
      </w:pPr>
      <w:r>
        <w:rPr>
          <w:rFonts w:ascii="Calibri" w:hAnsi="Calibri"/>
          <w:b/>
          <w:i w:val="0"/>
          <w:sz w:val="26"/>
        </w:rPr>
        <w:t>A. Loại trừ Hoạt động Kinh doanh Thông thường và Ngoại lệ Lợi ích Công chúng</w:t>
      </w:r>
    </w:p>
    <w:p>
      <w:pPr>
        <w:spacing w:after="80"/>
      </w:pPr>
      <w:r>
        <w:rPr>
          <w:b w:val="0"/>
          <w:i w:val="0"/>
        </w:rPr>
        <w:t>Ủy ban đã thêm ngoại lệ “hoạt động kinh doanh thông thường” vào năm 1954. Exchange Act Release No. 4979 (ngày 6 tháng 1 năm 1954). Với việc luật bang giao quyền giám sát hàng ngày đối với hoạt động kinh doanh cho hội đồng quản trị, điều khoản này cho phép ban điều hành loại trừ các đề xuất xâm phạm vào thẩm quyền của mình. Tuy nhiên, sự thiếu vắng luật lệ có nghĩa là nhân viên của Ủy ban phần lớn phải tự xác định sự phân chia quyền hạn hợp lý giữa chủ sở hữu và người quản lý.</w:t>
      </w:r>
    </w:p>
    <w:p>
      <w:pPr>
        <w:spacing w:after="80"/>
      </w:pPr>
      <w:r>
        <w:rPr>
          <w:b w:val="0"/>
          <w:i w:val="0"/>
        </w:rPr>
        <w:t>Ngoại lệ này cho phép bỏ qua các vấn đề kinh doanh thông thường ngay cả khi chúng đặt ra những vấn đề có tầm quan trọng xã hội đáng kể. Cách áp dụng này cho phép “các tổ chức phát hành loại trừ các đề xuất liên quan đến những vấn đề có tầm quan trọng đáng kể đối với tổ chức phát hành và những người nắm giữ chứng khoán của nó.” Exchange Act Release No. 12598 (ngày 7 tháng 7 năm 1976). Tuy nhiên, đến những năm 1970, cổ đông ngày càng tìm cách sử dụng Quy tắc 14a-8 để thúc đẩy tranh luận về những vấn đề có tầm quan trọng công cộng. Dù là sản xuất napalm hay phân biệt chủng tộc trên xe buýt, cổ đông ngày càng muốn sử dụng quy trình ủy quyền bỏ phiếu như một phương tiện để thảo luận về những chính sách này.</w:t>
      </w:r>
    </w:p>
    <w:p>
      <w:pPr>
        <w:spacing w:after="80"/>
      </w:pPr>
      <w:r>
        <w:rPr>
          <w:b w:val="0"/>
          <w:i w:val="0"/>
        </w:rPr>
        <w:t>Ủy ban ban đầu phản đối các nỗ lực cho phép những loại đề xuất này, coi quy trình ủy quyền (proxy process) là một diễn đàn không phù hợp để thúc đẩy tranh luận công khai. Xem Exchange Act Release No. 4775 (ngày 11 tháng 12 năm 1952) (“Các quy tắc sửa đổi cũng cho phép loại bỏ các đề xuất của cổ đông được đệ trình chủ yếu nhằm mục đích thúc đẩy các mục tiêu kinh tế, chính trị, chủng tộc, tôn giáo, xã hội nói chung hoặc các mục tiêu tương tự.”). Áp lực từ phía các nhà đầu tư, cùng với sự can thiệp của tòa án, cuối cùng đã khiến chính sách này thay đổi. Năm 1976, Ủy ban đã chính thức thừa nhận rằng ngoại lệ “hoạt động kinh doanh thông thường” (ordinary business) sẽ được điều chỉnh bằng việc xem xét tầm quan trọng xã hội của đề xuất.</w:t>
      </w:r>
    </w:p>
    <w:p>
      <w:pPr>
        <w:pStyle w:val="Heading4"/>
      </w:pPr>
      <w:r>
        <w:rPr>
          <w:rFonts w:ascii="Calibri" w:hAnsi="Calibri"/>
          <w:b/>
          <w:i w:val="0"/>
          <w:sz w:val="23"/>
        </w:rPr>
        <w:t>Việc Thông qua các Sửa đổi Liên quan đến</w:t>
      </w:r>
      <w:r>
        <w:br/>
      </w:r>
      <w:r>
        <w:rPr>
          <w:rFonts w:ascii="Calibri" w:hAnsi="Calibri"/>
          <w:b/>
          <w:i w:val="0"/>
          <w:sz w:val="23"/>
        </w:rPr>
        <w:t xml:space="preserve"> Đề xuất của Người nắm giữ Chứng khoán</w:t>
      </w:r>
    </w:p>
    <w:p>
      <w:pPr>
        <w:spacing w:after="80"/>
      </w:pPr>
      <w:r>
        <w:rPr>
          <w:b w:val="0"/>
          <w:i w:val="0"/>
        </w:rPr>
        <w:t>Exchange Act Release No. 12999 (ngày 22 tháng 11 năm 1976)</w:t>
      </w:r>
    </w:p>
    <w:p>
      <w:pPr>
        <w:spacing w:after="80"/>
      </w:pPr>
      <w:r>
        <w:rPr>
          <w:b w:val="0"/>
          <w:i w:val="0"/>
        </w:rPr>
        <w:t>. . . [M]ột đề xuất sẽ có thể bị loại bỏ nếu nó “liên quan đến một vấn đề thuộc phạm vi tiến hành các hoạt động kinh doanh thông thường của tổ chức phát hành.” Ủy ban nhận thức rằng tiêu chuẩn loại bỏ này đã tạo ra một số khó khăn trong quá khứ, và rằng đôi khi nó đã được viện dẫn để loại bỏ những đề xuất có tầm quan trọng đáng kể đối với người nắm giữ chứng khoán. Tuy nhiên, Ủy ban tin rằng quy định này là một quy định khả thi, bằng chứng là nó đã có hiệu lực hơn 22 năm và cho đến khoảng một năm trở lại đây, nó chưa gây ra nhiều tranh cãi đáng kể.</w:t>
      </w:r>
    </w:p>
    <w:p>
      <w:pPr>
        <w:spacing w:after="80"/>
      </w:pPr>
      <w:r>
        <w:rPr>
          <w:b w:val="0"/>
          <w:i w:val="0"/>
        </w:rPr>
        <w:t>Ủy ban cho rằng quy định được thông qua ngày hôm nay có thể phát huy hiệu quả trong tương lai nếu nó được giải thích linh hoạt hơn một chút so với trước đây. Cụ thể, thuật ngữ “hoạt động kinh doanh thông thường” đôi khi được coi là bao gồm một số vấn đề vốn có những hàm ý đáng kể về chính sách, kinh tế hoặc các hàm ý khác. Ví dụ, một đề xuất rằng một công ty tiện ích không xây dựng một nhà máy điện hạt nhân được đề xuất trước đây đã từng bị coi là có thể loại bỏ. . . . Tuy nhiên, nhìn lại thì có vẻ rõ ràng rằng các cân nhắc về kinh tế và an toàn gắn liền với các nhà máy điện hạt nhân có tầm quan trọng đến mức việc quyết định có xây dựng một nhà máy hay không không phải là một vấn đề kinh doanh “thông thường”. Theo đó, những đề xuất thuộc loại đó, cũng như những đề xuất khác có hàm ý lớn, trong tương lai sẽ được coi là nằm ngoài phạm vi hoạt động kinh doanh thông thường của tổ chức phát hành, và các thư giải thích trong tương lai của nhân viên Ủy ban sẽ phản ánh quan điểm đó.</w:t>
      </w:r>
    </w:p>
    <w:p>
      <w:pPr>
        <w:spacing w:after="80"/>
      </w:pPr>
      <w:r>
        <w:rPr>
          <w:b w:val="0"/>
          <w:i w:val="0"/>
        </w:rPr>
        <w:t>Mặc dù [ngoại lệ hoạt động kinh doanh thông thường] trong tương lai sẽ phải chịu cách giải thích hạn chế hơn so với quy định tiền nhiệm của nó, . . . điều này không nên được hiểu là quy định này sẽ không còn được dùng để loại bỏ những đề xuất liên quan đến các vấn đề kinh doanh thực sự “thông thường”. Do đó, khi các đề xuất liên quan đến những vấn đề kinh doanh mang tính tầm thường và không liên quan đến bất kỳ cân nhắc đáng kể nào về chính sách hay các cân nhắc khác, thì đoạn nhỏ này có thể được viện dẫn để loại bỏ chúng.</w:t>
      </w:r>
    </w:p>
    <w:p>
      <w:pPr>
        <w:pStyle w:val="Heading5"/>
      </w:pPr>
      <w:r>
        <w:rPr>
          <w:rFonts w:ascii="Calibri" w:hAnsi="Calibri"/>
          <w:b/>
          <w:i/>
          <w:sz w:val="22"/>
        </w:rPr>
        <w:t>Bình luận và Câu hỏi</w:t>
      </w:r>
    </w:p>
    <w:p>
      <w:pPr>
        <w:spacing w:after="80"/>
      </w:pPr>
      <w:r>
        <w:rPr>
          <w:b w:val="0"/>
          <w:i w:val="0"/>
        </w:rPr>
        <w:t>1. Các đề xuất của cổ đông đã trở nên phổ biến. Năm 2015, các cổ đông đã đệ trình hơn 900 đề xuất. Không có yêu cầu không hành động nào được nộp đối với hơn 300 đề xuất. Trong khi các đề xuất liên quan đến hội đồng quản trị theo nhiệm kỳ xen kẽ (staggered boards) và các quy định về biểu quyết đa số vẫn phổ biến, thì các nghị quyết phổ biến nhất trong năm 2014 liên quan đến chi tiêu chính trị và vận động hành lang (126), chủ tịch độc lập (68) và biến đổi khí hậu (56). Năm 2015, những đề xuất phổ biến nhất là chính trị và vận động hành lang (110), quyền tiếp cận của cổ đông (109), và chủ tịch độc lập (76). Những số liệu thống kê này gợi ý điều gì về quy trình đề xuất của cổ đông?</w:t>
      </w:r>
    </w:p>
    <w:p>
      <w:pPr>
        <w:spacing w:after="80"/>
      </w:pPr>
      <w:r>
        <w:rPr>
          <w:b w:val="0"/>
          <w:i w:val="0"/>
        </w:rPr>
        <w:t>2. Bạn nghĩ gì về ngoại lệ đối với các vấn đề có tầm quan trọng xã hội và công cộng? Các đề xuất ủy quyền có nên được dùng làm diễn đàn để tranh luận về các vấn đề xã hội quan trọng không? Ngoại lệ này ảnh hưởng như thế nào đến vai trò của nhân viên SEC trong quy trình đề xuất của cổ đông?</w:t>
      </w:r>
    </w:p>
    <w:p>
      <w:pPr>
        <w:spacing w:after="80"/>
      </w:pPr>
      <w:r>
        <w:rPr>
          <w:b w:val="0"/>
          <w:i w:val="0"/>
        </w:rPr>
        <w:t>3. Với mức giá trị bằng đô la hiện nay là $2000, gần như bất kỳ cổ đông nào cũng đủ điều kiện để đệ trình một đề xuất. Ngưỡng sở hữu có nên được thay đổi không? Ở Anh, ngưỡng sở hữu khó đáp ứng hơn nhưng các công ty có ít căn cứ hơn để loại bỏ một đề xuất. Bạn có đề xuất điều gì tương tự ở đất nước này không?</w:t>
      </w:r>
    </w:p>
    <w:p>
      <w:pPr>
        <w:spacing w:after="80"/>
      </w:pPr>
      <w:r>
        <w:rPr>
          <w:b w:val="0"/>
          <w:i w:val="0"/>
        </w:rPr>
        <w:t>4. Ủy ban đã từng tránh một số vấn đề giải thích khó khăn hơn bằng cách cho phép các đề xuất được tiến hành khi chúng chỉ yêu cầu một báo cáo của công ty. Tuy nhiên, Ủy ban cuối cùng đã từ bỏ quan điểm này, kết luận rằng nó đặt ra vấn đề “hình thức hơn nội dung” (form over substance) và khiến cho ngoại lệ “phần lớn trở thành vô hiệu”. Exchange Act Release No. 20091 (ngày 16 tháng 8 năm 1983). Bạn có đồng ý với quan điểm này không?</w:t>
      </w:r>
    </w:p>
    <w:p>
      <w:pPr>
        <w:spacing w:after="80"/>
      </w:pPr>
      <w:r>
        <w:rPr>
          <w:b w:val="0"/>
          <w:i w:val="0"/>
        </w:rPr>
        <w:t xml:space="preserve">5. Hiến pháp bang Delaware có một quy định cho phép Ủy ban Chứng khoán và Giao dịch chuyển các vấn đề lên Tòa án Tối cao bang để xin ý kiến tư vấn. </w:t>
      </w:r>
      <w:r>
        <w:rPr>
          <w:b w:val="0"/>
          <w:i/>
        </w:rPr>
        <w:t>Xem</w:t>
      </w:r>
      <w:r>
        <w:rPr>
          <w:b w:val="0"/>
          <w:i w:val="0"/>
        </w:rPr>
        <w:t xml:space="preserve"> Mục 11(8) của Điều IV Hiến pháp Delaware. Ủy ban đã thực hiện một lần chuyển như vậy. </w:t>
      </w:r>
      <w:r>
        <w:rPr>
          <w:b w:val="0"/>
          <w:i/>
        </w:rPr>
        <w:t>Xem CA, Inc. v. AFSCME</w:t>
      </w:r>
      <w:r>
        <w:rPr>
          <w:b w:val="0"/>
          <w:i w:val="0"/>
        </w:rPr>
        <w:t xml:space="preserve"> , 953 A.2d 227 (Del. 2008). Liệu thẩm quyền đó có đủ để làm rõ ý nghĩa của ngoại lệ “hoạt động kinh doanh thông thường” không? Nói cách khác, liệu ngoại lệ này có phụ thuộc hoàn toàn vào luật bang không?</w:t>
      </w:r>
    </w:p>
    <w:p>
      <w:pPr>
        <w:spacing w:after="80"/>
      </w:pPr>
      <w:r>
        <w:rPr>
          <w:b w:val="0"/>
          <w:i w:val="0"/>
        </w:rPr>
        <w:t xml:space="preserve">6. Các đề xuất thường mang tính khuyến nghị (precatory). Nói cách khác, chúng chỉ yêu cầu hội đồng quản trị hành động. Bạn nghĩ tại sao lại như vậy? Liệu các đề xuất mang tính khuyến nghị có thể ảnh hưởng đến hành vi của ban lãnh đạo không? Ít nhất trong một trường hợp, nó dường như đã làm được điều đó. </w:t>
      </w:r>
      <w:r>
        <w:rPr>
          <w:b w:val="0"/>
          <w:i/>
        </w:rPr>
        <w:t>Xem</w:t>
      </w:r>
      <w:r>
        <w:rPr>
          <w:b w:val="0"/>
          <w:i w:val="0"/>
        </w:rPr>
        <w:t xml:space="preserve"> Marleen O'Connor-Felman, </w:t>
      </w:r>
      <w:r>
        <w:rPr>
          <w:b w:val="0"/>
          <w:i/>
        </w:rPr>
        <w:t>American Corporate Governance and Children: Investing in Our Future Human Capital During Turbulent Times</w:t>
      </w:r>
      <w:r>
        <w:rPr>
          <w:b w:val="0"/>
          <w:i w:val="0"/>
        </w:rPr>
        <w:t xml:space="preserve"> , 77 S. Cal. L. Rev. 1258, 1341 (2004) (lưu ý rằng sau khi một đề xuất kêu gọi các chính sách không phân biệt đối xử liên quan đến xu hướng tính dục “được thông qua với năm mươi tám phần trăm phiếu bầu của cổ đông, công ty đã đồng ý sửa đổi chính sách cơ hội bình đẳng bằng văn bản của mình để nêu rõ rằng công ty không phân biệt đối xử dựa trên xu hướng tính dục.”).</w:t>
      </w:r>
    </w:p>
    <w:p>
      <w:pPr>
        <w:spacing w:after="80"/>
      </w:pPr>
      <w:r>
        <w:rPr>
          <w:b w:val="0"/>
          <w:i w:val="0"/>
        </w:rPr>
        <w:t>—————</w:t>
      </w:r>
    </w:p>
    <w:p>
      <w:pPr>
        <w:spacing w:after="80"/>
      </w:pPr>
      <w:r>
        <w:rPr>
          <w:b w:val="0"/>
          <w:i w:val="0"/>
        </w:rPr>
        <w:t>Bản Release năm 1976 chỉ ra rằng các đề xuất liên quan đến các vấn đề kinh doanh thông thường không thể bị loại bỏ nếu chúng đề cập đến những vấn đề có tầm quan trọng xã hội đáng kể. Tuy nhiên, quan điểm này không dễ thực hiện. Nó có nghĩa là mọi đề xuất liên quan đến hoạt động kinh doanh thông thường của một công ty đều có thể bị phản đối rằng nó không nên bị loại bỏ dựa trên tầm quan trọng công cộng của chủ đề.</w:t>
      </w:r>
    </w:p>
    <w:p>
      <w:pPr>
        <w:spacing w:after="80"/>
      </w:pPr>
      <w:r>
        <w:rPr>
          <w:b w:val="0"/>
          <w:i w:val="0"/>
        </w:rPr>
        <w:t>Kết quả là, nhân viên của Ủy ban bị ngập trong các yêu cầu không hành động. Nhân viên trước tiên phải xác định liệu một đề xuất có thuộc phạm vi hoạt động kinh doanh thông thường của công ty hay không và, nếu có, thì tầm quan trọng tương đối của vấn đề đối với công chúng. Nhân viên cần phải làm điều đó mà không có bất kỳ chuyên môn vốn có nào hay tiêu chuẩn có ý nghĩa nào.</w:t>
      </w:r>
    </w:p>
    <w:p>
      <w:pPr>
        <w:spacing w:after="80"/>
      </w:pPr>
      <w:r>
        <w:rPr>
          <w:b w:val="0"/>
          <w:i w:val="0"/>
        </w:rPr>
        <w:t>Ủy ban đã tìm cách giải quyết những lo ngại này liên quan đến một đề xuất được đệ trình bởi Hệ thống Hưu trí Nhân viên Thành phố New York (New York City Employees' Retirement System) gửi tới Cracker Barrel Old Country Store, Inc. Đề xuất này liên quan đến các chính sách tuyển dụng được thiết kế để ngăn chặn sự phân biệt đối xử dựa trên xu hướng tính dục. Như đề xuất đã nêu:</w:t>
      </w:r>
    </w:p>
    <w:p>
      <w:pPr>
        <w:spacing w:after="80"/>
      </w:pPr>
      <w:r>
        <w:rPr>
          <w:b w:val="0"/>
          <w:i w:val="0"/>
        </w:rPr>
        <w:t>NGHỊ QUYẾT, Các cổ đông yêu cầu Hội đồng Quản trị thực thi các chính sách không phân biệt đối xử liên quan đến xu hướng tính dục và bổ sung những điều khoản cấm đoán rõ ràng đối với sự phân biệt đối xử như vậy vào tuyên bố chính sách tuyển dụng của công ty.</w:t>
      </w:r>
    </w:p>
    <w:p>
      <w:pPr>
        <w:spacing w:after="80"/>
      </w:pPr>
      <w:r>
        <w:rPr>
          <w:b w:val="0"/>
          <w:i w:val="0"/>
        </w:rPr>
        <w:t>Công ty đã tìm kiếm sự cho phép của nhân viên để loại bỏ đề xuất này khỏi bản tuyên bố ủy quyền (proxy statement) của mình. Nhân viên đã phản hồi bằng lá thư sau đây.</w:t>
      </w:r>
    </w:p>
    <w:p>
      <w:pPr>
        <w:pStyle w:val="Heading4"/>
      </w:pPr>
      <w:r>
        <w:rPr>
          <w:rFonts w:ascii="Calibri" w:hAnsi="Calibri"/>
          <w:b/>
          <w:i w:val="0"/>
          <w:sz w:val="23"/>
        </w:rPr>
        <w:t>Cracker Barrel Old Country Store, Inc.</w:t>
      </w:r>
    </w:p>
    <w:p>
      <w:pPr>
        <w:spacing w:after="80"/>
      </w:pPr>
      <w:r>
        <w:rPr>
          <w:b w:val="0"/>
          <w:i w:val="0"/>
        </w:rPr>
        <w:t>Thư Không Hành Động của SEC (SEC No Action Letter) (ngày 13 tháng 10 năm 1992)</w:t>
      </w:r>
    </w:p>
    <w:p>
      <w:pPr>
        <w:spacing w:after="80"/>
      </w:pPr>
      <w:r>
        <w:rPr>
          <w:b w:val="0"/>
          <w:i w:val="0"/>
        </w:rPr>
        <w:t>Đề xuất yêu cầu Hội đồng Quản trị thực thi các chính sách tuyển dụng liên quan đến xu hướng tính dục và đưa những chính sách như vậy vào tuyên bố chính sách tuyển dụng của công ty.</w:t>
      </w:r>
    </w:p>
    <w:p>
      <w:pPr>
        <w:spacing w:after="80"/>
      </w:pPr>
      <w:r>
        <w:rPr>
          <w:b w:val="0"/>
          <w:i w:val="0"/>
        </w:rPr>
        <w:t>Công ty lập luận rằng đề xuất này có thể bị loại trừ theo Quy tắc 14a-8(c)(7) [ngoại lệ "hoạt động kinh doanh thông thường" (ordinary business)]. Theo nguyên tắc chung, nhân viên xem các đề xuất nhắm vào chính sách và thực tiễn tuyển dụng của công ty đối với lực lượng lao động không thuộc ban điều hành là những vấn đề đặc thù liên quan đến việc tiến hành các hoạt động kinh doanh thông thường của công ty. Ví dụ về các loại đề xuất đã được coi là có thể bị loại trừ trên cơ sở này bao gồm: phúc lợi sức khỏe cho nhân viên, các vấn đề thù lao chung không tập trung vào các giám đốc điều hành cấp cao, quản lý nơi làm việc, giám sát nhân viên, quan hệ lao động - quản lý, việc tuyển dụng và sa thải nhân viên, các điều kiện làm việc và việc đào tạo cũng như động viên nhân viên.</w:t>
      </w:r>
    </w:p>
    <w:p>
      <w:pPr>
        <w:spacing w:after="80"/>
      </w:pPr>
      <w:r>
        <w:rPr>
          <w:b w:val="0"/>
          <w:i w:val="0"/>
        </w:rPr>
        <w:t>Bất chấp quan điểm chung rằng các vấn đề tuyển dụng liên quan đến lực lượng lao động của công ty có thể bị loại trừ như những vấn đề liên quan đến việc tiến hành hoạt động kinh doanh hằng ngày, đã có những ngoại lệ được đưa ra trong một số trường hợp khi người đề xuất dựa trên những lo ngại về "chính sách xã hội" (social policy) để đưa ra một đề xuất liên quan đến tuyển dụng. Tuy nhiên, trong những năm gần đây, ranh giới giữa các đề xuất liên quan đến tuyển dụng có thể được đưa vào và có thể bị loại trừ dựa trên những cân nhắc về chính sách xã hội đã trở nên ngày càng khó phân định. Những sự phân biệt được nhân viên công nhận được nhiều người mô tả là mong manh, không có cơ sở thực chất và thực tế đã vô hiệu hóa việc áp dụng ngoại lệ hoạt động kinh doanh thông thường đối với các đề xuất liên quan đến tuyển dụng.</w:t>
      </w:r>
    </w:p>
    <w:p>
      <w:pPr>
        <w:spacing w:after="80"/>
      </w:pPr>
      <w:r>
        <w:rPr>
          <w:b w:val="0"/>
          <w:i w:val="0"/>
        </w:rPr>
        <w:t>Bộ phận này đã xem xét lại việc áp dụng Quy tắc 14a-8(c)(7) đối với các đề xuất liên quan đến tuyển dụng dưới ánh sáng của những lo ngại này và kinh nghiệm của nhân viên với những đề xuất như vậy trong những năm gần đây. Kết quả là, Bộ phận này đã xác định rằng việc một đề xuất của cổ đông liên quan đến chính sách và thực tiễn tuyển dụng của công ty đối với lực lượng lao động nói chung có gắn với một vấn đề xã hội sẽ không còn được xem là đưa đề xuất đó ra khỏi lĩnh vực hoạt động kinh doanh thông thường của tổ chức đăng ký nữa. Thay vào đó, các quyết định liên quan đến bất kỳ đề xuất nào như vậy được điều chỉnh một cách thích đáng bởi bản chất dựa trên tuyển dụng của đề xuất đó.</w:t>
      </w:r>
    </w:p>
    <w:p>
      <w:pPr>
        <w:spacing w:after="80"/>
      </w:pPr>
      <w:r>
        <w:rPr>
          <w:b w:val="0"/>
          <w:i w:val="0"/>
        </w:rPr>
        <w:t>Điều này cần được phân biệt với các đề xuất liên quan đến thù lao của các giám đốc điều hành cấp cao và các giám đốc. Ủy ban tiếp tục coi các vấn đề ảnh hưởng đến thù lao của CEO và các giám đốc điều hành cấp cao khác cũng như các giám đốc là những quyết định đặc thù ảnh hưởng đến bản chất của các mối quan hệ giữa các cổ đông, những người điều hành công ty thay mặt họ và các giám đốc chịu trách nhiệm giám sát hiệu quả hoạt động của ban quản lý. Do đó, không giống như các đề xuất liên quan đến lực lượng lao động phổ thông, các đề xuất liên quan đến thù lao của các giám đốc điều hành cấp cao và các giám đốc được Ủy ban xem là vốn nằm ngoài phạm vi các thực tiễn thông thường hoặc thường lệ trong việc điều hành hoạt động của công ty.</w:t>
      </w:r>
    </w:p>
    <w:p>
      <w:pPr>
        <w:spacing w:after="80"/>
      </w:pPr>
      <w:r>
        <w:rPr>
          <w:b w:val="0"/>
          <w:i w:val="0"/>
        </w:rPr>
        <w:t>Theo đó, quan điểm của Bộ phận này là đề xuất hiện tại có thể bị loại trừ khỏi tài liệu ủy quyền của Công ty dựa trên Quy tắc 14a-8(c)(7).</w:t>
      </w:r>
    </w:p>
    <w:p>
      <w:pPr>
        <w:pStyle w:val="Heading5"/>
      </w:pPr>
      <w:r>
        <w:rPr>
          <w:rFonts w:ascii="Calibri" w:hAnsi="Calibri"/>
          <w:b/>
          <w:i/>
          <w:sz w:val="22"/>
        </w:rPr>
        <w:t>Bình luận và Câu hỏi</w:t>
      </w:r>
    </w:p>
    <w:p>
      <w:pPr>
        <w:spacing w:after="80"/>
      </w:pPr>
      <w:r>
        <w:rPr>
          <w:b w:val="0"/>
          <w:i w:val="0"/>
        </w:rPr>
        <w:t>1. Trong một bước đi bất thường, nhân viên đã ban hành một lá thư thứ hai ghi chú rằng quan điểm trong lá thư Cracker Barrel đã được Ủy ban phê chuẩn. Cracker Barrel Old Country Store, Inc. (ngày 15 tháng 1 năm 1993) (bác bỏ kháng nghị của NYCER lên Ủy ban nhưng ghi chú rằng "Ủy ban đã khẳng định quan điểm của Bộ phận rằng đề xuất này có thể bị loại trừ khỏi tài liệu ủy quyền của Công ty dựa trên quy tắc 14a-8(c)(7)."). Mặc dù nhận thức được các quan điểm quan trọng của nhân viên, Ủy ban thông thường không can thiệp trực tiếp. Tại sao Ủy ban lại có thể đã can thiệp trong trường hợp này?</w:t>
      </w:r>
    </w:p>
    <w:p>
      <w:pPr>
        <w:spacing w:after="80"/>
      </w:pPr>
      <w:r>
        <w:rPr>
          <w:b w:val="0"/>
          <w:i w:val="0"/>
        </w:rPr>
        <w:t xml:space="preserve">2. Bạn nghĩ gì về cách tiếp cận được trình bày trong lá thư </w:t>
      </w:r>
      <w:r>
        <w:rPr>
          <w:b w:val="0"/>
          <w:i/>
        </w:rPr>
        <w:t>Cracker Barrel</w:t>
      </w:r>
      <w:r>
        <w:rPr>
          <w:b w:val="0"/>
          <w:i w:val="0"/>
        </w:rPr>
        <w:t>? Nó làm rõ việc áp dụng ngoại lệ "hoạt động kinh doanh thông thường" như thế nào?</w:t>
      </w:r>
    </w:p>
    <w:p>
      <w:pPr>
        <w:spacing w:after="80"/>
      </w:pPr>
      <w:r>
        <w:rPr>
          <w:b w:val="0"/>
          <w:i w:val="0"/>
        </w:rPr>
        <w:t>3. Có lý do nào để áp dụng cách tiếp cận này chỉ cho các vấn đề liên quan đến tuyển dụng không? Sau khi lá thư Cracker Barrel ra đời, các công ty đã tìm cách loại trừ các loại đề xuất khác, lập luận rằng ngoại lệ chính sách công (public policy exception) không nên được áp dụng. Liệu lá thư Cracker Barrel có cung cấp sự ủng hộ cho cách tiếp cận này không?</w:t>
      </w:r>
    </w:p>
    <w:p>
      <w:pPr>
        <w:spacing w:after="80"/>
      </w:pPr>
      <w:r>
        <w:rPr>
          <w:b w:val="0"/>
          <w:i w:val="0"/>
        </w:rPr>
        <w:t xml:space="preserve">4. Cracker Barrel cũng minh họa một động lực thường được biết đến của quá trình đề xuất cổ đông. Quy tắc 14a-8 chứa đầy những thuật ngữ mơ hồ hoặc chủ quan được nhân viên giải thích với rất ít hướng dẫn từ Ủy ban. Hơn nữa, nhân viên có thể, phù hợp với Đạo luật Thủ tục Hành chính (Administrative Procedures Act), thay đổi cách giải thích mà không cần thông báo và lấy ý kiến. </w:t>
      </w:r>
      <w:r>
        <w:rPr>
          <w:b w:val="0"/>
          <w:i/>
        </w:rPr>
        <w:t>Xem Perez v. Mortgage Bankers Association</w:t>
      </w:r>
      <w:r>
        <w:rPr>
          <w:b w:val="0"/>
          <w:i w:val="0"/>
        </w:rPr>
        <w:t xml:space="preserve"> , 135 S. Ct. 1199 (2015). Điều này có thể tạo ra sự khác biệt gì trong cách tiếp cận giải thích của nhân viên theo Quy tắc này?</w:t>
      </w:r>
    </w:p>
    <w:p>
      <w:pPr>
        <w:spacing w:after="80"/>
      </w:pPr>
      <w:r>
        <w:rPr>
          <w:b w:val="0"/>
          <w:i w:val="0"/>
        </w:rPr>
        <w:t>—————</w:t>
      </w:r>
    </w:p>
    <w:p>
      <w:pPr>
        <w:spacing w:after="80"/>
      </w:pPr>
      <w:r>
        <w:rPr>
          <w:b w:val="0"/>
          <w:i w:val="0"/>
        </w:rPr>
        <w:t xml:space="preserve">Lập trường trong </w:t>
      </w:r>
      <w:r>
        <w:rPr>
          <w:b w:val="0"/>
          <w:i/>
        </w:rPr>
        <w:t>Cracker Barrel</w:t>
      </w:r>
      <w:r>
        <w:rPr>
          <w:b w:val="0"/>
          <w:i w:val="0"/>
        </w:rPr>
        <w:t xml:space="preserve"> đã bị chỉ trích mạnh mẽ. Ít nhất một tòa án cho rằng Ủy ban đã vi phạm quy trình hành chính khi đưa ra phán quyết đó. </w:t>
      </w:r>
      <w:r>
        <w:rPr>
          <w:b w:val="0"/>
          <w:i/>
        </w:rPr>
        <w:t>Xem Amalgamated Clothing and Textile Workers Union v. Wal-Mart Stores, Inc.</w:t>
      </w:r>
      <w:r>
        <w:rPr>
          <w:b w:val="0"/>
          <w:i w:val="0"/>
        </w:rPr>
        <w:t xml:space="preserve"> , 821 F. Supp. 877 (S.D.N.Y. 1993). Khi áp lực gia tăng, Ủy ban quyết định xem xét lại lập trường này.</w:t>
      </w:r>
    </w:p>
    <w:p>
      <w:pPr>
        <w:pStyle w:val="Heading4"/>
      </w:pPr>
      <w:r>
        <w:rPr>
          <w:rFonts w:ascii="Calibri" w:hAnsi="Calibri"/>
          <w:b/>
          <w:i w:val="0"/>
          <w:sz w:val="23"/>
        </w:rPr>
        <w:t>Sửa đổi các Quy tắc về Đề xuất của Cổ đông</w:t>
      </w:r>
    </w:p>
    <w:p>
      <w:pPr>
        <w:spacing w:after="80"/>
      </w:pPr>
      <w:r>
        <w:rPr>
          <w:b w:val="0"/>
          <w:i w:val="0"/>
        </w:rPr>
        <w:t>Exchange Act Release No. 40018 (ngày 21 tháng 5 năm 1998)</w:t>
      </w:r>
    </w:p>
    <w:p>
      <w:pPr>
        <w:spacing w:after="80"/>
      </w:pPr>
      <w:r>
        <w:rPr>
          <w:b w:val="0"/>
          <w:i w:val="0"/>
        </w:rPr>
        <w:t>Khi áp dụng ngoại lệ "hoạt động kinh doanh thông thường" (ordinary business) cho các đề xuất nêu lên các vấn đề chính sách xã hội, Ban Nghiệp vụ (Division) tìm cách sử dụng các tiêu chuẩn hợp lý và nhất quán nhất có thể, xét đến tính phức tạp vốn có của nhiệm vụ này. Tùy từng thời điểm, dựa trên kinh nghiệm xử lý các đề xuất trong những lĩnh vực chủ đề cụ thể, và phản ánh quan điểm xã hội đang thay đổi, Ban Nghiệp vụ điều chỉnh quan điểm của mình đối với các đề xuất "chính sách xã hội" liên quan đến hoạt động kinh doanh thông thường. Qua nhiều năm, Ban Nghiệp vụ đã đảo ngược lập trường của mình về khả năng loại trừ của một số loại đề xuất, bao gồm việc đóng cửa nhà máy, sản xuất sản phẩm thuốc lá, thù lao ban điều hành, và các thỏa thuận "dù vàng" (golden parachutes).</w:t>
      </w:r>
    </w:p>
    <w:p>
      <w:pPr>
        <w:spacing w:after="80"/>
      </w:pPr>
      <w:r>
        <w:rPr>
          <w:b w:val="0"/>
          <w:i w:val="0"/>
        </w:rPr>
        <w:t>Chúng tôi tin rằng việc đảo ngược lá thư không hành động (no-action letter) Cracker Barrel của Ban Nghiệp vụ, mà Ủy ban sau đó đã khẳng định, là chính đáng. Kể từ năm 1992, tầm quan trọng tương đối của một số vấn đề xã hội liên quan đến các vấn đề việc làm đã nổi lên trở lại như một chủ đề tranh luận công khai rộng rãi và nhất quán. Ngoài ra, nhờ cuộc thảo luận chính sách sâu rộng mà lập trường Cracker Barrel đã khơi ra, và thông qua quy trình lấy ý kiến và thông báo ban hành quy định, chúng tôi đã hiểu rõ hơn về mức độ quan tâm của cổ đông đối với việc có cơ hội bày tỏ quan điểm của mình với ban lãnh đạo công ty về các đề xuất liên quan đến việc làm nêu lên những vấn đề chính sách xã hội đủ quan trọng.</w:t>
      </w:r>
    </w:p>
    <w:p>
      <w:pPr>
        <w:spacing w:after="80"/>
      </w:pPr>
      <w:r>
        <w:rPr>
          <w:b w:val="0"/>
          <w:i w:val="0"/>
        </w:rPr>
        <w:t>Việc đảo ngược lập trường không hành động Cracker Barrel sẽ dẫn đến việc quay lại cách tiếp cận phân tích theo từng trường hợp cụ thể. Khi phân biệt trong lĩnh vực này, Ban Nghiệp vụ và Ủy ban sẽ tiếp tục áp dụng tiêu chuẩn hiện hành để xác định khi nào một đề xuất liên quan đến "hoạt động kinh doanh thông thường". Tiêu chuẩn này, vốn được nêu lần đầu trong văn bản ban hành năm 1976 của Ủy ban, đã đưa ra một ngoại lệ cho một số đề xuất nêu lên các vấn đề chính sách xã hội quan trọng.</w:t>
      </w:r>
    </w:p>
    <w:p>
      <w:pPr>
        <w:spacing w:after="80"/>
      </w:pPr>
      <w:r>
        <w:rPr>
          <w:b w:val="0"/>
          <w:i w:val="0"/>
        </w:rPr>
        <w:t>Mặc dù chúng tôi thừa nhận rằng không có phép thử rõ ràng (bright-line test) nào để xác định khi nào các đề xuất của cổ đông liên quan đến việc làm nêu lên các vấn đề xã hội thuộc phạm vi ngoại lệ "hoạt động kinh doanh thông thường", đội ngũ nhân viên sẽ đưa ra những phân biệt có lý khi quyết định có cấp biện pháp "không hành động" hay không. Mặc dù một vài phân biệt được đưa ra trong những trường hợp đó có thể hơi mong manh, chúng tôi tin rằng nhìn chung lợi ích đối với cổ đông và công ty trong việc cung cấp hướng dẫn và các giải pháp không chính thức sẽ lớn hơn những khía cạnh có vấn đề của một vài quyết định nằm ở vùng trung gian.</w:t>
      </w:r>
    </w:p>
    <w:p>
      <w:pPr>
        <w:spacing w:after="80"/>
      </w:pPr>
      <w:r>
        <w:rPr>
          <w:b w:val="0"/>
          <w:i w:val="0"/>
        </w:rPr>
        <w:t xml:space="preserve">Gần như tất cả những người góp ý từ cộng đồng cổ đông đã đề cập đến vấn đề này đều ủng hộ việc đảo ngược lập trường này. Hầu hết những người góp ý từ cộng đồng doanh nghiệp không tán thành đề xuất đảo ngược </w:t>
      </w:r>
      <w:r>
        <w:rPr>
          <w:b w:val="0"/>
          <w:i/>
        </w:rPr>
        <w:t>Cracker Barrel</w:t>
      </w:r>
      <w:r>
        <w:rPr>
          <w:b w:val="0"/>
          <w:i w:val="0"/>
        </w:rPr>
        <w:t xml:space="preserve"> , mặc dù nhiều người cho biết sự thay đổi này sẽ chấp nhận được như một phần của một loạt cải cách rộng lớn hơn.</w:t>
      </w:r>
    </w:p>
    <w:p>
      <w:pPr>
        <w:spacing w:after="80"/>
      </w:pPr>
      <w:r>
        <w:rPr>
          <w:b w:val="0"/>
          <w:i w:val="0"/>
        </w:rPr>
        <w:t xml:space="preserve">Trong thời gian tới, các công ty và cổ đông nên lưu ý rằng lập trường </w:t>
      </w:r>
      <w:r>
        <w:rPr>
          <w:b w:val="0"/>
          <w:i/>
        </w:rPr>
        <w:t>Cracker Barrel</w:t>
      </w:r>
      <w:r>
        <w:rPr>
          <w:b w:val="0"/>
          <w:i w:val="0"/>
        </w:rPr>
        <w:t xml:space="preserve"> chỉ liên quan đến các đề xuất liên quan đến việc làm nêu lên một số vấn đề chính sách xã hội nhất định. Việc đảo ngược lập trường này không ảnh hưởng đến việc phân tích của Ban Nghiệp vụ đối với bất kỳ loại đề xuất nào khác thuộc ngoại lệ này, chẳng hạn như các đề xuất về hoạt động kinh doanh nói chung.</w:t>
      </w:r>
    </w:p>
    <w:p>
      <w:pPr>
        <w:pStyle w:val="Heading5"/>
      </w:pPr>
      <w:r>
        <w:rPr>
          <w:rFonts w:ascii="Calibri" w:hAnsi="Calibri"/>
          <w:b/>
          <w:i/>
          <w:sz w:val="22"/>
        </w:rPr>
        <w:t>Bình luận và Câu hỏi</w:t>
      </w:r>
    </w:p>
    <w:p>
      <w:pPr>
        <w:spacing w:after="80"/>
      </w:pPr>
      <w:r>
        <w:rPr>
          <w:b w:val="0"/>
          <w:i w:val="0"/>
        </w:rPr>
        <w:t>1. Hành động này của Ủy ban có tác dụng gì? Nó có thể gây ra những vấn đề gì cho cổ đông nộp đề xuất và công ty nhận đề xuất của cổ đông?</w:t>
      </w:r>
    </w:p>
    <w:p>
      <w:pPr>
        <w:spacing w:after="80"/>
      </w:pPr>
      <w:r>
        <w:rPr>
          <w:b w:val="0"/>
          <w:i w:val="0"/>
        </w:rPr>
        <w:t xml:space="preserve">2. Bạn nghĩ gì về lời giải thích của Ủy ban cho sự thay đổi chính sách này? Nó có thuyết phục không? Một số cách giải thích thay thế là gì? Liệu sự thay đổi trong thành phần chính trị của Ủy ban có phải là một cách giải thích khả dĩ không? </w:t>
      </w:r>
      <w:r>
        <w:rPr>
          <w:b w:val="0"/>
          <w:i/>
        </w:rPr>
        <w:t>Xem</w:t>
      </w:r>
      <w:r>
        <w:rPr>
          <w:b w:val="0"/>
          <w:i w:val="0"/>
        </w:rPr>
        <w:t xml:space="preserve"> J. Robert Brown, Jr., </w:t>
      </w:r>
      <w:r>
        <w:rPr>
          <w:b w:val="0"/>
          <w:i/>
        </w:rPr>
        <w:t>Essay: The Politicization of Corporate Governance: Bureaucratic Discretion, the SEC, and Shareholder Ratification of Auditors</w:t>
      </w:r>
      <w:r>
        <w:rPr>
          <w:b w:val="0"/>
          <w:i w:val="0"/>
        </w:rPr>
        <w:t xml:space="preserve"> , 2 Harv. Bus. L. Rev. 61, 74–75 (2012) (lưu ý rằng một khi Tổng thống Clinton thành công trong việc bổ nhiệm đa số thành viên Ủy ban, "Ủy ban đã bắt tay vào việc đảo ngược </w:t>
      </w:r>
      <w:r>
        <w:rPr>
          <w:b w:val="0"/>
          <w:i/>
        </w:rPr>
        <w:t>Cracker Barrel</w:t>
      </w:r>
      <w:r>
        <w:rPr>
          <w:b w:val="0"/>
          <w:i w:val="0"/>
        </w:rPr>
        <w:t xml:space="preserve"> .").</w:t>
      </w:r>
    </w:p>
    <w:p>
      <w:pPr>
        <w:spacing w:after="80"/>
      </w:pPr>
      <w:r>
        <w:rPr>
          <w:b w:val="0"/>
          <w:i w:val="0"/>
        </w:rPr>
        <w:t xml:space="preserve">3. </w:t>
      </w:r>
      <w:r>
        <w:rPr>
          <w:b w:val="0"/>
          <w:i/>
        </w:rPr>
        <w:t>Cracker Barrel</w:t>
      </w:r>
      <w:r>
        <w:rPr>
          <w:b w:val="0"/>
          <w:i w:val="0"/>
        </w:rPr>
        <w:t xml:space="preserve"> không phải là ví dụ duy nhất về việc đội ngũ nhân viên cố gắng áp đặt các phép thử rõ ràng liên quan đến việc áp dụng ngoại lệ hoạt động kinh doanh thông thường, để rồi sau đó bị đảo ngược. </w:t>
      </w:r>
      <w:r>
        <w:rPr>
          <w:b w:val="0"/>
          <w:i/>
        </w:rPr>
        <w:t>So sánh</w:t>
      </w:r>
      <w:r>
        <w:rPr>
          <w:b w:val="0"/>
          <w:i w:val="0"/>
        </w:rPr>
        <w:t xml:space="preserve"> Staff Legal Bulletin No. 14C (CF), ngày 28 tháng 6 năm 2005 (áp đặt phép thử rõ ràng lưu ý rằng các đề xuất liên quan đến môi trường hoặc sức khỏe cộng đồng có thể bị loại trừ nếu chúng yêu cầu "một đánh giá nội bộ về các rủi ro hoặc nghĩa vụ mà công ty phải đối mặt do hoạt động của mình có thể gây ảnh hưởng xấu đến môi trường hoặc sức khỏe cộng đồng"), </w:t>
      </w:r>
      <w:r>
        <w:rPr>
          <w:b w:val="0"/>
          <w:i/>
        </w:rPr>
        <w:t>với</w:t>
      </w:r>
      <w:r>
        <w:rPr>
          <w:b w:val="0"/>
          <w:i w:val="0"/>
        </w:rPr>
        <w:t xml:space="preserve"> Staff Legal Bulletin No. 14E (CF), ngày 27 tháng 10 năm 2009 (lưu ý rằng "hầu hết các quyết định của doanh nghiệp đều liên quan đến một số đánh giá rủi ro", đội ngũ nhân viên đã từ bỏ phép thử rõ ràng để thay vào đó áp dụng "các tiêu chuẩn giống nhau" được dùng cho "các loại đề xuất khác theo Rule 14a-8(i)(7).").</w:t>
      </w:r>
    </w:p>
    <w:p>
      <w:pPr>
        <w:spacing w:after="80"/>
      </w:pPr>
      <w:r>
        <w:rPr>
          <w:b w:val="0"/>
          <w:i w:val="0"/>
        </w:rPr>
        <w:t xml:space="preserve">4. Việc áp dụng yếu tố chính sách xã hội đã tiếp tục phát triển. Trong năm 2002 và 2003, đội ngũ nhân viên đã ban hành các lá thư không hành động kết luận rằng các đề xuất liên quan đến việc sử dụng kháng sinh trong thức ăn chăn nuôi có thể bị loại trừ như "hoạt động kinh doanh thông thường". Tuy nhiên, vào năm 2009, đội ngũ nhân viên đã đảo ngược lập trường, lưu ý rằng tình trạng kháng kháng sinh thông qua việc sử dụng kháng sinh trong chăn nuôi đã tạo ra "tranh luận công khai rộng rãi". Tyson Foods, Inc. (ngày 15 tháng 12 năm 2009). Đội ngũ nhân viên lưu ý đến việc Liên minh châu Âu cấm sử dụng hầu hết các loại kháng sinh làm phụ gia thức ăn chăn nuôi và luật được đệ trình tại Quốc hội "nhằm cấm việc sử dụng kháng sinh phi trị liệu ở động vật khi thiếu một số phát hiện an toàn nhất định liên quan đến tình trạng kháng kháng sinh." </w:t>
      </w:r>
      <w:r>
        <w:rPr>
          <w:b w:val="0"/>
          <w:i/>
        </w:rPr>
        <w:t>Id.</w:t>
      </w:r>
      <w:r>
        <w:rPr>
          <w:b w:val="0"/>
          <w:i w:val="0"/>
        </w:rPr>
        <w:t xml:space="preserve"> Bạn nghĩ gì về bằng chứng bổ sung về tranh luận công khai này? Nó có cần thiết không? Nó có đủ không?</w:t>
      </w:r>
    </w:p>
    <w:p>
      <w:pPr>
        <w:spacing w:after="80"/>
      </w:pPr>
      <w:r>
        <w:rPr>
          <w:b w:val="0"/>
          <w:i w:val="0"/>
        </w:rPr>
        <w:t>5. Các đề xuất của cổ đông có xu hướng rơi vào bốn nhóm: thù lao ban điều hành, tiêu chuẩn quản trị cho hội đồng quản trị, biện pháp phòng vệ chống thâu tóm, và các vấn đề xã hội/chính trị. Các đề xuất về thù lao ban điều hành bao gồm từ giới hạn số tiền trợ cấp thôi việc cho các quan chức điều hành đến thời gian nắm giữ đối với các phần thưởng cổ phiếu. Các đề xuất quản trị phổ biến bao gồm những đề xuất kêu gọi tách vai trò chủ tịch/CEO và bầu chọn giám đốc bằng đa số phiếu. Các đề xuất về thâu tóm liên quan đến những vấn đề như bãi bỏ hội đồng quản trị theo nhiệm kỳ so le, mua lại các "viên thuốc độc" (poison pills), và quyền của cổ đông triệu tập các cuộc họp bất thường.</w:t>
      </w:r>
    </w:p>
    <w:p>
      <w:pPr>
        <w:spacing w:after="80"/>
      </w:pPr>
      <w:r>
        <w:rPr>
          <w:b w:val="0"/>
          <w:i w:val="0"/>
        </w:rPr>
        <w:t>6. Đối với các đề xuất mang tính trách nhiệm xã hội, các chủ đề phổ biến bao gồm biến đổi khí hậu và báo cáo về chi tiêu chính trị. Nhìn chung, những đề xuất này nhận được ít sự ủng hộ hơn so với những đề xuất giải quyết các vấn đề quản trị. Vì vậy, vào năm 2015, hơn 35 đề xuất về quyền tiếp cận của cổ đông đã nhận được sự ủng hộ đa số, cũng như bảy đề xuất kêu gọi bỏ phiếu đa số cho các giám đốc. Mặc dù cổ đông đã đệ trình 110 đề xuất giải quyết các hoạt động chính trị và vận động hành lang, chúng chỉ đạt trung bình 28,8% số phiếu bầu và không có đề xuất nào nhận được sự ủng hộ đa số (mặc dù có ba đề xuất đã làm được điều đó vào năm 2014). Điều gì giải thích sự khác biệt này?</w:t>
      </w:r>
    </w:p>
    <w:p>
      <w:pPr>
        <w:spacing w:after="80"/>
      </w:pPr>
      <w:r>
        <w:rPr>
          <w:b w:val="0"/>
          <w:i w:val="0"/>
        </w:rPr>
        <w:t xml:space="preserve">7. Những người không hài lòng với quyết định của nhân viên có thể yêu cầu xem xét lại hoặc thậm chí kháng cáo lên Ủy ban. Nhân viên đóng vai trò người gác cổng cho các kháng cáo. Xem Quy tắc 202.1(d) của Quy tắc Thực hành SEC ("Nhân viên, theo yêu cầu hoặc theo đề nghị của chính mình, thường sẽ trình bày các câu hỏi lên Ủy ban liên quan đến những vấn đề có tầm quan trọng đáng kể và khi các vấn đề đó mới lạ hoặc rất phức tạp, mặc dù việc chấp thuận yêu cầu tuyên bố không chính thức của Ủy ban hoàn toàn thuộc quyền quyết định của Ủy ban."). Trên thực tế, Ủy ban hầu như không bao giờ xem xét một kháng cáo và hầu như không bao giờ đảo ngược quan điểm của nhân viên. </w:t>
      </w:r>
      <w:r>
        <w:rPr>
          <w:b w:val="0"/>
          <w:i/>
        </w:rPr>
        <w:t>Xem</w:t>
      </w:r>
      <w:r>
        <w:rPr>
          <w:b w:val="0"/>
          <w:i w:val="0"/>
        </w:rPr>
        <w:t xml:space="preserve"> Courtney Bartkus, </w:t>
      </w:r>
      <w:r>
        <w:rPr>
          <w:b w:val="0"/>
          <w:i/>
        </w:rPr>
        <w:t>Appealing No-Action Responses under Rule 14a-8: Informal Procedures of the SEC and the Availability of Meaningful Review</w:t>
      </w:r>
      <w:r>
        <w:rPr>
          <w:b w:val="0"/>
          <w:i w:val="0"/>
        </w:rPr>
        <w:t xml:space="preserve"> , 93 DENV . L. REV . ONLINE 199 (2016) (lưu ý rằng từ năm 2005 đến năm 2015, Ủy ban chỉ can thiệp trực tiếp một lần do kết quả của một kháng cáo đối với phán quyết của nhân viên theo Quy tắc 14a-8). Tại sao lại như vậy? Đối với một ngoại lệ bất thường đối với cách tiếp cận này, xem Tuyên bố từ Chủ tịch White chỉ đạo nhân viên xem xét Quy tắc của Ủy ban về việc loại trừ các đề xuất ủy quyền xung đột, ngày 16 tháng 1 năm 2015 (chỉ đạo nhân viên xem xét Quy tắc 14a-8(i)(9) và báo cáo lên Ủy ban; do kết quả của các chỉ thị này, Phòng Tài chính Doanh nghiệp thông báo rằng họ sẽ "không bày tỏ quan điểm" về điều khoản này trong mùa ủy quyền hiện tại).</w:t>
      </w:r>
    </w:p>
    <w:p>
      <w:pPr>
        <w:spacing w:after="80"/>
      </w:pPr>
      <w:r>
        <w:rPr>
          <w:b w:val="0"/>
          <w:i w:val="0"/>
        </w:rPr>
        <w:t>—————</w:t>
      </w:r>
    </w:p>
    <w:p>
      <w:pPr>
        <w:spacing w:after="80"/>
      </w:pPr>
      <w:r>
        <w:rPr>
          <w:b w:val="0"/>
          <w:i w:val="0"/>
        </w:rPr>
        <w:t xml:space="preserve">Các sửa đổi năm 1998 đã khôi phục hiệu quả cách phân tích truyền thống. Các đề xuất có thể bị loại trừ nếu chúng liên quan đến hoạt động kinh doanh thông thường của công ty trừ khi chúng cũng liên quan đến một vấn đề quan trọng của chính sách công. Kết quả là, những lo ngại dẫn đến quan điểm ban đầu trong </w:t>
      </w:r>
      <w:r>
        <w:rPr>
          <w:b w:val="0"/>
          <w:i/>
        </w:rPr>
        <w:t>Cracker Barrel</w:t>
      </w:r>
      <w:r>
        <w:rPr>
          <w:b w:val="0"/>
          <w:i w:val="0"/>
        </w:rPr>
        <w:t xml:space="preserve"> vẫn còn nguyên. Hầu như bất kỳ đề xuất nào liên quan đến hoạt động kinh doanh của công ty đều được coi là có thể bị loại trừ. Tuy nhiên, đồng thời, cổ đông thường nhắm vào các khía cạnh của hoạt động kinh doanh có liên quan đến các vấn đề chính sách công, tạo ra ít nhất một lập luận rằng đề xuất đó không nên bị loại trừ. Những khó khăn trong cách tiếp cận này đã lộ rõ trong vụ án sau đây.</w:t>
      </w:r>
    </w:p>
    <w:p>
      <w:pPr>
        <w:pStyle w:val="Heading4"/>
      </w:pPr>
      <w:r>
        <w:rPr>
          <w:rFonts w:ascii="Calibri" w:hAnsi="Calibri"/>
          <w:b/>
          <w:i w:val="0"/>
          <w:sz w:val="23"/>
        </w:rPr>
        <w:t>Trinity Wall Street v. Wal-Mart Stores, Inc.</w:t>
      </w:r>
    </w:p>
    <w:p>
      <w:pPr>
        <w:spacing w:after="80"/>
      </w:pPr>
      <w:r>
        <w:rPr>
          <w:b w:val="0"/>
          <w:i w:val="0"/>
        </w:rPr>
        <w:t>Tòa án Phúc thẩm Hoa Kỳ, Vòng thứ ba</w:t>
      </w:r>
      <w:r>
        <w:br/>
      </w:r>
      <w:r>
        <w:rPr>
          <w:b w:val="0"/>
          <w:i w:val="0"/>
        </w:rPr>
        <w:t xml:space="preserve"> 792 F.3d 323 (2015)</w:t>
      </w:r>
    </w:p>
    <w:p>
      <w:pPr>
        <w:spacing w:after="80"/>
      </w:pPr>
      <w:r>
        <w:rPr>
          <w:b w:val="0"/>
          <w:i w:val="0"/>
        </w:rPr>
        <w:t>Thẩm phán Ambro:</w:t>
      </w:r>
    </w:p>
    <w:p>
      <w:pPr>
        <w:spacing w:after="80"/>
      </w:pPr>
      <w:r>
        <w:rPr>
          <w:b w:val="0"/>
          <w:i w:val="0"/>
        </w:rPr>
        <w:t>I. GIỚI THIỆU</w:t>
      </w:r>
    </w:p>
    <w:p>
      <w:pPr>
        <w:spacing w:after="80"/>
      </w:pPr>
      <w:r>
        <w:rPr>
          <w:b w:val="0"/>
          <w:i w:val="0"/>
        </w:rPr>
        <w:t>"[B]í quyết của việc bán lẻ thành công là cung cấp cho khách hàng những gì họ muốn." Sam Walton, SAM WALTON: MADE IN AMERICA 173 (1993). Vụ án này liên quan đến nỗ lực của một cổ đông nhằm tác động đến cách Wal-Mart thực hiện điều đó.</w:t>
      </w:r>
    </w:p>
    <w:p>
      <w:pPr>
        <w:spacing w:after="80"/>
      </w:pPr>
      <w:r>
        <w:rPr>
          <w:b w:val="0"/>
          <w:i w:val="0"/>
        </w:rPr>
        <w:t>Nguyên đơn kháng cáo Wal-Mart Stores, Inc., nhà bán lẻ lớn nhất thế giới, và một trong các cổ đông của nó, Bị đơn Trinity Wall Street—một giáo xứ Episcopal có trụ sở tại Thành phố New York sở hữu cổ phiếu Wal-Mart—đang bị cuốn vào một tranh chấp gay gắt. Tranh chấp này bắt nguồn từ việc Wal-Mart từ chối yêu cầu của Trinity về việc đưa đề xuất của cổ đông vào tài liệu ủy quyền của Wal-Mart để cổ đông xem xét.</w:t>
      </w:r>
    </w:p>
    <w:p>
      <w:pPr>
        <w:spacing w:after="80"/>
      </w:pPr>
      <w:r>
        <w:rPr>
          <w:b w:val="0"/>
          <w:i w:val="0"/>
        </w:rPr>
        <w:t>Đề xuất của Trinity, mặc dù gắn liền với việc Wal-Mart bán súng có công suất lớn (loại súng có thể chứa hơn mười viên đạn) tại khoảng một phần ba trong số 3.000 cửa hàng của mình, nhưng vẫn mang tính bao quát. Đề xuất yêu cầu Ban Giám đốc của Wal-Mart xây dựng và thực hiện các tiêu chuẩn để ban quản lý sử dụng trong việc quyết định có nên bán một sản phẩm mà (1) "đặc biệt gây nguy hiểm cho an toàn công cộng"; (2) "có tiềm năng đáng kể làm tổn hại danh tiếng của Wal-Mart"; và/hoặc (3) "sẽ được nhiều người coi là xúc phạm một cách hợp lý đối với các giá trị gia đình và cộng đồng vốn là phần thiết yếu trong việc quảng bá thương hiệu của Công ty." Cản trở Trinity, trong số những điều khác, là một quy tắc của Ủy ban Chứng khoán và Giao dịch ("SEC" hoặc "Ủy ban"), được gọi là loại trừ "hoạt động kinh doanh thông thường". 17 C.F.R. § 240.14a-8(i)(7) ("Quy tắc 14a-8(i)(7)"). Như tên gọi của nó, quy tắc này cho phép một công ty bỏ qua đề xuất của cổ đông khỏi tài liệu ủy quyền nếu đề xuất liên quan đến các hoạt động kinh doanh thông thường của công ty.</w:t>
      </w:r>
    </w:p>
    <w:p>
      <w:pPr>
        <w:spacing w:after="80"/>
      </w:pPr>
      <w:r>
        <w:rPr>
          <w:b w:val="0"/>
          <w:i w:val="0"/>
        </w:rPr>
        <w:t xml:space="preserve">Wal-Mart đã nhận được cái được gọi là "thư không hành động" từ nhân viên của Phòng Tài chính Doanh nghiệp của SEC ("nhân viên Corp. Fin." hoặc "nhân viên"), qua đó báo hiệu rằng sẽ không có khuyến nghị hành động thực thi nào chống lại công ty nếu công ty bỏ qua đề xuất khỏi tài liệu ủy quyền của mình. </w:t>
      </w:r>
      <w:r>
        <w:rPr>
          <w:b w:val="0"/>
          <w:i/>
        </w:rPr>
        <w:t>Xem Wal-Mart Stores, Inc.,</w:t>
      </w:r>
      <w:r>
        <w:rPr>
          <w:b w:val="0"/>
          <w:i w:val="0"/>
        </w:rPr>
        <w:t xml:space="preserve"> Thư Không Hành động của SEC, 2014 WL 409085, tại *1 (ngày 20 tháng 3 năm 2014). Sau đó Trinity đã đệ đơn kiện ra tòa án liên bang, tìm cách ngăn chặn việc Wal-Mart loại trừ đề xuất này. </w:t>
      </w:r>
      <w:r>
        <w:rPr>
          <w:b w:val="0"/>
          <w:i/>
        </w:rPr>
        <w:t>Xem Trinity Wall Street v.Wal-Mart Stores, Inc.,</w:t>
      </w:r>
      <w:r>
        <w:rPr>
          <w:b w:val="0"/>
          <w:i w:val="0"/>
        </w:rPr>
        <w:t xml:space="preserve"> 75 F.Supp.3d 617, No. 14-405-LPS, 2014 WL 6790928 (D.Del. ngày 26 tháng 11 năm 2014). Cốt lõi của tranh chấp là liệu đề xuất này có thể bị loại trừ theo loại trừ hoạt động kinh doanh thông thường hay không. Mặc dù Tòa án Quận ban đầu đã từ chối yêu cầu của Trinity, nhưng khoảng bảy tháng sau, tòa đã mang lại chiến thắng cho nhà thờ về mặt nội dung bằng cách phán quyết rằng, vì đề xuất liên quan đến Ban Giám đốc của công ty (chứ không phải ban quản lý) và tập trung chủ yếu vào quản trị (chứ không phải cách Wal-Mart quyết định bán gì), nên nó nằm ngoài các hoạt động kinh doanh thông thường của Wal-Mart. Wal-Mart kháng cáo, tìm kiếm phán quyết rằng công ty có thể loại trừ đề xuất của Trinity khỏi tài liệu ủy quyền năm 2015 và đã không sai khi loại trừ đề xuất này khỏi tài liệu ủy quyền năm 2014.</w:t>
      </w:r>
    </w:p>
    <w:p>
      <w:pPr>
        <w:spacing w:after="80"/>
      </w:pPr>
      <w:r>
        <w:rPr>
          <w:b w:val="0"/>
          <w:i w:val="0"/>
        </w:rPr>
        <w:t>Tóm lại về bản chất, đề xuất của Trinity—mặc dù được trình bày như nhằm thúc đẩy cải thiện quản trị—đi thẳng vào trọng tâm hoạt động kinh doanh của Wal-Mart: những gì công ty bày bán trên kệ hàng. Vì những lý do sau đây, chúng tôi cho rằng đề xuất này có thể bị loại trừ theo Quy tắc 14a-8(i)(7) và đảo ngược phán quyết của Tòa án Quận.</w:t>
      </w:r>
    </w:p>
    <w:p>
      <w:pPr>
        <w:spacing w:after="80"/>
      </w:pPr>
      <w:r>
        <w:rPr>
          <w:b w:val="0"/>
          <w:i w:val="0"/>
        </w:rPr>
        <w:t>* * *</w:t>
      </w:r>
    </w:p>
    <w:p>
      <w:pPr>
        <w:spacing w:after="80"/>
      </w:pPr>
      <w:r>
        <w:rPr>
          <w:b w:val="0"/>
          <w:i w:val="0"/>
        </w:rPr>
        <w:t>IV. PHÂN TÍCH</w:t>
      </w:r>
    </w:p>
    <w:p>
      <w:pPr>
        <w:spacing w:after="80"/>
      </w:pPr>
      <w:r>
        <w:rPr>
          <w:b w:val="0"/>
          <w:i w:val="0"/>
        </w:rPr>
        <w:t>Vấn đề chính mà chúng tôi giải quyết là liệu đề xuất của Trinity có thể bị loại trừ vì nó liên quan đến các hoạt động kinh doanh thông thường của Wal-Mart hay không. Khi làm điều đó, chúng tôi đánh giá các phán quyết chính và thay thế của Tòa án Quận. Nhắc lại, tòa đã phán quyết rằng đề xuất của Trinity không can thiệp vào những chi tiết cụ thể trong hoạt động kinh doanh của Wal-Mart vì đó là chỉ thị dành cho Ban Giám đốc (chứ không phải ban quản lý) nhằm đặt ra các tiêu chuẩn hướng dẫn một số quyết định về bán hàng. Và theo cách thay thế, đề xuất này không thể bị loại trừ vì nó liên quan đến một chính sách xã hội quan trọng—việc nhà bán lẻ lớn nhất thế giới bán súng có công suất lớn—vượt ra ngoài hoạt động kinh doanh thông thường của Wal-Mart. Trong vụ án này (và chúng tôi đồng ý với Ủy ban rằng quyết định của chúng tôi đòi hỏi phải xem xét từng trường hợp cụ thể), chúng tôi kết luận rằng đề xuất này có thể bị loại trừ theo điều khoản về hoạt động kinh doanh thông thường và chính sách xã hội quan trọng mà đề xuất nhắm đến ở đây không phải là ngoại lệ đối với việc loại trừ đó.</w:t>
      </w:r>
    </w:p>
    <w:p>
      <w:pPr>
        <w:spacing w:after="80"/>
      </w:pPr>
      <w:r>
        <w:rPr>
          <w:b w:val="0"/>
          <w:i w:val="0"/>
        </w:rPr>
        <w:t>A. Đề xuất của Trinity liên quan đến hoạt động kinh doanh thông thường của Wal-Mart.</w:t>
      </w:r>
    </w:p>
    <w:p>
      <w:pPr>
        <w:spacing w:after="80"/>
      </w:pPr>
      <w:r>
        <w:rPr>
          <w:b w:val="0"/>
          <w:i w:val="0"/>
        </w:rPr>
        <w:t xml:space="preserve">Chúng tôi sử dụng phương pháp phân tích gồm hai phần để xác định liệu đề xuất của Trinity có “liên quan đến một vấn đề thuộc hoạt động kinh doanh thông thường của công ty [.]” hay không. 17 C.F.R. § 240.14a-8(i)(7). Ở bước thứ nhất, chúng tôi nhận diện “chủ đề” của đề xuất. </w:t>
      </w:r>
      <w:r>
        <w:rPr>
          <w:b w:val="0"/>
          <w:i/>
        </w:rPr>
        <w:t>Xem</w:t>
      </w:r>
      <w:r>
        <w:rPr>
          <w:b w:val="0"/>
          <w:i w:val="0"/>
        </w:rPr>
        <w:t xml:space="preserve"> 1983 Adopting Release, 1983 WL 33272, tại *7. Ở bước thứ hai, chúng tôi hỏi liệu chủ đề đó có liên quan đến hoạt động kinh doanh thông thường của Wal-Mart hay không. </w:t>
      </w:r>
      <w:r>
        <w:rPr>
          <w:b w:val="0"/>
          <w:i/>
        </w:rPr>
        <w:t>Id.</w:t>
      </w:r>
      <w:r>
        <w:rPr>
          <w:b w:val="0"/>
          <w:i w:val="0"/>
        </w:rPr>
        <w:t xml:space="preserve"> Nếu câu trả lời cho câu hỏi thứ hai là có, Wal-Mart vẫn phải thuyết phục được chúng tôi rằng đề xuất của Trinity không nêu lên một vấn đề chính sách quan trọng vượt ra ngoài những chi tiết cốt lõi trong hoạt động kinh doanh của nhà bán lẻ.</w:t>
      </w:r>
    </w:p>
    <w:p>
      <w:pPr>
        <w:spacing w:after="80"/>
      </w:pPr>
      <w:r>
        <w:rPr>
          <w:b w:val="0"/>
          <w:i w:val="0"/>
        </w:rPr>
        <w:t>1. Chủ đề của đề xuất Trinity là gì?</w:t>
      </w:r>
    </w:p>
    <w:p>
      <w:pPr>
        <w:spacing w:after="80"/>
      </w:pPr>
      <w:r>
        <w:rPr>
          <w:b w:val="0"/>
          <w:i w:val="0"/>
        </w:rPr>
        <w:t>Bắt đầu với bước thứ nhất, chúng tôi lưu tâm đến việc Ủy ban luôn nhất quán đề cao nội dung hơn hình thức và không ưa lối soạn thảo khéo léo. Như đã tái khẳng định trong các Bản phát hành năm 1982 và 1983, việc cổ đông trình bày đề xuất của mình theo cách nào không quan trọng lắm; trọng tâm phải luôn là nội dung của nó. Để minh họa quan điểm này, SEC viện dẫn cách đối xử khác biệt của nhân viên đối với hai đề xuất mà Ủy ban cho rằng lẽ ra kết quả phải giống nhau:</w:t>
      </w:r>
    </w:p>
    <w:p>
      <w:pPr>
        <w:spacing w:after="80"/>
      </w:pPr>
      <w:r>
        <w:rPr>
          <w:b w:val="0"/>
          <w:i w:val="0"/>
        </w:rPr>
        <w:t xml:space="preserve">[N]hân viên, trong một lá thư gửi Castle &amp; Cooke . . . </w:t>
      </w:r>
      <w:r>
        <w:rPr>
          <w:b w:val="0"/>
          <w:i/>
        </w:rPr>
        <w:t>đã đồng ý</w:t>
      </w:r>
      <w:r>
        <w:rPr>
          <w:b w:val="0"/>
          <w:i w:val="0"/>
        </w:rPr>
        <w:t xml:space="preserve"> với công ty rằng một đề xuất yêu cầu công ty thay đổi phương pháp sản xuất thực phẩm ở các nước kém phát triển có thể bị loại trừ theo [quy định loại trừ hoạt động kinh doanh thông thường] vì [nó] chỉ rõ các bước mà ban điều hành nên thực hiện để triển khai hành động được yêu cầu. . . . [Nhiều năm sau], tuy nhiên, người đề xuất thay vào đó lại yêu cầu công ty </w:t>
      </w:r>
      <w:r>
        <w:rPr>
          <w:b w:val="0"/>
          <w:i/>
        </w:rPr>
        <w:t>thành lập một ủy ban để xem xét</w:t>
      </w:r>
      <w:r>
        <w:rPr>
          <w:b w:val="0"/>
          <w:i w:val="0"/>
        </w:rPr>
        <w:t xml:space="preserve"> các hoạt động nông nghiệp ở nước ngoài, tập trung vào sự cân bằng giữa sản xuất thâm dụng lao động và thâm dụng vốn. Nhân viên </w:t>
      </w:r>
      <w:r>
        <w:rPr>
          <w:b w:val="0"/>
          <w:i/>
        </w:rPr>
        <w:t>đã từ chối</w:t>
      </w:r>
      <w:r>
        <w:rPr>
          <w:b w:val="0"/>
          <w:i w:val="0"/>
        </w:rPr>
        <w:t xml:space="preserve"> áp dụng quy định cho điều khoản này vì việc thành lập một ủy ban đặc biệt để nghiên cứu các hoạt động nông nghiệp ở nước ngoài của công ty là một vấn đề chính sách.</w:t>
      </w:r>
    </w:p>
    <w:p>
      <w:pPr>
        <w:spacing w:after="80"/>
      </w:pPr>
      <w:r>
        <w:rPr>
          <w:b w:val="0"/>
          <w:i w:val="0"/>
        </w:rPr>
        <w:t xml:space="preserve">1982 Proposing Release, 1982 WL 600869, tại *17 n. 49 (phần nhấn mạnh được thêm vào). Theo quan điểm của SEC, một chỉ thị gửi Castle &amp; Cooke yêu cầu thay đổi phương pháp sản xuất thực phẩm ở các nước kém phát triển tương đương về mặt chức năng với một yêu cầu ủy ban xem xét các phương pháp đó. </w:t>
      </w:r>
      <w:r>
        <w:rPr>
          <w:b w:val="0"/>
          <w:i/>
        </w:rPr>
        <w:t>Xem id.</w:t>
      </w:r>
      <w:r>
        <w:rPr>
          <w:b w:val="0"/>
          <w:i w:val="0"/>
        </w:rPr>
        <w:t xml:space="preserve"> Vì nhân viên đồng ý rằng trường hợp trước có thể bị loại trừ, lẽ ra họ phải đạt cùng kết quả đối với trường hợp sau. Do đó, mặc dù đề xuất của Trinity yêu cầu xây dựng một chính sách bán hàng cụ thể—chứ không phải một cuộc xem xét, báo cáo hay thẩm tra—chúng tôi vẫn hỏi liệu </w:t>
      </w:r>
      <w:r>
        <w:rPr>
          <w:b w:val="0"/>
          <w:i/>
        </w:rPr>
        <w:t>chủ đề</w:t>
      </w:r>
      <w:r>
        <w:rPr>
          <w:b w:val="0"/>
          <w:i w:val="0"/>
        </w:rPr>
        <w:t xml:space="preserve"> của hành động mà đề xuất kêu gọi có phải là một vấn đề kinh doanh thông thường hay không.</w:t>
      </w:r>
    </w:p>
    <w:p>
      <w:pPr>
        <w:spacing w:after="80"/>
      </w:pPr>
      <w:r>
        <w:rPr>
          <w:b w:val="0"/>
          <w:i w:val="0"/>
        </w:rPr>
        <w:t>Áp dụng nguyên tắc đó, chúng tôi không đồng tình với Tòa án Quận. Chúng tôi nhận thấy Tòa án Quận đã đặt quá nhiều trọng lượng vào sự khác biệt giữa một chỉ thị gửi ban điều hành và một yêu cầu Hội đồng Quản trị hành động. Theo quan điểm của Tòa án Quận, nếu đề xuất chỉ thị ban điều hành sắp xếp danh mục sản phẩm theo một cách nhất định, thì nó sẽ bị loại trừ. Nhưng vì nó chỉ yêu cầu “</w:t>
      </w:r>
      <w:r>
        <w:rPr>
          <w:b w:val="0"/>
          <w:i/>
        </w:rPr>
        <w:t>Hội đồng Quản trị</w:t>
      </w:r>
      <w:r>
        <w:rPr>
          <w:b w:val="0"/>
          <w:i w:val="0"/>
        </w:rPr>
        <w:t xml:space="preserve"> [giám sát] việc xây dựng và thực hiện một chính sách của Wal-Mart,” nên nó không bị loại trừ. </w:t>
      </w:r>
      <w:r>
        <w:rPr>
          <w:b w:val="0"/>
          <w:i/>
        </w:rPr>
        <w:t>Trinity,</w:t>
      </w:r>
      <w:r>
        <w:rPr>
          <w:b w:val="0"/>
          <w:i w:val="0"/>
        </w:rPr>
        <w:t xml:space="preserve"> 75 F.Supp.3d tại 630, 2014 WL 6790928, tại *9 (phần nhấn mạnh và in đậm trong nguyên bản); </w:t>
      </w:r>
      <w:r>
        <w:rPr>
          <w:b w:val="0"/>
          <w:i/>
        </w:rPr>
        <w:t>xem thêm id.</w:t>
      </w:r>
      <w:r>
        <w:rPr>
          <w:b w:val="0"/>
          <w:i w:val="0"/>
        </w:rPr>
        <w:t xml:space="preserve"> (“Mọi tác động trực tiếp của việc thông qua đề xuất Trinity sẽ được cảm nhận ở cấp Hội đồng Quản trị; sau đó Hội đồng Quản trị sẽ quyết định chính sách nào, nếu có, nên được xây dựng và thực hiện.”). Mối lo ngại với lập luận này là SEC trong Bản phát hành Chấp nhận năm 1976 đã bác bỏ ranh giới rõ ràng được đề xuất, theo đó các đề xuất cổ đông liên quan đến “những vấn đề sẽ do nhân sự ban điều hành xử lý mà không cần chuyển lên hội đồng quản trị . . . thường sẽ bị loại trừ,” nhưng những đề xuất liên quan đến “những vấn đề đòi hỏi hội đồng quản trị phải hành động thì sẽ không bị loại trừ.” 1976 Proposing Release, 1976 WL 160410, tại *8. Do đó, mặc dù lý lẽ và phán quyết của Tòa án Quận không phải là không hợp lý, chúng tôi không chấp nhận chúng.</w:t>
      </w:r>
    </w:p>
    <w:p>
      <w:pPr>
        <w:spacing w:after="80"/>
      </w:pPr>
      <w:r>
        <w:rPr>
          <w:b w:val="0"/>
          <w:i w:val="0"/>
        </w:rPr>
        <w:t xml:space="preserve">Tách mình khỏi cách tiếp cận hình thức của Tòa án Quận, Trinity lập luận rằng chủ đề của đề xuất là việc cải thiện “quản trị doanh nghiệp đối với các vấn đề chiến lược về trách nhiệm cộng đồng, danh tiếng về tư cách công dân doanh nghiệp tốt, và uy tín thương hiệu, không điều nào trong số đó có thể được coi là kinh doanh thông thường,” Trinity Br. 39, và trọng tâm là “những thiếu sót trong quản trị doanh nghiệp và giám sát của Wal-Mart đối với các vấn đề chính sách,” </w:t>
      </w:r>
      <w:r>
        <w:rPr>
          <w:b w:val="0"/>
          <w:i/>
        </w:rPr>
        <w:t>id.</w:t>
      </w:r>
      <w:r>
        <w:rPr>
          <w:b w:val="0"/>
          <w:i w:val="0"/>
        </w:rPr>
        <w:t xml:space="preserve"> tại 33. Chúng tôi không thể đồng ý. Như Hiệp hội các Nhà sản xuất Quốc gia chỉ ra, lập luận của Trinity, cũng giống như phân tích của Tòa án Quận, dựa vào “cách [đề xuất] được trình bày và gửi cho ai, chứ không phải nội dung của [nó].” Brief of </w:t>
      </w:r>
      <w:r>
        <w:rPr>
          <w:b w:val="0"/>
          <w:i/>
        </w:rPr>
        <w:t>amicus curiae</w:t>
      </w:r>
      <w:r>
        <w:rPr>
          <w:b w:val="0"/>
          <w:i w:val="0"/>
        </w:rPr>
        <w:t xml:space="preserve"> Nat'l Assoc. of Mfrs. 15. Trái với điều Trinity muốn chúng tôi tin, hệ quả trực tiếp của việc thông qua một đề xuất—ở đây là việc cải thiện quản trị doanh nghiệp thông qua xây dựng và thực hiện một chính sách bán hàng—không phải là chủ đề của nó. Nếu đúng như vậy, thì, tương tự với bối cảnh xem xét, chủ đề của một cuộc xem xét sẽ là chính cuộc xem xét đó chứ không phải thông tin mà nó tìm kiếm. </w:t>
      </w:r>
      <w:r>
        <w:rPr>
          <w:b w:val="0"/>
          <w:i/>
        </w:rPr>
        <w:t>Xem</w:t>
      </w:r>
      <w:r>
        <w:rPr>
          <w:b w:val="0"/>
          <w:i w:val="0"/>
        </w:rPr>
        <w:t xml:space="preserve"> 1982 Proposing Release, 1982 WL 600869, tại *17. Ví dụ, theo quan điểm của Trinity, chủ đề của một đề xuất kêu gọi báo cáo về cách thực đơn của một chuỗi nhà hàng thúc đẩy thói quen ăn uống lành mạnh sẽ là quản trị doanh nghiệp, thay vì những vấn đề quan trọng liên quan đến việc thúc đẩy sức khỏe cộng đồng. Nhưng đó chính là cách phân tích mà SEC đã phủ nhận khi chấp nhận các đề xuất trong Bản phát hành Đề xuất năm 1982. Chủ đề của đề xuất thay vào đó là hệ quả </w:t>
      </w:r>
      <w:r>
        <w:rPr>
          <w:b w:val="0"/>
          <w:i/>
        </w:rPr>
        <w:t>cuối cùng</w:t>
      </w:r>
      <w:r>
        <w:rPr>
          <w:b w:val="0"/>
          <w:i w:val="0"/>
        </w:rPr>
        <w:t xml:space="preserve"> của nó—ở đây là sự thay đổi tiềm tàng trong cách Wal-Mart quyết định bán những sản phẩm nào. Thật vậy, như ngay cả Tòa án Quận cũng thừa nhận, nếu công ty thông qua đề xuất của Trinity, thì, bất kể bản chất của chính sách sắp tới là gì, nó “có thể (và gần như chắc chắn sẽ) định hình những sản phẩm được Wal-Mart bán[.]” </w:t>
      </w:r>
      <w:r>
        <w:rPr>
          <w:b w:val="0"/>
          <w:i/>
        </w:rPr>
        <w:t>Trinity,</w:t>
      </w:r>
      <w:r>
        <w:rPr>
          <w:b w:val="0"/>
          <w:i w:val="0"/>
        </w:rPr>
        <w:t xml:space="preserve"> 75 F.Supp.3d tại 630, 2014 WL 6790928, tại *9.</w:t>
      </w:r>
    </w:p>
    <w:p>
      <w:pPr>
        <w:spacing w:after="80"/>
      </w:pPr>
      <w:r>
        <w:rPr>
          <w:b w:val="0"/>
          <w:i w:val="0"/>
        </w:rPr>
        <w:t xml:space="preserve">Quan điểm này về chủ đề của đề xuất Trinity được ủng hộ bởi một chuỗi thư không hành động (no-action letter) đã được thiết lập vững chắc của SEC. Thư có tính chỉ dẫn cao nhất là thư không hành động gửi cho Sempra Energy vào tháng 1 năm 2012. Đề xuất trong đó thúc giục Hội đồng Quản trị “tiến hành một cuộc xem xét giám sát độc lập mỗi năm đối với việc quản lý của Công ty đối với các rủi ro chính trị, pháp lý và tài chính do các hoạt động của [công ty] tại bất kỳ quốc gia nào có thể gây ra rủi ro cao về các hành vi tham nhũng.” </w:t>
      </w:r>
      <w:r>
        <w:rPr>
          <w:b w:val="0"/>
          <w:i/>
        </w:rPr>
        <w:t>Sempra Energy,</w:t>
      </w:r>
      <w:r>
        <w:rPr>
          <w:b w:val="0"/>
          <w:i w:val="0"/>
        </w:rPr>
        <w:t xml:space="preserve"> SEC No-Action Letter, 2011 WL 6425347, tại *2 (ngày 12 tháng 1 năm 2012). Như Trinity làm ở đây, cổ đông đề xuất đã trình bày chủ đề của đề xuất là nhắm vào việc quản trị của công ty đối với một loại rủi ro nhất định: “các rủi ro chính trị, pháp lý và tài chính” vốn có trong hoạt động của công ty tại các quốc gia “gây ra rủi ro cao về các hành vi tham nhũng,” </w:t>
      </w:r>
      <w:r>
        <w:rPr>
          <w:b w:val="0"/>
          <w:i/>
        </w:rPr>
        <w:t>id.,</w:t>
      </w:r>
      <w:r>
        <w:rPr>
          <w:b w:val="0"/>
          <w:i w:val="0"/>
        </w:rPr>
        <w:t xml:space="preserve"> điều cuối cùng có thể dẫn đến việc truy tố theo Đạo luật Thực hành Tham nhũng Nước ngoài. </w:t>
      </w:r>
      <w:r>
        <w:rPr>
          <w:b w:val="0"/>
          <w:i/>
        </w:rPr>
        <w:t>Cf.</w:t>
      </w:r>
      <w:r>
        <w:rPr>
          <w:b w:val="0"/>
          <w:i w:val="0"/>
        </w:rPr>
        <w:t xml:space="preserve"> Trinity Br. 40 (khẳng định rằng đề xuất của mình đề cập đến việc quản trị “các rủi ro đối với xã hội và Wal-Mart nếu một sản phẩm, sau khi được bán, gây hại cho khách hàng hoặc thương hiệu và uy tín của [công ty]”) (lược bỏ dấu ngoặc kép). Nhưng, cũng như ở đây, nhân viên đã chấp thuận miễn trừ không hành động vì, “mặc dù đề xuất yêu cầu hội đồng quản trị tiến hành một cuộc xem xét giám sát độc lập đối với việc quản lý của Sempra đối với những rủi ro cụ thể, chủ đề cơ bản của những rủi ro này dường như liên quan đến các vấn đề kinh doanh thông thường.” </w:t>
      </w:r>
      <w:r>
        <w:rPr>
          <w:b w:val="0"/>
          <w:i/>
        </w:rPr>
        <w:t>Sempra Energy,</w:t>
      </w:r>
      <w:r>
        <w:rPr>
          <w:b w:val="0"/>
          <w:i w:val="0"/>
        </w:rPr>
        <w:t xml:space="preserve"> 2011 WL 6425347, tại *1; </w:t>
      </w:r>
      <w:r>
        <w:rPr>
          <w:b w:val="0"/>
          <w:i/>
        </w:rPr>
        <w:t>xem thêm The Home Depot, Inc.,</w:t>
      </w:r>
      <w:r>
        <w:rPr>
          <w:b w:val="0"/>
          <w:i w:val="0"/>
        </w:rPr>
        <w:t xml:space="preserve"> SEC No-Action Letter, 2008 WL 257307, tại *1, *2 (ngày 25 tháng 1 năm 2008) (chấp thuận miễn trừ không hành động khi đề xuất yêu cầu Hội đồng Quản trị của Home Depot công bố một báo cáo nêu rõ các chính sách an toàn sản phẩm của công ty và mô tả những gì ban điều hành đang làm để giải quyết các lo ngại gần đây về an toàn sản phẩm, vì nó liên quan đến “hoạt động kinh doanh thông thường của Home Depot (tức là việc bán các sản phẩm cụ thể)”); </w:t>
      </w:r>
      <w:r>
        <w:rPr>
          <w:b w:val="0"/>
          <w:i/>
        </w:rPr>
        <w:t>Family Dollar Stores, Inc.,</w:t>
      </w:r>
      <w:r>
        <w:rPr>
          <w:b w:val="0"/>
          <w:i w:val="0"/>
        </w:rPr>
        <w:t xml:space="preserve"> SEC No-Action Letter, 2007 WL 3317923, tại *1 (ngày 6 tháng 11 năm 2007) (tương tự khi đề xuất yêu cầu một báo cáo “đánh giá các chính sách và quy trình của Công ty nhằm giảm thiểu một cách có hệ thống việc khách hàng tiếp xúc với các chất độc hại và thành phần nguy hiểm trong các sản phẩm được tiếp thị của mình” vì nó liên quan đến “hoạt động kinh doanh thông thường của Family Dollar (tức là việc bán các sản phẩm cụ thể)”); </w:t>
      </w:r>
      <w:r>
        <w:rPr>
          <w:b w:val="0"/>
          <w:i/>
        </w:rPr>
        <w:t>Walgreen Co.,</w:t>
      </w:r>
      <w:r>
        <w:rPr>
          <w:b w:val="0"/>
          <w:i w:val="0"/>
        </w:rPr>
        <w:t xml:space="preserve"> SEC No-Action Letter, 2006 WL 5381376, tại *1 (ngày 13 tháng 10 năm 2006) (tương tự đối với đề xuất yêu cầu một báo cáo “mô tả mức độ mà các dòng sản phẩm mỹ phẩm nhãn riêng và chăm sóc cá nhân của công ty có chứa chất gây ung thư, chất gây đột biến, chất độc sinh sản, và các hóa chất ảnh hưởng đến hệ nội tiết, và mô tả các phương án sử dụng các lựa chọn thay thế an toàn hơn,” vì chủ đề của đề xuất liên quan đến “hoạt động kinh doanh thông thường của Walgreen (tức là việc bán các sản phẩm cụ thể)”).</w:t>
      </w:r>
    </w:p>
    <w:p>
      <w:pPr>
        <w:spacing w:after="80"/>
      </w:pPr>
      <w:r>
        <w:rPr>
          <w:b w:val="0"/>
          <w:i w:val="0"/>
        </w:rPr>
        <w:t xml:space="preserve">Việc nhân viên luôn nhất quán tập trung vào chủ đề cơ bản của một đề xuất là điều có tính chỉ dẫn. Việc Trinity không viện dẫn được bất kỳ thẩm quyền nào cho quan điểm của mình về chủ đề của đề xuất cũng vậy. </w:t>
      </w:r>
      <w:r>
        <w:rPr>
          <w:b w:val="0"/>
          <w:i/>
        </w:rPr>
        <w:t>Xem</w:t>
      </w:r>
      <w:r>
        <w:rPr>
          <w:b w:val="0"/>
          <w:i w:val="0"/>
        </w:rPr>
        <w:t xml:space="preserve"> Trinity Br. </w:t>
      </w:r>
      <w:r>
        <w:rPr>
          <w:b w:val="0"/>
          <w:i/>
        </w:rPr>
        <w:t>*344</w:t>
      </w:r>
      <w:r>
        <w:rPr>
          <w:b w:val="0"/>
          <w:i w:val="0"/>
        </w:rPr>
        <w:t xml:space="preserve"> 37–42. Đối với chúng tôi, chủ đề của đề xuất Trinity là cách Wal-Mart tiếp cận các quyết định bán hàng liên quan đến những sản phẩm mà (1) đặc biệt gây nguy hiểm cho an toàn và phúc lợi cộng đồng, (2) có khả năng làm tổn hại uy tín của Công ty, và/hoặc (3) sẽ được nhiều người coi là xúc phạm một cách hợp lý đối với các giá trị gia đình và cộng đồng vốn là phần thiết yếu trong việc quảng bá thương hiệu của công ty. Một phán quyết trái ngược—rằng chủ đề của đề xuất là “quản trị doanh nghiệp được cải thiện”—sẽ cho phép những người soạn thảo lách khỏi phạm vi của Quy tắc 14a-8(i)(7) bằng cách trình bày đề xuất của họ như thể yêu cầu hội đồng quản trị giám sát hoặc xem xét. </w:t>
      </w:r>
      <w:r>
        <w:rPr>
          <w:b w:val="0"/>
          <w:i/>
        </w:rPr>
        <w:t>Xem</w:t>
      </w:r>
      <w:r>
        <w:rPr>
          <w:b w:val="0"/>
          <w:i w:val="0"/>
        </w:rPr>
        <w:t xml:space="preserve"> Reply Br. 10. Chúng tôi từ chối đi theo hướng đó.</w:t>
      </w:r>
    </w:p>
    <w:p>
      <w:pPr>
        <w:spacing w:after="80"/>
      </w:pPr>
      <w:r>
        <w:rPr>
          <w:b w:val="0"/>
          <w:i w:val="0"/>
        </w:rPr>
        <w:t>2. Cách tiếp cận của Wal-Mart đối với việc liệu công ty có bán những sản phẩm cụ thể hay không có liên quan đến hoạt động kinh doanh thông thường của mình không?</w:t>
      </w:r>
    </w:p>
    <w:p>
      <w:pPr>
        <w:spacing w:after="80"/>
      </w:pPr>
      <w:r>
        <w:rPr>
          <w:b w:val="0"/>
          <w:i w:val="0"/>
        </w:rPr>
        <w:t xml:space="preserve">Đến bước thứ hai của phân tích, chúng tôi hỏi liệu chủ đề của đề xuất Trinity có liên quan đến các vấn đề hằng ngày trong hoạt động kinh doanh của Wal-Mart hay không. Wal-Mart nói câu trả lời là có, vì mặc dù đề xuất không đòi hỏi bất kỳ thay đổi cụ thể nào đối với cơ cấu các mặt hàng sản phẩm của mình—một điểm mà Trinity bám vào, </w:t>
      </w:r>
      <w:r>
        <w:rPr>
          <w:b w:val="0"/>
          <w:i/>
        </w:rPr>
        <w:t>xem</w:t>
      </w:r>
      <w:r>
        <w:rPr>
          <w:b w:val="0"/>
          <w:i w:val="0"/>
        </w:rPr>
        <w:t xml:space="preserve"> Trinity Br. 38 (“[Đề xuất] không phải là một đề xuất ‘ngừng bán.’ Nó cũng không yêu cầu những báo cáo phức tạp về các sản phẩm của Wal-Mart.”)—nó “tìm cách để một ủy ban của [H]ội đồng [Q]uản trị giải quyết các chính sách có thể (và gần như chắc chắn sẽ) định hình những sản phẩm được Wal-Mart bán.” Reply Br. 9 (lược bỏ dấu ngoặc kép nội bộ). Nghĩa là, đề xuất của Trinity chỉ là một bước né tránh khỏi “một cuộc trưng cầu cổ đông về cách [Wal-Mart] lựa chọn hàng tồn kho của mình.” Brief of </w:t>
      </w:r>
      <w:r>
        <w:rPr>
          <w:b w:val="0"/>
          <w:i/>
        </w:rPr>
        <w:t>amicus curiae</w:t>
      </w:r>
      <w:r>
        <w:rPr>
          <w:b w:val="0"/>
          <w:i w:val="0"/>
        </w:rPr>
        <w:t xml:space="preserve"> the Nat'l Assoc. of Mfrs. tại 11. Và do đó chủ đề của nó đánh thẳng vào cốt lõi hoạt động kinh doanh của Wal-Mart.</w:t>
      </w:r>
    </w:p>
    <w:p>
      <w:pPr>
        <w:spacing w:after="80"/>
      </w:pPr>
      <w:r>
        <w:rPr>
          <w:b w:val="0"/>
          <w:i w:val="0"/>
        </w:rPr>
        <w:t xml:space="preserve">Chúng tôi đồng ý. Cách tiếp cận của một nhà bán lẻ đối với các mặt hàng sản phẩm của mình là cơm áo gạo tiền của hoạt động kinh doanh. Như </w:t>
      </w:r>
      <w:r>
        <w:rPr>
          <w:b w:val="0"/>
          <w:i/>
        </w:rPr>
        <w:t>amicus</w:t>
      </w:r>
      <w:r>
        <w:rPr>
          <w:b w:val="0"/>
          <w:i w:val="0"/>
        </w:rPr>
        <w:t xml:space="preserve"> Hiệp hội các Nhà sản xuất Quốc gia lưu ý, “Lựa chọn sản phẩm là một công việc phức tạp chịu ảnh hưởng của các xu hướng kinh tế, phân tích dữ liệu, nhân khẩu học, sở thích khách hàng, tính linh hoạt của chuỗi cung ứng, chi phí vận chuyển và thời gian giao hàng, cùng vô số yếu tố khác mà tốt nhất nên để cho ban điều hành và hội đồng quản trị của công ty quyết định.” </w:t>
      </w:r>
      <w:r>
        <w:rPr>
          <w:b w:val="0"/>
          <w:i/>
        </w:rPr>
        <w:t>Id.</w:t>
      </w:r>
      <w:r>
        <w:rPr>
          <w:b w:val="0"/>
          <w:i w:val="0"/>
        </w:rPr>
        <w:t xml:space="preserve"> tại 12; </w:t>
      </w:r>
      <w:r>
        <w:rPr>
          <w:b w:val="0"/>
          <w:i/>
        </w:rPr>
        <w:t>xem thêm</w:t>
      </w:r>
      <w:r>
        <w:rPr>
          <w:b w:val="0"/>
          <w:i w:val="0"/>
        </w:rPr>
        <w:t xml:space="preserve"> Brief of </w:t>
      </w:r>
      <w:r>
        <w:rPr>
          <w:b w:val="0"/>
          <w:i/>
        </w:rPr>
        <w:t>amicus curiae</w:t>
      </w:r>
      <w:r>
        <w:rPr>
          <w:b w:val="0"/>
          <w:i w:val="0"/>
        </w:rPr>
        <w:t xml:space="preserve"> Retail Litig. Ctr., Inc. 11 (“Việc hiểu biết về hành vi người tiêu dùng và điều chỉnh cẩn thận danh mục sản phẩm là trung tâm của sự thành công hay thất bại của một nhà bán lẻ nhất định.”). Mặc dù cách tiếp cận bán hàng của một nhà bán lẻ không nằm ngoài tầm hiểu biết của cổ đông, những chi tiết cụ thể của cách tiếp cận đó bao gồm các phán đoán vận hành vốn là những vấn đề thuộc hoạt động thường nhật.</w:t>
      </w:r>
    </w:p>
    <w:p>
      <w:pPr>
        <w:spacing w:after="80"/>
      </w:pPr>
      <w:r>
        <w:rPr>
          <w:b w:val="0"/>
          <w:i w:val="0"/>
        </w:rPr>
        <w:t xml:space="preserve">Hơn nữa, việc đề xuất không chỉ thị ban điều hành ngừng bán một sản phẩm cụ thể hay quy định một ma trận phải tuân theo, theo chúng tôi, chỉ là một lập luận rơm. </w:t>
      </w:r>
      <w:r>
        <w:rPr>
          <w:b w:val="0"/>
          <w:i/>
        </w:rPr>
        <w:t>Xem</w:t>
      </w:r>
      <w:r>
        <w:rPr>
          <w:b w:val="0"/>
          <w:i w:val="0"/>
        </w:rPr>
        <w:t xml:space="preserve"> Trinity Br. 38; </w:t>
      </w:r>
      <w:r>
        <w:rPr>
          <w:b w:val="0"/>
          <w:i/>
        </w:rPr>
        <w:t>Trinity,</w:t>
      </w:r>
      <w:r>
        <w:rPr>
          <w:b w:val="0"/>
          <w:i w:val="0"/>
        </w:rPr>
        <w:t xml:space="preserve"> 75 F.Supp.3d tại 631, 2014 WL 6790928, tại *10 (“Trinity đã soạn thảo Đề xuất của mình một cách cẩn thận. . . . không [để] áp đặt sản phẩm nào nên được bán hay các chính sách liên quan đến việc bán một số loại sản phẩm nhất định nên được xây dựng hay thực hiện như thế nào.”). Một đề xuất chỉ cần </w:t>
      </w:r>
      <w:r>
        <w:rPr>
          <w:b w:val="0"/>
          <w:i/>
        </w:rPr>
        <w:t>liên quan</w:t>
      </w:r>
      <w:r>
        <w:rPr>
          <w:b w:val="0"/>
          <w:i w:val="0"/>
        </w:rPr>
        <w:t xml:space="preserve"> đến hoạt động kinh doanh thông thường của công ty là đủ để bị loại trừ. </w:t>
      </w:r>
      <w:r>
        <w:rPr>
          <w:b w:val="0"/>
          <w:i/>
        </w:rPr>
        <w:t>Cf.</w:t>
      </w:r>
      <w:r>
        <w:rPr>
          <w:b w:val="0"/>
          <w:i w:val="0"/>
        </w:rPr>
        <w:t xml:space="preserve"> 17 C.F.R. § 240.14a-8(i)(7) (việc loại trừ là phù hợp khi một đề xuất đề cập đến một vấn đề “</w:t>
      </w:r>
      <w:r>
        <w:rPr>
          <w:b w:val="0"/>
          <w:i/>
        </w:rPr>
        <w:t>liên quan</w:t>
      </w:r>
      <w:r>
        <w:rPr>
          <w:b w:val="0"/>
          <w:i w:val="0"/>
        </w:rPr>
        <w:t xml:space="preserve"> đến hoạt động kinh doanh thông thường của công ty”) (phần nhấn mạnh được thêm vào). Nó không cần phải áp đặt bất kỳ kết quả cụ thể nào. Để làm rõ điểm này hơn nữa, giả sử đề xuất của Trinity chỉ yêu cầu Hội đồng Quản trị của Wal-Mart </w:t>
      </w:r>
      <w:r>
        <w:rPr>
          <w:b w:val="0"/>
          <w:i/>
        </w:rPr>
        <w:t>xem xét lại</w:t>
      </w:r>
      <w:r>
        <w:rPr>
          <w:b w:val="0"/>
          <w:i w:val="0"/>
        </w:rPr>
        <w:t xml:space="preserve"> liệu có nên tiếp tục bán một sản phẩm nhất định hay không. Mặc dù yêu cầu đó không áp đặt một kết quả cụ thể, chúng tôi không nghi ngờ gì rằng nó sẽ bị loại trừ theo Bản phát hành Chấp nhận năm 1983 của SEC, vì hành động được yêu cầu liên quan đến hoạt động kinh doanh thông thường của Wal-Mart. Điều này đúng ngay cả khi nó không đề xuất bất kỳ thay đổi nào. Điều tương tự cũng đúng ở đây. Tóm lại, chừng nào chủ đề của đề xuất </w:t>
      </w:r>
      <w:r>
        <w:rPr>
          <w:b w:val="0"/>
          <w:i/>
        </w:rPr>
        <w:t>liên quan</w:t>
      </w:r>
      <w:r>
        <w:rPr>
          <w:b w:val="0"/>
          <w:i w:val="0"/>
        </w:rPr>
        <w:t>—tức là có dính dáng—đến hoạt động kinh doanh thông thường của công ty, thì đề xuất đó bị loại trừ trừ khi có một ngoại lệ khác đối với việc loại trừ được áp dụng.</w:t>
      </w:r>
    </w:p>
    <w:p>
      <w:pPr>
        <w:spacing w:after="80"/>
      </w:pPr>
      <w:r>
        <w:rPr>
          <w:b w:val="0"/>
          <w:i w:val="0"/>
        </w:rPr>
        <w:t>* * *</w:t>
      </w:r>
    </w:p>
    <w:p>
      <w:pPr>
        <w:spacing w:after="80"/>
      </w:pPr>
      <w:r>
        <w:rPr>
          <w:b w:val="0"/>
          <w:i w:val="0"/>
        </w:rPr>
        <w:t>B. Đề xuất của Trinity Không Tập trung vào một Vấn đề Chính sách Quan trọng Vượt ra ngoài Hoạt động Kinh doanh Hằng ngày của Wal-Mart.</w:t>
      </w:r>
    </w:p>
    <w:p>
      <w:pPr>
        <w:spacing w:after="80"/>
      </w:pPr>
      <w:r>
        <w:rPr>
          <w:b w:val="0"/>
          <w:i w:val="0"/>
        </w:rPr>
        <w:t>Như đã thảo luận ở trên, có một ngoại lệ chính sách xã hội đáng kể đối với quy tắc mặc định về khả năng loại trừ đối với các đề xuất liên quan đến hoạt động kinh doanh thông thường của công ty. Đối với nhân viên SEC, điều này có nghĩa là khi “chủ đề cơ bản của một đề xuất vượt ra ngoài các vấn đề kinh doanh hàng ngày của công ty và nêu lên các vấn đề chính sách quan trọng đến mức việc biểu quyết của cổ đông là phù hợp, thì đề xuất đó nói chung sẽ không bị loại trừ theo Quy tắc 14a-8(i)(7).” SEC Staff Legal Bulletin No. 14E, 2009 WL 4363205, tại *2 (ngày 27 tháng 10 năm 2009).</w:t>
      </w:r>
    </w:p>
    <w:p>
      <w:pPr>
        <w:spacing w:after="80"/>
      </w:pPr>
      <w:r>
        <w:rPr>
          <w:b w:val="0"/>
          <w:i w:val="0"/>
        </w:rPr>
        <w:t>Khó khăn trong trường hợp này là phân định ranh giới giữa các đề xuất tập trung vào các vấn đề chính sách xã hội đủ quan trọng, vượt ra ngoài hoạt động kinh doanh thông thường của công ty (không bị loại trừ) với những đề xuất không làm được điều đó (bị loại trừ). Ngay cả Ủy ban cũng thừa nhận rằng ngoại lệ chính sách xã hội “đặt ra những câu hỏi giải thích khó khăn.” 1997 Proposing Release, 1997 WL 578696, tại *13. Không nghi ngờ gì rằng đó là vì phép tính rất phức tạp. Tuy nhiên, chúng ta không thể né tránh thứ mà một số người có thể coi là một lĩnh vực không thể lường trước. Vì vậy chúng ta lội vào.</w:t>
      </w:r>
    </w:p>
    <w:p>
      <w:pPr>
        <w:spacing w:after="80"/>
      </w:pPr>
      <w:r>
        <w:rPr>
          <w:b w:val="0"/>
          <w:i w:val="0"/>
        </w:rPr>
        <w:t>Chúng tôi cho rằng việc điều tra một lần nữa nên được chia thành hai bước. Bước thứ nhất là liệu đề xuất có tập trung vào một chính sách quan trọng hay không (dù là xã hội hay, như đã nêu dưới đây, là doanh nghiệp). Nếu không, đề xuất không nằm trong ngoại lệ chính sách xã hội đối với việc loại trừ theo Quy tắc 14a-8(i)(7). Nếu có, chúng ta đến bước thứ hai và hỏi liệu vấn đề chính sách quan trọng đó có vượt ra ngoài hoạt động kinh doanh thông thường của công ty hay không.</w:t>
      </w:r>
    </w:p>
    <w:p>
      <w:pPr>
        <w:spacing w:after="80"/>
      </w:pPr>
      <w:r>
        <w:rPr>
          <w:b w:val="0"/>
          <w:i w:val="0"/>
        </w:rPr>
        <w:t>1. Đề xuất của Trinity có nêu lên một vấn đề chính sách xã hội quan trọng không?</w:t>
      </w:r>
    </w:p>
    <w:p>
      <w:pPr>
        <w:spacing w:after="80"/>
      </w:pPr>
      <w:r>
        <w:rPr>
          <w:b w:val="0"/>
          <w:i w:val="0"/>
        </w:rPr>
        <w:t xml:space="preserve">Đầu tiên chúng ta xem xét liệu đề xuất của Trinity có tập trung vào một vấn đề chính sách “đủ quan trọng” như “sự phân biệt đối xử [trong việc làm] đáng kể” hay không. 1998 Adopting Release, 1998 WL 254809, tại *4. Tòa án Quận cho rằng có, vì đề xuất về cốt lõi giải quyết “các tác động xã hội và cộng đồng của việc bán súng có công suất lớn tại nhà bán lẻ lớn nhất thế giới.” </w:t>
      </w:r>
      <w:r>
        <w:rPr>
          <w:b w:val="0"/>
          <w:i/>
        </w:rPr>
        <w:t>Trinity,</w:t>
      </w:r>
      <w:r>
        <w:rPr>
          <w:b w:val="0"/>
          <w:i w:val="0"/>
        </w:rPr>
        <w:t xml:space="preserve"> 75 F.Supp.3d tại 630, 2014 WL 6790928, tại *9. Tuy nhiên, ngay cả Trinity cũng thừa nhận đề xuất của mình “không chỉ nhắm riêng vào việc Wal-Mart bán súng.” Trinity Mot. for Summ. J. 17 (ECF No. 38, nộp ngày 18 tháng 6 năm 2014). Thay vào đó, nó yêu cầu Ban Giám đốc Wal-Mart giám sát các quyết định bán hàng đối với </w:t>
      </w:r>
      <w:r>
        <w:rPr>
          <w:b w:val="0"/>
          <w:i/>
        </w:rPr>
        <w:t>tất cả</w:t>
      </w:r>
      <w:r>
        <w:rPr>
          <w:b w:val="0"/>
          <w:i w:val="0"/>
        </w:rPr>
        <w:t xml:space="preserve"> “các sản phẩm đặc biệt nguy hiểm đối với danh tiếng, giá trị thương hiệu, hoặc cộng đồng mà một nhà bán lẻ hướng đến gia đình như Wal-Mart nên cân nhắc kỹ lưỡng xem có nên bán hay không.” Trinity Br. 44. </w:t>
      </w:r>
      <w:r>
        <w:rPr>
          <w:b w:val="0"/>
          <w:i/>
        </w:rPr>
        <w:t>Xem thêm</w:t>
      </w:r>
      <w:r>
        <w:rPr>
          <w:b w:val="0"/>
          <w:i w:val="0"/>
        </w:rPr>
        <w:t xml:space="preserve"> Brief of </w:t>
      </w:r>
      <w:r>
        <w:rPr>
          <w:b w:val="0"/>
          <w:i/>
        </w:rPr>
        <w:t>amici curiae</w:t>
      </w:r>
      <w:r>
        <w:rPr>
          <w:b w:val="0"/>
          <w:i w:val="0"/>
        </w:rPr>
        <w:t xml:space="preserve"> Corporate and Securities Law Professors 14–15 (lập luận rằng “các hàm ý về đạo đức và chính sách xã hội” của “[v]iệc bán các sản phẩm gây nguy hiểm cho an toàn công cộng, danh tiếng của Wal-Mart, và [các] giá trị cốt lõi của [nó],” là “dễ dàng ngang hàng với sự phân biệt đối xử trong việc làm, mà 1998 Release của SEC coi là một vấn đề chính sách đủ quan trọng để đảm bảo đưa vào các đề xuất của cổ đông liên quan đến nó”).</w:t>
      </w:r>
    </w:p>
    <w:p>
      <w:pPr>
        <w:spacing w:after="80"/>
      </w:pPr>
      <w:r>
        <w:rPr>
          <w:b w:val="0"/>
          <w:i w:val="0"/>
        </w:rPr>
        <w:t xml:space="preserve">Mặt khác, Wal-Mart lập luận rằng cả Ủy ban lẫn nhân viên của nó chưa bao giờ chấp nhận “một khái niệm rộng lớn và mơ hồ như vậy về vấn đề chính sách quan trọng.” Reply Br. 21. Chúng tôi không đồng ý. Đúng là Ủy ban đã áp dụng điều chỉ có thể được mô tả là cách tiếp cận “thấy là biết ngay,” </w:t>
      </w:r>
      <w:r>
        <w:rPr>
          <w:b w:val="0"/>
          <w:i/>
        </w:rPr>
        <w:t>xem</w:t>
      </w:r>
      <w:r>
        <w:rPr>
          <w:b w:val="0"/>
          <w:i w:val="0"/>
        </w:rPr>
        <w:t xml:space="preserve"> Palmiter tại 910 (mô tả “cách tiếp cận thay đổi” của Ủy ban đối với các đề xuất xã hội/chính trị là “ví dụ kịch tính và nổi bật nhất về sự bất nhất của SEC” theo Quy tắc 14a-8). Tuy nhiên, khó có thể phản bác rằng đề xuất của Trinity không chạm đến những mối quan tâm quan trọng trong xã hội chúng ta và các công ty trong xã hội đó. Vì vậy chúng tôi cho rằng đề xuất của nó nêu lên một vấn đề chính sách đủ quan trọng.</w:t>
      </w:r>
    </w:p>
    <w:p>
      <w:pPr>
        <w:spacing w:after="80"/>
      </w:pPr>
      <w:r>
        <w:rPr>
          <w:b w:val="0"/>
          <w:i w:val="0"/>
        </w:rPr>
        <w:t>* * *</w:t>
      </w:r>
    </w:p>
    <w:p>
      <w:pPr>
        <w:spacing w:after="80"/>
      </w:pPr>
      <w:r>
        <w:rPr>
          <w:b w:val="0"/>
          <w:i w:val="0"/>
        </w:rPr>
        <w:t>2. Ngay cả khi đề xuất của Trinity nêu lên một vấn đề chính sách quan trọng, liệu vấn đề đó có vượt ra ngoài hoạt động kinh doanh thông thường của Wal-Mart không?</w:t>
      </w:r>
    </w:p>
    <w:p>
      <w:pPr>
        <w:spacing w:after="80"/>
      </w:pPr>
      <w:r>
        <w:rPr>
          <w:b w:val="0"/>
          <w:i w:val="0"/>
        </w:rPr>
        <w:t xml:space="preserve">Nhắc lại, khi “chủ đề cơ bản của một đề xuất vượt ra ngoài các vấn đề kinh doanh hàng ngày của công ty </w:t>
      </w:r>
      <w:r>
        <w:rPr>
          <w:b w:val="0"/>
          <w:i/>
        </w:rPr>
        <w:t>và</w:t>
      </w:r>
      <w:r>
        <w:rPr>
          <w:b w:val="0"/>
          <w:i w:val="0"/>
        </w:rPr>
        <w:t xml:space="preserve"> nêu lên các vấn đề chính sách quan trọng đến mức việc biểu quyết của cổ đông là phù hợp, thì đề xuất đó nói chung sẽ không bị loại trừ theo Quy tắc 14a-8(i)(7).” SEC Staff Legal Bulletin No. 14E, 2009 WL 4363205, tại *2 (ngày 27 tháng 10 năm 2009) (nhấn mạnh được thêm vào). Điều này có nghĩa là, để bảo vệ đề xuất của mình khỏi việc loại trừ hoạt động kinh doanh thông thường, cổ đông phải làm nhiều hơn việc chỉ tập trung đề xuất vào một vấn đề chính sách quan trọng; chủ đề của đề xuất phải “vượt ra ngoài” hoạt động kinh doanh thông thường của công ty. </w:t>
      </w:r>
      <w:r>
        <w:rPr>
          <w:b w:val="0"/>
          <w:i/>
        </w:rPr>
        <w:t>Xem</w:t>
      </w:r>
      <w:r>
        <w:rPr>
          <w:b w:val="0"/>
          <w:i w:val="0"/>
        </w:rPr>
        <w:t xml:space="preserve"> 1998 Adopting Release, 1998 WL 254809, tại *4. Chúng tôi tin rằng Ủy ban dùng thuật ngữ sau để chỉ một vấn đề chính sách tách rời khỏi cách một công ty tiếp cận những chi tiết cốt lõi trong hoạt động kinh doanh của mình. </w:t>
      </w:r>
      <w:r>
        <w:rPr>
          <w:b w:val="0"/>
          <w:i/>
        </w:rPr>
        <w:t>Xem</w:t>
      </w:r>
      <w:r>
        <w:rPr>
          <w:b w:val="0"/>
          <w:i w:val="0"/>
        </w:rPr>
        <w:t xml:space="preserve"> SEC Staff Legal Bulletin No. 14E, 2009 WL 4363205, tại *3 (khẳng định rằng việc lập kế hoạch kế nhiệm CEO “nêu lên một vấn đề chính sách quan trọng liên quan đến quản trị công ty, vượt ra ngoài vấn đề kinh doanh hàng ngày là quản lý lực lượng lao động”). Do đó, và trái với quan điểm của đồng nghiệp đồng tình với chúng tôi, chúng tôi cho rằng yêu cầu về sự vượt trội đóng vai trò then chốt trong phép tính ngoại lệ chính sách xã hội. Không có nó, cổ đông sẽ được tự do đệ trình “các đề xuất liên quan đến các vấn đề kinh doanh thông thường nhưng lại được gói gọn trong mối quan tâm chính sách xã hội.” </w:t>
      </w:r>
      <w:r>
        <w:rPr>
          <w:b w:val="0"/>
          <w:i/>
        </w:rPr>
        <w:t>Apache Corp. v. New York City Emps.' Ret. Sys.,</w:t>
      </w:r>
      <w:r>
        <w:rPr>
          <w:b w:val="0"/>
          <w:i w:val="0"/>
        </w:rPr>
        <w:t xml:space="preserve"> 621 F.Supp.2d 444, 451 n. 7 (S.D.Tex.2008) (bác bỏ lập luận rằng “liệu một đề xuất có liên quan đến chính sách xã hội quan trọng hay không là câu hỏi quyết định”).</w:t>
      </w:r>
    </w:p>
    <w:p>
      <w:pPr>
        <w:spacing w:after="80"/>
      </w:pPr>
      <w:r>
        <w:rPr>
          <w:b w:val="0"/>
          <w:i w:val="0"/>
        </w:rPr>
        <w:t xml:space="preserve">Đối với các nhà bán lẻ lớn với vô số sản phẩm, một vấn đề chính sách hiếm khi mang tính vượt trội nếu nó giẫm lên phần cốt lõi trong trách nhiệm của ban quản lý: tạo ra một danh mục sản phẩm đáp ứng nhu cầu của người tiêu dùng. Điều này giải thích tại sao nhân viên của Ủy ban, gần như theo lẽ đương nhiên, cho phép các nhà bán lẻ loại trừ các đề xuất “liên quan đến việc bán các sản phẩm và dịch vụ cụ thể.” </w:t>
      </w:r>
      <w:r>
        <w:rPr>
          <w:b w:val="0"/>
          <w:i/>
        </w:rPr>
        <w:t>Rite Aid Corp.,</w:t>
      </w:r>
      <w:r>
        <w:rPr>
          <w:b w:val="0"/>
          <w:i w:val="0"/>
        </w:rPr>
        <w:t xml:space="preserve"> SEC No-Action Letter, 2015 WL 364996, tại *1 (ngày 24 tháng 3 năm 2015). Mặt khác, nếu một vấn đề chính sách quan trọng tách rời khỏi cốt lõi hoạt động kinh doanh của nhà bán lẻ (quyết định có nên bán một số hàng hóa nhất định mà khách hàng muốn hay không), thì nó có nhiều khả năng vượt ra ngoài các giao dịch kinh doanh hàng ngày của nhà bán lẻ đó.</w:t>
      </w:r>
    </w:p>
    <w:p>
      <w:pPr>
        <w:spacing w:after="80"/>
      </w:pPr>
      <w:r>
        <w:rPr>
          <w:b w:val="0"/>
          <w:i w:val="0"/>
        </w:rPr>
        <w:t xml:space="preserve">Để minh họa sự khác biệt, một đề xuất yêu cầu một chuỗi siêu thị đánh giá việc bán nước ngọt có đường vì ảnh hưởng đến bệnh béo phì ở trẻ em nên bị loại trừ, bởi vì mặc dù đề xuất nêu lên một vấn đề chính sách xã hội quan trọng, yêu cầu này quá gắn bó với những điều cơ bản trong hoạt động hàng ngày của một siêu thị đang điều hành công việc kinh doanh: quyết định sản phẩm thực phẩm nào sẽ chiếm trên kệ hàng. Một đề xuất, vì quan tâm đến phúc lợi động vật, nhằm hạn chế những mặt hàng thực phẩm mà một cửa hàng tạp hóa bán cũng tương tự như vậy. </w:t>
      </w:r>
      <w:r>
        <w:rPr>
          <w:b w:val="0"/>
          <w:i/>
        </w:rPr>
        <w:t>Cf., e.g., Amazon.com , Inc.,</w:t>
      </w:r>
      <w:r>
        <w:rPr>
          <w:b w:val="0"/>
          <w:i w:val="0"/>
        </w:rPr>
        <w:t xml:space="preserve"> SEC No-Action Letter, 2015 WL 470145, tại *1 (ngày 27 tháng 3 năm 2015) (cho phép Amazon loại trừ đề xuất yêu cầu nó “công bố cho cổ đông bất kỳ rủi ro nào về danh tiếng và tài chính mà nó có thể phải đối mặt do dư luận tiêu cực liên quan đến việc đối xử với động vật được dùng để sản xuất các sản phẩm mà nó bán” vì “đề xuất liên quan đến các sản phẩm và dịch vụ được công ty chào bán”); </w:t>
      </w:r>
      <w:r>
        <w:rPr>
          <w:b w:val="0"/>
          <w:i/>
        </w:rPr>
        <w:t>Papa John's Int'l, Inc.,</w:t>
      </w:r>
      <w:r>
        <w:rPr>
          <w:b w:val="0"/>
          <w:i w:val="0"/>
        </w:rPr>
        <w:t xml:space="preserve"> SEC No-Action Letter, 2014 WL 7406254, tại *1 (ngày 13 tháng 2 năm 2015) (tương tự đối với đề xuất khuyến khích chuỗi pizza “mở rộng thực đơn để bao gồm phô mai thuần chay và thịt thuần chay nhằm thúc đẩy phúc lợi động vật, giảm dấu chân sinh thái, mở rộng các lựa chọn lành mạnh hơn và đáp ứng nhu cầu ngày càng tăng đối với thực phẩm từ thực vật”).</w:t>
      </w:r>
    </w:p>
    <w:p>
      <w:pPr>
        <w:spacing w:after="80"/>
      </w:pPr>
      <w:r>
        <w:rPr>
          <w:b w:val="0"/>
          <w:i w:val="0"/>
        </w:rPr>
        <w:t xml:space="preserve">Ngược lại, một đề xuất nêu lên sự không thích đáng trong các thực hành tuyển dụng hoặc trả thù lao mang tính phân biệt đối xử của một siêu thị nói chung không bị loại trừ, bởi vì mặc dù quản lý nguồn nhân lực là một chức năng kinh doanh cốt lõi, nó tách rời khỏi bản chất hoạt động kinh doanh của một siêu thị. </w:t>
      </w:r>
      <w:r>
        <w:rPr>
          <w:b w:val="0"/>
          <w:i/>
        </w:rPr>
        <w:t>Xem Wal-Mart Stores, Inc.,</w:t>
      </w:r>
      <w:r>
        <w:rPr>
          <w:b w:val="0"/>
          <w:i w:val="0"/>
        </w:rPr>
        <w:t xml:space="preserve"> SEC No-Action Letter, 2004 WL 326494, tại *1 (ngày 17 tháng 2 năm 2004) (từ chối miễn trừ no-action khi đề xuất yêu cầu một báo cáo ghi lại “sự phân bổ [ ] thù lao cổ phần theo chủng tộc và giới tính của người nhận và thảo luận về các xu hướng gần đây trong thù lao cổ phần được cấp cho phụ nữ và nhân viên da màu”). Điều tương tự cũng đúng với các đề xuất yêu cầu thông tin về tác động môi trường của việc xây dựng cửa hàng gần các địa điểm nhạy cảm về môi trường. </w:t>
      </w:r>
      <w:r>
        <w:rPr>
          <w:b w:val="0"/>
          <w:i/>
        </w:rPr>
        <w:t>Xem, e.g.,</w:t>
      </w:r>
      <w:r>
        <w:rPr>
          <w:b w:val="0"/>
          <w:i w:val="0"/>
        </w:rPr>
        <w:t xml:space="preserve"> Jenny Staletovich, </w:t>
      </w:r>
      <w:r>
        <w:rPr>
          <w:b w:val="0"/>
          <w:i/>
        </w:rPr>
        <w:t>Developer Defends Walmart in Rare Forest,</w:t>
      </w:r>
      <w:r>
        <w:rPr>
          <w:b w:val="0"/>
          <w:i w:val="0"/>
        </w:rPr>
        <w:t xml:space="preserve"> The Miami Herald (ngày 12 tháng 9 năm 2014), </w:t>
      </w:r>
      <w:r>
        <w:rPr>
          <w:b w:val="0"/>
          <w:i/>
        </w:rPr>
        <w:t>có tại</w:t>
      </w:r>
      <w:r>
        <w:rPr>
          <w:b w:val="0"/>
          <w:i w:val="0"/>
        </w:rPr>
        <w:t xml:space="preserve"> http://www.miamiherald.com/news/local/environment/article2092364.html .</w:t>
      </w:r>
    </w:p>
    <w:p>
      <w:pPr>
        <w:spacing w:after="80"/>
      </w:pPr>
      <w:r>
        <w:rPr>
          <w:b w:val="0"/>
          <w:i w:val="0"/>
        </w:rPr>
        <w:t>Với những nguyên tắc đó trong đầu, chúng ta quay lại đề xuất của Trinity. Trinity nói rằng nó tập trung vào “</w:t>
      </w:r>
      <w:r>
        <w:rPr>
          <w:b w:val="0"/>
          <w:i/>
        </w:rPr>
        <w:t>cả</w:t>
      </w:r>
      <w:r>
        <w:rPr>
          <w:b w:val="0"/>
          <w:i w:val="0"/>
        </w:rPr>
        <w:t xml:space="preserve"> chính sách doanh nghiệp lẫn chính sách xã hội”—cụ thể là, “vấn đề chính sách vượt trội về việc Wal-Mart xử lý các quyết định bán hàng theo những chính sách và tiêu chuẩn nào và với sự giám sát của Ban Giám đốc ra sao” đối với các sản phẩm “đặc biệt nguy hiểm đối với danh tiếng, giá trị thương hiệu, hoặc cộng đồng của [công ty].” Trinity Br. 44 (nhấn mạnh trong nguyên bản). “Trong thời đại của những vụ xả súng hàng loạt, bạo lực gia tăng, và những lo ngại về an toàn sản phẩm,” Trinity lập luận, “[đ]ề xuất đi thẳng vào cốt lõi tác động và cách tiếp cận của Wal-Mart đối với phúc lợi xã hội cũng như những rủi ro mà tác động và cách tiếp cận đó có thể gây ra cho danh tiếng, hình ảnh thương hiệu và cộng đồng của Wal-Mart.” </w:t>
      </w:r>
      <w:r>
        <w:rPr>
          <w:b w:val="0"/>
          <w:i/>
        </w:rPr>
        <w:t>Id.</w:t>
      </w:r>
      <w:r>
        <w:rPr>
          <w:b w:val="0"/>
          <w:i w:val="0"/>
        </w:rPr>
        <w:t xml:space="preserve"> tại 43.</w:t>
      </w:r>
    </w:p>
    <w:p>
      <w:pPr>
        <w:spacing w:after="80"/>
      </w:pPr>
      <w:r>
        <w:rPr>
          <w:b w:val="0"/>
          <w:i w:val="0"/>
        </w:rPr>
        <w:t>Nhưng liệu cách một nhà bán lẻ cân nhắc yếu tố an toàn khi quyết định bán sản phẩm nào có quá gắn bó với hoạt động kinh doanh hàng ngày của nó không? Chúng tôi cho rằng trong trường hợp này là có. Như đã nêu trước đó, bản chất hoạt động kinh doanh của một nhà bán lẻ là quyết định đặt sản phẩm nào lên kệ—những quyết định được đưa ra hàng ngày liên quan đến việc cân bằng cẩn thận các yếu tố tài chính, tiếp thị, danh tiếng, cạnh tranh và các yếu tố khác. Việc ban quản lý nhấn mạnh vào an toàn cho người tiêu dùng hoặc cộng đồng là điều cơ bản trong vai trò quản lý công ty vì lợi ích tốt nhất của cổ đông, và “xét trên thực tế, không thể chịu sự giám sát trực tiếp của cổ đông.” 1998 Adopting Release, 1998 WL 254809, tại *4. Mặc dù cổ đông thực hiện một dịch vụ có giá trị bằng việc tạo nhận thức về các vấn đề xã hội, họ không ở vị trí tốt để đưa ra ý kiến về những lựa chọn kinh doanh cơ bản do ban quản lý đưa ra.</w:t>
      </w:r>
    </w:p>
    <w:p>
      <w:pPr>
        <w:spacing w:after="80"/>
      </w:pPr>
      <w:r>
        <w:rPr>
          <w:b w:val="0"/>
          <w:i w:val="0"/>
        </w:rPr>
        <w:t xml:space="preserve">Do đó không có gì đáng ngạc nhiên khi nhân viên Corp. Fin. luôn nhất quán cho phép các nhà bán lẻ bỏ qua các đề xuất liên quan đến thực đơn sản phẩm của họ. Ví dụ, họ đã chỉ ra rằng một đề xuất cố gắng ngăn một nhà bán lẻ bán hoặc quảng bá các sản phẩm mang định kiến tiêu cực là có thể bị loại trừ. </w:t>
      </w:r>
      <w:r>
        <w:rPr>
          <w:b w:val="0"/>
          <w:i/>
        </w:rPr>
        <w:t>Xem, e.g., Federated Dep't Stores, Inc.,</w:t>
      </w:r>
      <w:r>
        <w:rPr>
          <w:b w:val="0"/>
          <w:i w:val="0"/>
        </w:rPr>
        <w:t xml:space="preserve"> SEC No-Action Letter, 2002 WL 975596, tại *13 (ngày 27 tháng 3 năm 2002) (cho phép nhà bán lẻ bỏ qua một đề xuất yêu cầu báo cáo về “những nỗ lực của nó nhằm nhận diện và tách khỏi bất kỳ hình ảnh xúc phạm nào đối với cộng đồng người Mỹ bản địa trong sản phẩm, quảng cáo [</w:t>
      </w:r>
      <w:r>
        <w:rPr>
          <w:b w:val="0"/>
          <w:i/>
        </w:rPr>
        <w:t>sic</w:t>
      </w:r>
      <w:r>
        <w:rPr>
          <w:b w:val="0"/>
          <w:i w:val="0"/>
        </w:rPr>
        <w:t xml:space="preserve"> ], chứng thực, tài trợ và khuyến mãi”). Họ cũng làm điều tương tự đối với các đề xuất nhằm hạn chế việc một nhà bán lẻ quảng bá các sản phẩm gây nguy hiểm cho sức khỏe cộng đồng, </w:t>
      </w:r>
      <w:r>
        <w:rPr>
          <w:b w:val="0"/>
          <w:i/>
        </w:rPr>
        <w:t>xem e.g., Wal-Mart Stores, Inc.,</w:t>
      </w:r>
      <w:r>
        <w:rPr>
          <w:b w:val="0"/>
          <w:i w:val="0"/>
        </w:rPr>
        <w:t xml:space="preserve"> SEC No-Action Letter, 2002 WL 833445, tại *1 (ngày 1 tháng 4 năm 2002) (đồng ý với Wal-Mart rằng nó có thể loại trừ một đề xuất yêu cầu nó giải thích “lý do của mình cho việc không áp dụng ở các quốc gia đang phát triển các chính sách hạn chế quảng bá và tiếp thị sản phẩm thuốc lá giống như ở Hoa Kỳ”); </w:t>
      </w:r>
      <w:r>
        <w:rPr>
          <w:b w:val="0"/>
          <w:i/>
        </w:rPr>
        <w:t>Walgreen Co.,</w:t>
      </w:r>
      <w:r>
        <w:rPr>
          <w:b w:val="0"/>
          <w:i w:val="0"/>
        </w:rPr>
        <w:t xml:space="preserve"> SEC No-Action Letter, 2006 WL 5381376, tại *1–2 (ngày 13 tháng 10 năm 2006) (tương tự đối với đề xuất yêu cầu báo cáo về “mức độ mà các dòng sản phẩm mỹ phẩm nhãn riêng và chăm sóc cá nhân của công ty có chứa chất gây ung thư, chất gây đột biến, chất độc sinh sản, và các hóa chất ảnh hưởng đến hệ nội tiết”), cũng như những đề xuất nhắm vào cách tiếp cận của nhà bán lẻ đối với an toàn sản phẩm. </w:t>
      </w:r>
      <w:r>
        <w:rPr>
          <w:b w:val="0"/>
          <w:i/>
        </w:rPr>
        <w:t>Xem, e.g., Wal-Mart Stores, Inc.,</w:t>
      </w:r>
      <w:r>
        <w:rPr>
          <w:b w:val="0"/>
          <w:i w:val="0"/>
        </w:rPr>
        <w:t xml:space="preserve"> SEC No-Action Letter, 2008 WL 670182, tại *1 (ngày 11 tháng 3 năm 2008) (Wal-Mart có thể loại trừ một đề xuất yêu cầu “báo cáo về các chính sách của công ty đối với an toàn sản phẩm nano”); </w:t>
      </w:r>
      <w:r>
        <w:rPr>
          <w:b w:val="0"/>
          <w:i/>
        </w:rPr>
        <w:t>The Home Depot, Inc.,</w:t>
      </w:r>
      <w:r>
        <w:rPr>
          <w:b w:val="0"/>
          <w:i w:val="0"/>
        </w:rPr>
        <w:t xml:space="preserve"> SEC No-Action Letter, 2008 WL 257300, tại *2 (cho phép công ty loại trừ một đề xuất khuyến khích nó “chấm dứt việc bán bẫy keo vì chúng tàn ác và vô nhân đạo đối với động vật mục tiêu và gây nguy hiểm cho động vật nuôi và động vật hoang dã”); </w:t>
      </w:r>
      <w:r>
        <w:rPr>
          <w:b w:val="0"/>
          <w:i/>
        </w:rPr>
        <w:t>The Home Depot, Inc.,</w:t>
      </w:r>
      <w:r>
        <w:rPr>
          <w:b w:val="0"/>
          <w:i w:val="0"/>
        </w:rPr>
        <w:t xml:space="preserve"> SEC No-Action Letter, 2008 WL 257307, tại *7 (tương tự đối với đề xuất yêu cầu “đánh giá các chính sách và thực hành của công ty liên quan đến an toàn sản phẩm”).</w:t>
      </w:r>
    </w:p>
    <w:p>
      <w:pPr>
        <w:spacing w:after="80"/>
      </w:pPr>
      <w:r>
        <w:rPr>
          <w:b w:val="0"/>
          <w:i w:val="0"/>
        </w:rPr>
        <w:t xml:space="preserve">Để có thêm sự ủng hộ cho quan điểm rằng một vấn đề chính sách không vượt ra ngoài hoạt động kinh doanh thông thường của công ty khi nó nhắm vào việc ra quyết định hàng ngày, chúng tôi nhìn vào sự khác biệt trong cách xử lý các đề xuất ngừng bán gửi đến các nhà bán lẻ so với những đề xuất gửi đến các nhà sản xuất thuần túy. Một vấn đề chính sách liên quan đến một sản phẩm có nhiều khả năng vượt ra ngoài hoạt động kinh doanh thông thường của công ty hơn khi sản phẩm đó thuộc về một nhà sản xuất với dòng sản phẩm hẹp. Ở đây nhân viên thường sẽ từ chối yêu cầu no-action. </w:t>
      </w:r>
      <w:r>
        <w:rPr>
          <w:b w:val="0"/>
          <w:i/>
        </w:rPr>
        <w:t>Xem, e.g., Phillip Morris Companies, Inc.,</w:t>
      </w:r>
      <w:r>
        <w:rPr>
          <w:b w:val="0"/>
          <w:i w:val="0"/>
        </w:rPr>
        <w:t xml:space="preserve"> SEC No-Action Letter, 1990 WL 286063, tại *1 (ngày 22 tháng 2 năm 1990) (từ chối miễn trừ no-action đối với đề xuất yêu cầu Ban Giám đốc sửa đổi điều lệ công ty để quy định rằng nó “sẽ không tiến hành bất kỳ hoạt động kinh doanh nào liên quan đến thuốc lá hoặc sản phẩm thuốc lá”); </w:t>
      </w:r>
      <w:r>
        <w:rPr>
          <w:b w:val="0"/>
          <w:i/>
        </w:rPr>
        <w:t>Sturm, Ruger &amp; Co., Inc.,</w:t>
      </w:r>
      <w:r>
        <w:rPr>
          <w:b w:val="0"/>
          <w:i w:val="0"/>
        </w:rPr>
        <w:t xml:space="preserve"> SEC No-Action Letter, 2001 WL 258493, tại *1 (ngày 5 tháng 3 năm 2001) (tương tự khi đề xuất yêu cầu Ban Giám đốc cung cấp báo cáo về các chính sách và thủ tục của công ty tập trung vào việc giảm bạo lực súng đạn ở Hoa Kỳ).</w:t>
      </w:r>
    </w:p>
    <w:p>
      <w:pPr>
        <w:spacing w:after="80"/>
      </w:pPr>
      <w:r>
        <w:rPr>
          <w:b w:val="0"/>
          <w:i w:val="0"/>
        </w:rPr>
        <w:t xml:space="preserve">Nhưng kết quả lại thay đổi khi những đề xuất chính sách tương tự đó nhắm vào các nhà bán lẻ, những người bán hàng nghìn sản phẩm. </w:t>
      </w:r>
      <w:r>
        <w:rPr>
          <w:b w:val="0"/>
          <w:i/>
        </w:rPr>
        <w:t>Xem Wal-Mart Stores, Inc.,</w:t>
      </w:r>
      <w:r>
        <w:rPr>
          <w:b w:val="0"/>
          <w:i w:val="0"/>
        </w:rPr>
        <w:t xml:space="preserve"> Thư Không Hành Động của SEC, 2001 WL 253625, tại *6 (ngày 9 tháng 3 năm 2001) (cho phép Wal-Mart loại trừ một đề xuất nhằm ngăn chặn việc bán súng ngắn và đạn dược đi kèm[ ] theo bất kỳ cách nào (ví dụ: theo đơn đặt hàng đặc biệt)” vì nó liên quan đến “hoạt động kinh doanh thông thường của Wal-Mart (tức là việc bán một sản phẩm cụ thể)”); </w:t>
      </w:r>
      <w:r>
        <w:rPr>
          <w:b w:val="0"/>
          <w:i/>
        </w:rPr>
        <w:t>xem thêm Rite Aid Corp.,</w:t>
      </w:r>
      <w:r>
        <w:rPr>
          <w:b w:val="0"/>
          <w:i w:val="0"/>
        </w:rPr>
        <w:t xml:space="preserve"> Thư Không Hành Động của SEC, 2009 WL 829472, tại *1 (ngày 26 tháng 3 năm 2009) (tương tự đối với đề xuất yêu cầu một báo cáo về phản ứng của công ty “trước áp lực ngày càng tăng từ quy định, cạnh tranh và công chúng nhằm chấm dứt việc bán các sản phẩm thuốc lá”); </w:t>
      </w:r>
      <w:r>
        <w:rPr>
          <w:b w:val="0"/>
          <w:i/>
        </w:rPr>
        <w:t>Walgreen Co.,</w:t>
      </w:r>
      <w:r>
        <w:rPr>
          <w:b w:val="0"/>
          <w:i w:val="0"/>
        </w:rPr>
        <w:t xml:space="preserve"> Thư Không Hành Động của SEC, 1997 WL 599903, tại *1 (ngày 29 tháng 9 năm 1997) (tương tự đối với đề xuất yêu cầu Walgreen ngừng bán thuốc lá trong các cửa hàng của mình, vì nó “nhắm vào các vấn đề liên quan đến việc tiến hành hoạt động kinh doanh thông thường của Công ty (tức là việc bán một sản phẩm cụ thể)”).</w:t>
      </w:r>
    </w:p>
    <w:p>
      <w:pPr>
        <w:spacing w:after="80"/>
      </w:pPr>
      <w:r>
        <w:rPr>
          <w:b w:val="0"/>
          <w:i w:val="0"/>
        </w:rPr>
        <w:t>Theo quan điểm của chúng tôi, lý do cho sự khác biệt là một nhà sản xuất có trọng tâm sản phẩm rất hẹp—như nhà sản xuất thuốc lá hay súng—tồn tại chủ yếu để bán sản phẩm mà mình sản xuất. Các cân nhắc kinh doanh hàng ngày của nó không bao gồm việc có nên tiếp tục bán sản phẩm mà nó mang ơn vì lý do tồn tại của mình hay không. Như vậy, một đề xuất ngừng bán nói chung không thể bị loại trừ vì nó liên quan đến chính sự tồn tại của người bán. Hoàn toàn ngược lại đối với các nhà bán lẻ. Họ thường xử lý hàng nghìn sản phẩm với nhiều lựa chọn cho mỗi sản phẩm, đúng kiểu quyết định kinh doanh mà một nhà bán lẻ đưa ra nhiều lần mỗi ngày. Do đó, và trái ngược với bối cảnh sản xuất, một đề xuất ngừng bán liên quan đến hoạt động kinh doanh thông thường của nhà bán lẻ và do đó có thể bị loại trừ. Mặc dù đề xuất của Trinity không hẳn là một đề xuất ngừng bán, nó vẫn nhắm vào cùng một quyết định kinh doanh cơ bản: cách cân nhắc rủi ro an toàn trong phép tính bán hàng.</w:t>
      </w:r>
    </w:p>
    <w:p>
      <w:pPr>
        <w:spacing w:after="80"/>
      </w:pPr>
      <w:r>
        <w:rPr>
          <w:b w:val="0"/>
          <w:i w:val="0"/>
        </w:rPr>
        <w:t xml:space="preserve">Tuyên bố của Trinity rằng đề xuất của mình đưa ra một chính sách </w:t>
      </w:r>
      <w:r>
        <w:rPr>
          <w:b w:val="0"/>
          <w:i/>
        </w:rPr>
        <w:t>công ty</w:t>
      </w:r>
      <w:r>
        <w:rPr>
          <w:b w:val="0"/>
          <w:i w:val="0"/>
        </w:rPr>
        <w:t xml:space="preserve"> “quan trọng” và “siêu việt” cũng không đủ để đưa đề xuất đó vào ngoại lệ chính sách xã hội đối với việc loại trừ. </w:t>
      </w:r>
      <w:r>
        <w:rPr>
          <w:b w:val="0"/>
          <w:i/>
        </w:rPr>
        <w:t>Xem</w:t>
      </w:r>
      <w:r>
        <w:rPr>
          <w:b w:val="0"/>
          <w:i w:val="0"/>
        </w:rPr>
        <w:t xml:space="preserve"> Trinity Br. 47. Câu hỏi liên quan đối với chúng tôi là liệu việc Wal-Mart cân nhắc rủi ro mà một số sản phẩm nhất định gây ra đối với “thành công kinh tế” và “danh tiếng về quyền công dân doanh nghiệp tốt” của mình có gắn bó với cách nó điều hành hoạt động kinh doanh và tương tác giữa nhà bán lẻ - người tiêu dùng hay không. Chúng tôi cho rằng câu trả lời là có. Các quyết định liên quan đến việc Wal-Mart bán sản phẩm nào ở các địa điểm nông thôn so với các địa điểm thành thị sẽ khác nhau đáng kể, và đây là những quyết định mang tính điển hình của ban quản lý. Wal-Mart phục vụ những nước Mỹ khác nhau với những giá trị khác nhau. Khách hàng của nó ở vùng nông thôn Mỹ muốn những sản phẩm khác với khách hàng ở các thành phố, và việc ban quản lý quyết định cách đối phó với những mong muốn khác biệt này không phải là vấn đề điển hình cho Ban Giám đốc của nó. Thật vậy, việc phục vụ “nước Mỹ thị trấn nhỏ” chính là cách Wal-Mart xây dựng hoạt động kinh doanh của mình. </w:t>
      </w:r>
      <w:r>
        <w:rPr>
          <w:b w:val="0"/>
          <w:i/>
        </w:rPr>
        <w:t>Xem</w:t>
      </w:r>
      <w:r>
        <w:rPr>
          <w:b w:val="0"/>
          <w:i w:val="0"/>
        </w:rPr>
        <w:t xml:space="preserve"> Sam Walton, SAM WALTON: MADE IN AMERICA 50 (1993) (“Hóa ra bài học lớn đầu tiên chúng tôi học được là có nhiều, nhiều cơ hội kinh doanh ở nước Mỹ thị trấn nhỏ hơn bất kỳ ai, kể cả tôi, từng mơ tới.”). Và việc có nên nhấn mạnh vào tính chính trực thương hiệu và bảo vệ thương hiệu, hay không nhấn mạnh chút nào, đương nhiên là quyết định mà cả cổ đông lẫn giám đốc giao phó cho ban quản lý đưa ra trong việc vận dụng kinh nghiệm và phán đoán kinh doanh của họ.</w:t>
      </w:r>
    </w:p>
    <w:p>
      <w:pPr>
        <w:spacing w:after="80"/>
      </w:pPr>
      <w:r>
        <w:rPr>
          <w:b w:val="0"/>
          <w:i w:val="0"/>
        </w:rPr>
        <w:t xml:space="preserve">Chúng tôi cũng đồng ý với lập luận của Wal-Mart (và dường như là quan điểm của nhân viên Corp. Fin.) rằng một công ty có thể bỏ qua một đề xuất của cổ đông liên quan đến danh tiếng hoặc thương hiệu của mình khi những gì đề xuất tìm kiếm gắn bó với cách công ty tiến hành hoạt động kinh doanh. </w:t>
      </w:r>
      <w:r>
        <w:rPr>
          <w:b w:val="0"/>
          <w:i/>
        </w:rPr>
        <w:t>So sánh FedEx Corp.,</w:t>
      </w:r>
      <w:r>
        <w:rPr>
          <w:b w:val="0"/>
          <w:i w:val="0"/>
        </w:rPr>
        <w:t xml:space="preserve"> Thư Không Hành Động của SEC, 2014 WL 2358714, tại *1 (ngày 11 tháng 7 năm 2014) (cho phép FedEx bỏ qua một đề xuất yêu cầu báo cáo giải quyết cách công ty “có thể phản ứng tốt hơn trước thiệt hại danh tiếng từ việc liên quan đến tranh cãi về tên đội bóng NFL ở Washington D.C.” vì nó “liên quan đến cách thức FedEx quảng cáo sản phẩm và dịch vụ của mình”); </w:t>
      </w:r>
      <w:r>
        <w:rPr>
          <w:b w:val="0"/>
          <w:i/>
        </w:rPr>
        <w:t>xem thêm Equity Lifestyle Props., Inc.,</w:t>
      </w:r>
      <w:r>
        <w:rPr>
          <w:b w:val="0"/>
          <w:i w:val="0"/>
        </w:rPr>
        <w:t xml:space="preserve"> Thư Không Hành Động của SEC, 2012 WL 6723114, tại *1 (ngày 6 tháng 2 năm 2013) (tương tự đối với đề xuất yêu cầu Ban Giám đốc chuẩn bị một báo cáo về, trong số những thứ khác, “các rủi ro danh tiếng gắn với việc đặt ra các mức tăng giá thuê bất công, không công bằng và quá đáng gây khó khăn quá mức cho các chủ nhà lớn tuổi có thu nhập cố định,” vì “việc định giá sản phẩm và dịch vụ là nền tảng cho khả năng điều hành công ty hàng ngày của ban quản lý”); </w:t>
      </w:r>
      <w:r>
        <w:rPr>
          <w:b w:val="0"/>
          <w:i/>
        </w:rPr>
        <w:t>Bank of America Corp.,</w:t>
      </w:r>
      <w:r>
        <w:rPr>
          <w:b w:val="0"/>
          <w:i w:val="0"/>
        </w:rPr>
        <w:t xml:space="preserve"> Thư Không Hành Động của SEC, 2010 WL 4922465, tại *1 (ngày 24 tháng 2 năm 2010) (tương tự đối với đề xuất yêu cầu Ban Giám đốc Bank of America công bố một báo cáo mô tả chính sách của ngân hàng liên quan đến “việc tài trợ cho các công ty chủ yếu hoạt động khai thác than bằng cách bóc lớp đỉnh núi và đánh giá hiệu quả của chính sách trong việc giảm phát thải [khí nhà kính] và bảo vệ danh tiếng của [mình],” vì nó “đề cập đến những vấn đề vượt ra ngoài tác động môi trường của các quyết định tài trợ dự án của [mình], chẳng hạn như các quyết định cấp tín dụng hoặc cung cấp các dịch vụ tài chính khác cho những loại khách hàng cụ thể”); </w:t>
      </w:r>
      <w:r>
        <w:rPr>
          <w:b w:val="0"/>
          <w:i/>
        </w:rPr>
        <w:t>Dean Foods Co.,</w:t>
      </w:r>
      <w:r>
        <w:rPr>
          <w:b w:val="0"/>
          <w:i w:val="0"/>
        </w:rPr>
        <w:t xml:space="preserve"> Thư Không Hành Động của SEC, 2007 WL 754960, tại *1 (ngày 9 tháng 3 năm 2007) (tương tự đối với đề xuất yêu cầu một ủy ban độc lập của Ban Giám đốc “xem xét các chính sách và thủ tục của công ty đối với các sản phẩm sữa hữu cơ và báo cáo cho cổ đông về tính thỏa đáng của các chính sách và thủ tục nhằm bảo vệ thương hiệu và danh tiếng của công ty cũng như giải quyết những chỉ trích từ người tiêu dùng và truyền thông,” vì điều này liên quan đến “hoạt động kinh doanh thông thường của công ty (tức là quan hệ khách hàng và các quyết định liên quan đến quan hệ nhà cung cấp)”).</w:t>
      </w:r>
    </w:p>
    <w:p>
      <w:pPr>
        <w:spacing w:after="80"/>
      </w:pPr>
      <w:r>
        <w:rPr>
          <w:b w:val="0"/>
          <w:i w:val="0"/>
        </w:rPr>
        <w:t>Do đó, chúng tôi phán quyết rằng, ngay cả khi đề xuất của Trinity đưa ra các vấn đề chính sách xã hội và công ty đủ quan trọng, những chính sách đó không siêu việt lên trên hoạt động kinh doanh thông thường của Wal-Mart. Để một vấn đề chính sách ở đây siêu việt lên trên hoạt động kinh doanh của Wal-Mart, nó phải nhắm vào điều gì đó nhiều hơn là việc chọn một sản phẩm trong số hàng chục nghìn sản phẩm mà nó bán. Đề xuất của Trinity không đạt được tiêu chuẩn đó và đúng đắn là có thể bị loại trừ theo Quy tắc 14a-8(i)(7).</w:t>
      </w:r>
    </w:p>
    <w:p>
      <w:pPr>
        <w:spacing w:after="80"/>
      </w:pPr>
      <w:r>
        <w:rPr>
          <w:b w:val="0"/>
          <w:i w:val="0"/>
        </w:rPr>
        <w:t>V. KẾT LUẬN</w:t>
      </w:r>
    </w:p>
    <w:p>
      <w:pPr>
        <w:spacing w:after="80"/>
      </w:pPr>
      <w:r>
        <w:rPr>
          <w:b w:val="0"/>
          <w:i w:val="0"/>
        </w:rPr>
        <w:t xml:space="preserve">Mặc dù một nhiệm vụ cốt lõi của tòa án là giải thích các đạo luật và quy tắc, công việc của chúng tôi trở nên khó khăn khi các cơ quan, sau khi thông báo và lấy ý kiến, có những ngoại lệ khó định nghĩa đối với quy tắc của mình và những ngoại lệ đối với chính các ngoại lệ đó. Đối với những ai đang vật lộn với ngoại lệ hoạt động kinh doanh thông thường và một ngoại lệ chính sách xã hội không chỉ đòi hỏi tính quan trọng mà còn cả tính “siêu việt,” chúng tôi đồng cảm. Bất chấp sự gia tăng đáng kể các đề xuất cố gắng nêu ra các vấn đề chính sách xã hội nhằm hạ bệ rào cản hoạt động kinh doanh, phát ngôn cuối cùng của SEC về chủ đề này là vào những năm 1990, và chúng tôi không có chút gợi ý nào rằng bất kỳ thay đổi nào từ phía SEC hay Quốc hội sắp diễn ra. Như một cựu ủy viên SEC đã nhận định, “thật không công bằng cũng không hợp lý khi kỳ vọng các chuyên gia chứng khoán [như Ủy ban và nhân viên của nó] suy luận ra chiều hướng chủ đạo về các vấn đề chính sách công mà Quốc hội vẫn chưa giải quyết theo bất kỳ cách dứt khoát nào.” </w:t>
      </w:r>
      <w:r>
        <w:rPr>
          <w:b w:val="0"/>
          <w:i/>
        </w:rPr>
        <w:t>Ủy viên Chỉ trích Tính Chủ quan, Sự Bất nhất trong Việc Xem xét Đề xuất của SEC,</w:t>
      </w:r>
      <w:r>
        <w:rPr>
          <w:b w:val="0"/>
          <w:i w:val="0"/>
        </w:rPr>
        <w:t xml:space="preserve"> BNA Corp. Couns. Wkly., 2–3 (ngày 31 tháng 3 năm 1993) (trích phát biểu của Ủy viên Richard Y. Roberts). Điều đó vẫn đúng cho đến ngày nay.</w:t>
      </w:r>
    </w:p>
    <w:p>
      <w:pPr>
        <w:spacing w:after="80"/>
      </w:pPr>
      <w:r>
        <w:rPr>
          <w:b w:val="0"/>
          <w:i w:val="0"/>
        </w:rPr>
        <w:t>Chúng tôi không nghi ngờ gì rằng Ủy ban có đủ khả năng thu thập “dữ liệu và quan điểm liên quan về hướng đi tốt nhất cho chính sách quản lý của mình.” Nagy tại 993. Do đó, chúng tôi đề nghị Ủy ban xem xét sửa đổi quy định của mình về các cuộc tranh giành quyền biểu quyết (proxy contests) và ban hành hướng dẫn giải thích mới. Trong lúc đó, chúng tôi phán quyết ở đây rằng đề xuất của Trinity có thể bị loại trừ khỏi tài liệu ủy quyền biểu quyết của Wal-Mart theo Quy tắc 14a-8(i)(7).</w:t>
      </w:r>
    </w:p>
    <w:p>
      <w:pPr>
        <w:spacing w:after="80"/>
      </w:pPr>
      <w:r>
        <w:rPr>
          <w:b w:val="0"/>
          <w:i w:val="0"/>
        </w:rPr>
        <w:t>Schwartz, Thẩm phán Vòng, cùng với Thẩm phán Vanaskie đối với Phần III, đồng tình với phán quyết.</w:t>
      </w:r>
    </w:p>
    <w:p>
      <w:pPr>
        <w:spacing w:after="80"/>
      </w:pPr>
      <w:r>
        <w:rPr>
          <w:b w:val="0"/>
          <w:i w:val="0"/>
        </w:rPr>
        <w:t>Tôi đồng ý với Đa số rằng Wal-Mart có thể bỏ qua đề xuất của Trinity khỏi tài liệu ủy quyền biểu quyết của công ty. Tuy nhiên, tôi viết riêng vì hai lý do. Thứ nhất, trong khi tôi đồng ý với các đồng nghiệp rằng đề xuất này có thể bị loại trừ dựa trên ngoại lệ hoạt động kinh doanh thông thường, tôi tin rằng tiêu chuẩn mà họ đã tạo ra để xác định khi nào một ngoại lệ đối với việc loại trừ này được áp dụng có thể loại bỏ nhiều hành động của công ty mà cổ đông nên có tiếng nói khỏi sự giám sát của cổ đông. Thứ hai, tôi viết để giải thích rằng cả ngoại lệ hoạt động kinh doanh thông thường lẫn ngoại lệ mơ hồ đều ủng hộ việc loại trừ toàn bộ đề xuất.</w:t>
      </w:r>
    </w:p>
    <w:p>
      <w:pPr>
        <w:pStyle w:val="Heading5"/>
      </w:pPr>
      <w:r>
        <w:rPr>
          <w:rFonts w:ascii="Calibri" w:hAnsi="Calibri"/>
          <w:b/>
          <w:i/>
          <w:sz w:val="22"/>
        </w:rPr>
        <w:t>Bình luận và Câu hỏi</w:t>
      </w:r>
    </w:p>
    <w:p>
      <w:pPr>
        <w:spacing w:after="80"/>
      </w:pPr>
      <w:r>
        <w:rPr>
          <w:b w:val="0"/>
          <w:i w:val="0"/>
        </w:rPr>
        <w:t>1. Giả sử vấn đề trong vụ án này liên quan đến “hoạt động kinh doanh thông thường” của Wal-Mart, liệu nó có thực sự là một ví dụ của “soạn thảo khéo léo”? Luật tiểu bang không cấm các đề xuất mang tính tư vấn, ngay cả khi liên quan đến hoạt động kinh doanh hàng ngày. Liệu việc loại trừ có nên cấm những gì được cho phép theo luật tiểu bang không?</w:t>
      </w:r>
    </w:p>
    <w:p>
      <w:pPr>
        <w:spacing w:after="80"/>
      </w:pPr>
      <w:r>
        <w:rPr>
          <w:b w:val="0"/>
          <w:i w:val="0"/>
        </w:rPr>
        <w:t>2. Khi áp dụng ngoại lệ đang bàn trong vụ án này, một công ty trước tiên phải chứng minh rằng đề xuất sẽ đề cập đến “hoạt động kinh doanh thông thường” của công ty. Trong vụ án này, mặc dù nội dung của đề xuất trùng lặp với hoạt động kinh doanh thông thường của công ty, nó thực tế không đề xuất bất kỳ thay đổi nào. Thay vào đó, đề xuất về cơ bản yêu cầu ban giám đốc nghiên cứu và cân nhắc vấn đề. Liệu một đề xuất yêu cầu ban giám đốc cân nhắc một vấn đề có thuộc “hoạt động kinh doanh thông thường” của công ty không? Hãy lập luận theo cả hai hướng.</w:t>
      </w:r>
    </w:p>
    <w:p>
      <w:pPr>
        <w:spacing w:after="80"/>
      </w:pPr>
      <w:r>
        <w:rPr>
          <w:b w:val="0"/>
          <w:i w:val="0"/>
        </w:rPr>
        <w:t xml:space="preserve">3. Tòa án đồng ý rằng đề xuất liên quan đến các vấn đề “chính sách đủ quan trọng.” Tuy nhiên, đề xuất cũng phải “siêu việt” lên trên hoạt động kinh doanh thông thường của công ty. Tòa án giải thích thuật ngữ này có nghĩa là vấn đề chính sách phải “tách rời khỏi cách một công ty tiếp cận những chi tiết cốt lõi trong hoạt động kinh doanh của mình.” Những hàm ý của cách tiếp cận này là gì? Liệu phân tích này có giải quyết một số mối quan tâm tương tự đã nảy sinh trong bối cảnh qua lại ở </w:t>
      </w:r>
      <w:r>
        <w:rPr>
          <w:b w:val="0"/>
          <w:i/>
        </w:rPr>
        <w:t>Cracker Barrel</w:t>
      </w:r>
      <w:r>
        <w:rPr>
          <w:b w:val="0"/>
          <w:i w:val="0"/>
        </w:rPr>
        <w:t xml:space="preserve"> không?</w:t>
      </w:r>
    </w:p>
    <w:p>
      <w:pPr>
        <w:spacing w:after="80"/>
      </w:pPr>
      <w:r>
        <w:rPr>
          <w:b w:val="0"/>
          <w:i w:val="0"/>
        </w:rPr>
        <w:t>4. Nhân viên của Ủy ban cuối cùng đã ban hành hướng dẫn liên quan đến vụ án này. Nhân viên nhận thấy rằng tiêu chuẩn được ý kiến đa số thông qua “khác với các tuyên bố của Ủy ban về ngoại lệ hoạt động kinh doanh thông thường và thực tiễn của Ban.” Bản tin Pháp lý Nhân viên số 14H(CF) (ngày 22 tháng 10 năm 2015). Hơn nữa, “chúng tôi lo ngại rằng cách tiếp cận phân tích mới được Vòng Ba giới thiệu vượt ra ngoài các tuyên bố trước đây của Ủy ban và có thể dẫn đến việc loại trừ các đề xuất của cổ đông một cách không chính đáng.” Kết quả là, “[t]Ban sẽ có ý định tiếp tục áp dụng Quy tắc 14a-8(i)(7) như được Ủy ban trình bày và nhất quán với việc Ban áp dụng ngoại lệ trước đây, như được thẩm phán đồng tình ủng hộ, khi xem xét các yêu cầu không hành động đưa Quy tắc 14a-8(i)(7) làm cơ sở để loại trừ.” Điều này sẽ có tác động gì đến việc sử dụng ngoại lệ này?</w:t>
      </w:r>
    </w:p>
    <w:p>
      <w:pPr>
        <w:pStyle w:val="Heading2"/>
      </w:pPr>
      <w:r>
        <w:rPr>
          <w:rFonts w:ascii="Calibri" w:hAnsi="Calibri"/>
          <w:b/>
          <w:i w:val="0"/>
          <w:sz w:val="32"/>
        </w:rPr>
        <w:t>IV. Cơ chế Biểu quyết</w:t>
      </w:r>
    </w:p>
    <w:p>
      <w:pPr>
        <w:spacing w:after="80"/>
      </w:pPr>
      <w:r>
        <w:rPr>
          <w:b w:val="0"/>
          <w:i w:val="0"/>
        </w:rPr>
        <w:t>Quá trình bỏ phiếu, đặc biệt là đối với các công ty đại chúng, phức tạp một cách đáng kinh ngạc. Quá trình này liên quan đến ba cơ quan quản lý riêng biệt: các bang, NYSE, và Ủy ban Chứng khoán và Giao dịch (Securities and Exchange Commission). Ngoài ra, hệ thống quản lý còn thay đổi tùy thuộc vào việc cổ phiếu được đứng tên dưới tên nhà đầu tư hay trong một tài khoản tên đường phố (street name account). Nếu được giữ trong tài khoản tên đường phố, thì việc bên trung gian là ngân hàng hay công ty môi giới cũng có ảnh hưởng.</w:t>
      </w:r>
    </w:p>
    <w:p>
      <w:pPr>
        <w:pStyle w:val="Heading3"/>
      </w:pPr>
      <w:r>
        <w:rPr>
          <w:rFonts w:ascii="Calibri" w:hAnsi="Calibri"/>
          <w:b/>
          <w:i w:val="0"/>
          <w:sz w:val="26"/>
        </w:rPr>
        <w:t>A. Vấn đề về Quyền sở hữu hưởng lợi</w:t>
      </w:r>
    </w:p>
    <w:p>
      <w:pPr>
        <w:spacing w:after="80"/>
      </w:pPr>
      <w:r>
        <w:rPr>
          <w:b w:val="0"/>
          <w:i w:val="0"/>
        </w:rPr>
        <w:t xml:space="preserve">Hệ thống bỏ phiếu bắt đầu từ luật bang. Luật bang đặt quyền bỏ phiếu vào tay các chủ sở hữu trên sổ sách (record owners), tức những chủ sở hữu xuất hiện trên sổ cổ đông của công ty. Với một số ngoại lệ, luật bang thường giới hạn các quyền thực chất khác—như quyền bỏ phiếu và quyền định giá—cho các chủ sở hữu trên sổ sách. </w:t>
      </w:r>
      <w:r>
        <w:rPr>
          <w:b w:val="0"/>
          <w:i/>
        </w:rPr>
        <w:t>Nhưng xem</w:t>
      </w:r>
      <w:r>
        <w:rPr>
          <w:b w:val="0"/>
          <w:i w:val="0"/>
        </w:rPr>
        <w:t xml:space="preserve"> 8 Del. C. § 220 (mở rộng quyền kiểm tra cho các chủ sở hữu hưởng lợi).</w:t>
      </w:r>
    </w:p>
    <w:p>
      <w:pPr>
        <w:spacing w:after="80"/>
      </w:pPr>
      <w:r>
        <w:rPr>
          <w:b w:val="0"/>
          <w:i w:val="0"/>
        </w:rPr>
        <w:t>Vấn đề với việc dựa vào quyền sở hữu trên sổ sách là ở các công ty đại chúng, hầu hết chủ sở hữu không còn giữ quyền sở hữu với tư cách chủ sở hữu trên sổ sách nữa. Các nhà đầu tư ngày càng dựa vào tài khoản tên đường phố, giữ lại các thuộc tính kinh tế của cổ phiếu nhưng để quyền sở hữu đứng tên công ty môi giới hoặc ngân hàng của họ. Đến lượt mình, các công ty môi giới và ngân hàng thường đặt cổ phiếu vào một tổ chức lưu ký (depository) để bảo quản. Chính tổ chức lưu ký mới xuất hiện với tư cách chủ sở hữu trên danh sách cổ đông. Hơn nữa, hình thức sở hữu này đã trở nên rất phổ biến, với hơn một nửa số cổ phiếu trong các công ty đại chúng lớn nhất được nắm giữ thông qua các tổ chức lưu ký. Cấu trúc này làm tăng thêm sự phức tạp khổng lồ cho quá trình bỏ phiếu.</w:t>
      </w:r>
    </w:p>
    <w:p>
      <w:pPr>
        <w:pStyle w:val="Heading4"/>
      </w:pPr>
      <w:r>
        <w:rPr>
          <w:rFonts w:ascii="Calibri" w:hAnsi="Calibri"/>
          <w:b/>
          <w:i w:val="0"/>
          <w:sz w:val="23"/>
        </w:rPr>
        <w:t>Crown EMAK Partners, LLC v. Kurz</w:t>
      </w:r>
    </w:p>
    <w:p>
      <w:pPr>
        <w:spacing w:after="80"/>
      </w:pPr>
      <w:r>
        <w:rPr>
          <w:b w:val="0"/>
          <w:i w:val="0"/>
        </w:rPr>
        <w:t>Tòa án Tối cao Delaware</w:t>
      </w:r>
      <w:r>
        <w:br/>
      </w:r>
      <w:r>
        <w:rPr>
          <w:b w:val="0"/>
          <w:i w:val="0"/>
        </w:rPr>
        <w:t xml:space="preserve"> 992 A.2d 377 (2010)</w:t>
      </w:r>
    </w:p>
    <w:p>
      <w:pPr>
        <w:spacing w:after="80"/>
      </w:pPr>
      <w:r>
        <w:rPr>
          <w:b w:val="0"/>
          <w:i w:val="0"/>
        </w:rPr>
        <w:t>THẨM PHÁN HOLLAND :</w:t>
      </w:r>
    </w:p>
    <w:p>
      <w:pPr>
        <w:spacing w:after="80"/>
      </w:pPr>
      <w:r>
        <w:rPr>
          <w:b w:val="0"/>
          <w:i w:val="0"/>
        </w:rPr>
        <w:t>Trước ngày 18 tháng 12 năm 2009, Hội đồng quản trị [của EMAK Worldwide, Inc.] có sáu giám đốc và một vị trí trống. Vào ngày 18 tháng 12, một giám đốc từ chức, tạo ra vị trí trống thứ hai. Các nguyên đơn-bị đơn phụ (plaintiffs-appellees) cho rằng vào ngày 20 và 21 tháng 12, Take Back EMAK LLC (“TBE”) đã gửi đủ số phiếu đồng ý (consents) (gọi là “TBE Consents”) để bãi miễn thêm hai giám đốc mà không cần lý do, và bổ sung ba vị trí trống phát sinh bằng Philip Kleweno, Michael Konig, và Lloyd Sems. Giám đốc đương nhiệm Donald A. Kurz (“Kurz”) là thành viên của TBE. Nếu hợp lệ, TBE Consents sẽ thiết lập một thế đa số mới trong Hội đồng quản trị.</w:t>
      </w:r>
    </w:p>
    <w:p>
      <w:pPr>
        <w:spacing w:after="80"/>
      </w:pPr>
      <w:r>
        <w:rPr>
          <w:b w:val="0"/>
          <w:i w:val="0"/>
        </w:rPr>
        <w:t>* * *</w:t>
      </w:r>
    </w:p>
    <w:p>
      <w:pPr>
        <w:spacing w:after="80"/>
      </w:pPr>
      <w:r>
        <w:rPr>
          <w:b w:val="0"/>
          <w:i/>
        </w:rPr>
        <w:t>Vai trò của DTC và Broadridge trong việc Thu thập Phiếu đồng ý của TBE</w:t>
      </w:r>
    </w:p>
    <w:p>
      <w:pPr>
        <w:spacing w:after="80"/>
      </w:pPr>
      <w:r>
        <w:rPr>
          <w:b w:val="0"/>
          <w:i w:val="0"/>
        </w:rPr>
        <w:t>TBE đã tiến hành một cuộc vận động trên diện rộng, trong đó họ tìm cách thu thập phiếu đồng ý từ một số lượng lớn các cổ đông cá nhân của EMAK. Vì cổ phiếu của EMAK đã được giao dịch công khai trong mười bốn năm, một số lượng đáng kể cổ đông EMAK sở hữu cổ phiếu của họ dưới “tên đường phố”. Thực tiễn này được tóm tắt trong một chuyên luận hàng đầu:</w:t>
      </w:r>
    </w:p>
    <w:p>
      <w:pPr>
        <w:spacing w:after="80"/>
      </w:pPr>
      <w:r>
        <w:rPr>
          <w:b w:val="0"/>
          <w:i w:val="0"/>
        </w:rPr>
        <w:t>Phần lớn cổ phiếu được giao dịch công khai ở Hoa Kỳ được đăng ký trên sổ sách của các công ty không phải dưới tên của các chủ sở hữu hưởng lợi—</w:t>
      </w:r>
      <w:r>
        <w:rPr>
          <w:b w:val="0"/>
          <w:i/>
        </w:rPr>
        <w:t>tức là</w:t>
      </w:r>
      <w:r>
        <w:rPr>
          <w:b w:val="0"/>
          <w:i w:val="0"/>
        </w:rPr>
        <w:t xml:space="preserve"> , những nhà đầu tư đã trả tiền cho cổ phiếu và có quyền bỏ phiếu cũng như định đoạt cổ phiếu—mà thay vào đó là dưới tên của “Cede &amp; Co.,” tên được The Depository Trust Company (“DTC”) sử dụng.</w:t>
      </w:r>
    </w:p>
    <w:p>
      <w:pPr>
        <w:spacing w:after="80"/>
      </w:pPr>
      <w:r>
        <w:rPr>
          <w:b w:val="0"/>
          <w:i w:val="0"/>
        </w:rPr>
        <w:t>Cổ phiếu được đăng ký theo cách này thường được gọi là được giữ dưới “tên đường phố”. . . . DTC giữ cổ phiếu thay mặt cho các ngân hàng và công ty môi giới, đến lượt chúng lại giữ thay mặt cho khách hàng của mình (những người là chủ sở hữu hưởng lợi cơ sở hoặc các bên trung gian khác).</w:t>
      </w:r>
    </w:p>
    <w:p>
      <w:pPr>
        <w:spacing w:after="80"/>
      </w:pPr>
      <w:r>
        <w:rPr>
          <w:b w:val="0"/>
          <w:i w:val="0"/>
        </w:rPr>
        <w:t>Vai trò của DTC và Bộ phận Giải pháp Truyền thông Nhà đầu tư của Broadridge Financial Services, Inc. (“Broadridge”) rất quan trọng trong vụ án này. Vai trò của Broadridge được tóm tắt như sau:</w:t>
      </w:r>
    </w:p>
    <w:p>
      <w:pPr>
        <w:spacing w:after="80"/>
      </w:pPr>
      <w:r>
        <w:rPr>
          <w:b w:val="0"/>
          <w:i w:val="0"/>
        </w:rPr>
        <w:t>Trong nhiều năm, các ngân hàng và công ty môi giới duy trì các bộ phận ủy quyền (proxy) riêng để xử lý các quy trình hành chính hậu cần (back-office) như phân phối tài liệu ủy quyền và kiểm đếm các chỉ thị bỏ phiếu từ khách hàng của họ. Tuy nhiên ngày nay, phần lớn áp đảo đã loại bỏ các bộ phận ủy quyền của mình và thuê ngoài các quy trình này cho [Broadridge]. Trong nhiều năm, các dịch vụ xử lý ủy quyền này được cung cấp bởi Automatic Data Processing, Inc. (“ADP”), nhưng vào ngày 31 tháng 3 năm 2007, ADP tách Bộ phận Dịch vụ Môi giới của mình thành một công ty độc lập mới, Broadridge, công ty hiện cung cấp các dịch vụ này cho hầu hết các ngân hàng và công ty môi giới.</w:t>
      </w:r>
    </w:p>
    <w:p>
      <w:pPr>
        <w:spacing w:after="80"/>
      </w:pPr>
      <w:r>
        <w:rPr>
          <w:b w:val="0"/>
          <w:i w:val="0"/>
        </w:rPr>
        <w:t>Để các thỏa thuận này hoạt động, các khách hàng ngân hàng và công ty môi giới của Broadridge chính thức chuyển giao cho Broadridge quyền ủy quyền mà họ nhận được từ DTC (thông qua [DTC] Omnibus Proxy) bằng giấy ủy quyền bằng văn bản. Thay mặt cho các công ty môi giới và ngân hàng, Broadridge gửi trực tiếp đến từng chủ sở hữu hưởng lợi một bản tuyên bố ủy quyền (proxy statement) và, quan trọng hơn, một mẫu chỉ thị bỏ phiếu (được gọi là “VIF”) thay vì một thẻ ủy quyền (proxy card). Các chủ sở hữu hưởng lợi không nhận được thẻ ủy quyền vì họ không được trao quyền bỏ phiếu cổ phiếu hoặc cấp quyền ủy quyền—những quyền đó chỉ thuộc về các chủ sở hữu hợp pháp (hoặc người được họ chỉ định). Các chủ sở hữu hưởng lợi chỉ có quyền chỉ thị cách cổ phiếu của họ sẽ được Broadridge (người được ủy quyền của các thành viên DTC) bỏ phiếu như thế nào, điều mà họ thực hiện bằng cách gửi lại một VIF.</w:t>
      </w:r>
    </w:p>
    <w:p>
      <w:pPr>
        <w:spacing w:after="80"/>
      </w:pPr>
      <w:r>
        <w:rPr>
          <w:b w:val="0"/>
          <w:i w:val="0"/>
        </w:rPr>
        <w:t>DTC thường được coi là thực thể có quyền theo luật Delaware để biểu quyết số cổ phần mà nó nắm giữ dưới dạng ký gửi cho các ngân hàng và nhà môi giới là thành viên của DTC. Thông qua giấy ủy quyền omnibus của DTC, DTC chuyển giao quyền biểu quyết của mình cho các ngân hàng và nhà môi giới thành viên đó. Sau đó, các ngân hàng và nhà môi giới chuyển giao quyền biểu quyết cho Broadridge, đơn vị này biểu quyết số cổ phần được giữ tại DTC bởi mỗi ngân hàng và nhà môi giới tương ứng với tổng số chỉ thị biểu quyết nhận được từ các chủ sở hữu hưởng lợi cuối cùng.</w:t>
      </w:r>
    </w:p>
    <w:p>
      <w:pPr>
        <w:spacing w:after="80"/>
      </w:pPr>
      <w:r>
        <w:rPr>
          <w:b w:val="0"/>
          <w:i w:val="0"/>
        </w:rPr>
        <w:t>Đối với Thư xin chấp thuận TBE (TBE Consent Solicitation), Broadridge đã thu thập, ghi nhận và tổng hợp các chỉ thị biểu quyết mà mình nhận được từ các chủ sở hữu hưởng lợi của cổ phần EMAK được giữ dưới tên phố (street name). Không có tranh chấp rằng các ngân hàng và nhà môi giới đã ủy quyền hợp lệ cho Broadridge biểu quyết số cổ phần EMAK được DTC nắm giữ thay mặt họ.</w:t>
      </w:r>
    </w:p>
    <w:p>
      <w:pPr>
        <w:spacing w:after="80"/>
      </w:pPr>
      <w:r>
        <w:rPr>
          <w:b w:val="0"/>
          <w:i w:val="0"/>
        </w:rPr>
        <w:t>Điều mà không ai từng có được, và điều mà DTC chưa bao giờ cung cấp, chính là giấy ủy quyền omnibus của DTC. Bằng chứng mâu thuẫn về việc ai có trách nhiệm lấy giấy ủy quyền omnibus của DTC. Tòa án Chancery kết luận rằng không bên nào rõ ràng có nghĩa vụ đảm bảo giấy ủy quyền omnibus của DTC, mặc dù cả hai bên đều có thể đã làm nhiều hơn, nhưng không bên nào hành xử không đúng hoặc bất công trong khía cạnh này của vụ án.</w:t>
      </w:r>
    </w:p>
    <w:p>
      <w:pPr>
        <w:spacing w:after="80"/>
      </w:pPr>
      <w:r>
        <w:rPr>
          <w:b w:val="0"/>
          <w:i w:val="0"/>
        </w:rPr>
        <w:t>* * *</w:t>
      </w:r>
    </w:p>
    <w:p>
      <w:pPr>
        <w:spacing w:after="80"/>
      </w:pPr>
      <w:r>
        <w:rPr>
          <w:b w:val="0"/>
          <w:i/>
        </w:rPr>
        <w:t>Tòa án Chancery Định nghĩa lại Sổ cổ đông</w:t>
      </w:r>
    </w:p>
    <w:p>
      <w:pPr>
        <w:spacing w:after="80"/>
      </w:pPr>
      <w:r>
        <w:rPr>
          <w:b w:val="0"/>
          <w:i w:val="0"/>
        </w:rPr>
        <w:t>Quy định theo luật tại mục 219(c) quy định rằng chỉ những cổ đông được ghi danh (stockholders of record) xuất hiện trên sổ cổ đông mới có thể biểu quyết. Do đó, Tòa án Chancery tiếp tục phân tích bằng cách xem xét liệu bảng phân tách Cede (Cede breakdown) có nên là một phần của sổ cổ đông cho mục đích của Mục 219(c) hay không. Tòa kết luận:</w:t>
      </w:r>
    </w:p>
    <w:p>
      <w:pPr>
        <w:spacing w:after="80"/>
      </w:pPr>
      <w:r>
        <w:rPr>
          <w:b w:val="0"/>
          <w:i w:val="0"/>
        </w:rPr>
        <w:t>Có một cơ sở rõ ràng để làm như vậy, cụ thể là luật của chúng ta từ lâu đã công nhận rằng bảng phân tách Cede là một phần của sổ cổ đông cho mục đích của Mục 220(b). Nếu bảng phân tách Cede là một phần của sổ cổ đông, thì các ngân hàng và nhà môi giới xuất hiện trên bảng phân tách Cede có quyền biểu quyết với tư cách là chủ sở hữu được ghi danh tại một cuộc họp cổ đông hoặc cho mục đích thực hiện hành động bằng văn bản chấp thuận.</w:t>
      </w:r>
    </w:p>
    <w:p>
      <w:pPr>
        <w:spacing w:after="80"/>
      </w:pPr>
      <w:r>
        <w:rPr>
          <w:b w:val="0"/>
          <w:i w:val="0"/>
        </w:rPr>
        <w:t>Lịch sử của hệ thống lưu ký được trình bày trên trang web của DTC. Việc nắm giữ chứng khoán thông qua DTC có ý nghĩa theo luật Delaware vì chính Cede, chứ không phải các ngân hàng và nhà môi giới là thành viên tham gia DTC, mới là đơn vị xuất hiện trên sổ cổ đông của một công ty Delaware. Tòa án Chancery lưu ý rằng Cede thường là chủ sở hữu được ghi danh lớn nhất trên sổ cổ đông của hầu hết các công ty Delaware đại chúng. Theo luật Delaware, chỉ những cổ đông xuất hiện trên sổ cổ đông mới có quyền biểu quyết tại một cuộc họp hoặc bày tỏ sự chấp thuận.</w:t>
      </w:r>
    </w:p>
    <w:p>
      <w:pPr>
        <w:spacing w:after="80"/>
      </w:pPr>
      <w:r>
        <w:rPr>
          <w:b w:val="0"/>
          <w:i w:val="0"/>
        </w:rPr>
        <w:t>Giấy ủy quyền omnibus của DTC hiện đóng vai trò là cơ chế để hệ thống lưu ký sở hữu gián tiếp thông qua DTC do liên bang quy định phù hợp với hệ thống sở hữu trực tiếp của Delaware được chứng minh qua sổ cổ đông. Giấy ủy quyền omnibus của DTC hoạt động để đảm bảo việc chuyển giao quyền biểu quyết của DTC cho các thành viên tham gia. Như một chuyên luận giải thích: "Vì DTC không có lợi ích hưởng lợi trong cổ phần của mình. . ., nên nó đã tạo ra một cơ chế để chuyển tiếp quyền biểu quyết của mình. Cơ chế này, được gọi là 'giấy ủy quyền omnibus', quy định việc chuyển giao quyền biểu quyết của DTC cho khách hàng của mình—các ngân hàng và nhà môi giới thành viên tham gia."</w:t>
      </w:r>
    </w:p>
    <w:p>
      <w:pPr>
        <w:spacing w:after="80"/>
      </w:pPr>
      <w:r>
        <w:rPr>
          <w:b w:val="0"/>
          <w:i w:val="0"/>
        </w:rPr>
        <w:t>Hồ sơ cho thấy DTC phát hành giấy ủy quyền omnibus như một lẽ đương nhiên trong các tương tác giữa tổ chức phát hành và DTC được luật chứng khoán liên bang bắt buộc. Khi chuẩn bị cho một cuộc họp cổ đông hoặc một thư xin chấp thuận, các tổ chức phát hành được luật liên bang yêu cầu phải thông qua DTC để xác định các ngân hàng và nhà môi giới thành viên tham gia cho mục đích phân phối thẻ biểu quyết và tài liệu vận động. Một tổ chức phát hành thường bắt đầu quy trình bằng cách yêu cầu bảng phân tách Cede để có thể gửi đi các thẻ tìm kiếm nhà môi giới (broker search cards). Khi toàn bộ quy trình hoàn tất, tổ chức phát hành cung cấp cho mỗi ngân hàng và nhà môi giới đủ số bản sao của bản tuyên bố ủy quyền, thẻ và các tài liệu khác để phân phối cho các chủ sở hữu hưởng lợi.</w:t>
      </w:r>
    </w:p>
    <w:p>
      <w:pPr>
        <w:spacing w:after="80"/>
      </w:pPr>
      <w:r>
        <w:rPr>
          <w:b w:val="0"/>
          <w:i w:val="0"/>
        </w:rPr>
        <w:t>Tòa án Chancery thừa nhận rằng theo mục 219(c), chính "sổ cổ đông" mới xác định ai là chủ sở hữu được ghi danh. Tuy nhiên, Tòa kết luận rằng bảng phân tách Cede nên được coi là "một phần của sổ cổ đông cho mục đích của Mục 219(c), cũng như bảng phân tách Cede từ lâu đã là một phần của sổ cổ đông cho mục đích của Mục 220(b)." Tòa án Chancery thừa nhận rằng cách giải thích mới của mình "đại diện cho một sự thay đổi trong cách các chuyên gia hành nghề Delaware hiểu về sổ cổ đông cho mục đích biểu quyết. . . ." Trên thực tế, dựa trên các tiền lệ trước đây của Delaware, Tòa án Chancery thừa nhận rằng quan điểm ban đầu của chính mình là việc thiếu giấy ủy quyền omnibus của DTC sẽ là yếu tố quyết định.</w:t>
      </w:r>
    </w:p>
    <w:p>
      <w:pPr>
        <w:spacing w:after="80"/>
      </w:pPr>
      <w:r>
        <w:rPr>
          <w:b w:val="0"/>
          <w:i w:val="0"/>
        </w:rPr>
        <w:t>Tòa án Chancery lưu ý rằng hệ thống DTC thường hoạt động tốt. Hồ sơ cho thấy giấy ủy quyền omnibus của DTC được lấy một cách thường lệ và chỉ trở thành một mục khác trong danh sách kiểm tra chuẩn bị. Trong vụ án này, việc thiếu giấy ủy quyền omnibus của DTC không phải do sự cố trong hệ thống DTC. Thất bại trong vụ án này là do sự sơ suất của con người ở phía ai đó [nguyên văn] khi không đưa ra yêu cầu đúng đắn và kịp thời. Tòa án Chancery kết luận rằng việc khăng khăng đòi giấy ủy quyền omnibus của DTC sẽ tước quyền biểu quyết của các chủ sở hữu hưởng lợi. Để tránh kết quả đó, Tòa quyết định rằng luật Delaware sẽ được hưởng lợi "từ việc coi bảng phân tách Cede là một phần của sổ cổ đông cho mục đích của Mục 219(c)."</w:t>
      </w:r>
    </w:p>
    <w:p>
      <w:pPr>
        <w:spacing w:after="80"/>
      </w:pPr>
      <w:r>
        <w:rPr>
          <w:b w:val="0"/>
          <w:i w:val="0"/>
        </w:rPr>
        <w:t>Các bên đã lập luận và tranh luận rộng rãi cả hai phía của vấn đề liệu bảng phân tách Cede có (hay không) là một phần của "sổ cổ đông" cho mục đích của mục 219. Với phán quyết của chúng tôi vô hiệu hóa các phiếu biểu quyết quy cho cổ phần Boutros, Tòa án này không cần thiết phải quyết định vấn đề đó, bởi vì quyết định theo hướng nào cũng sẽ không thay đổi kết quả mà chúng tôi đã đạt được, và việc giải thích luật một cách không cần thiết để giải quyết vấn đề khó khăn này cũng sẽ không khôn ngoan. Những thất bại của con người xảy ra trong vụ án này có thể dễ dàng tránh được trong tương lai và có thể là một dị thường chỉ xảy ra một lần mà có thể sẽ không tái diễn.</w:t>
      </w:r>
    </w:p>
    <w:p>
      <w:pPr>
        <w:spacing w:after="80"/>
      </w:pPr>
      <w:r>
        <w:rPr>
          <w:b w:val="0"/>
          <w:i w:val="0"/>
        </w:rPr>
        <w:t xml:space="preserve">Hơn nữa, và trong mọi trường hợp, một biện pháp khắc phục bằng lập pháp sẽ thích hợp hơn. DGCL là một khuôn khổ luật lệ toàn diện và được xây dựng cẩn thận, được Đại hội đồng xem xét định kỳ. Thật vậy, Đại hội đồng đã thực hiện các sửa đổi phối hợp đối với mục 219 và mục 220 vào năm 2003. Bất kỳ điều chỉnh nào đối với khuôn khổ phức tạp mà mục 219 chỉ là một phần trong đó đều nên được Đại hội đồng thực hiện thông qua một quy trình sửa đổi phối hợp. Do đó, cách giải thích của Tòa án Chancery về sổ cổ đông trong mục 219 là </w:t>
      </w:r>
      <w:r>
        <w:rPr>
          <w:b w:val="0"/>
          <w:i/>
        </w:rPr>
        <w:t>obiter dictum</w:t>
      </w:r>
      <w:r>
        <w:rPr>
          <w:b w:val="0"/>
          <w:i w:val="0"/>
        </w:rPr>
        <w:t xml:space="preserve"> và không có hiệu lực tiền lệ.</w:t>
      </w:r>
    </w:p>
    <w:p>
      <w:pPr>
        <w:pStyle w:val="Heading5"/>
      </w:pPr>
      <w:r>
        <w:rPr>
          <w:rFonts w:ascii="Calibri" w:hAnsi="Calibri"/>
          <w:b/>
          <w:i/>
          <w:sz w:val="22"/>
        </w:rPr>
        <w:t>Bình luận và Câu hỏi</w:t>
      </w:r>
    </w:p>
    <w:p>
      <w:pPr>
        <w:spacing w:after="80"/>
      </w:pPr>
      <w:r>
        <w:rPr>
          <w:b w:val="0"/>
          <w:i w:val="0"/>
        </w:rPr>
        <w:t>1. Vụ án trình bày hệ thống biểu quyết của các chủ sở hữu dưới tên phố. Nó hoạt động như thế nào? Có bao nhiêu tầng lớp tồn tại trong hệ thống? Liệu công ty có thực sự biết danh tính của các chủ sở hữu dưới tên phố của mình không?</w:t>
      </w:r>
    </w:p>
    <w:p>
      <w:pPr>
        <w:spacing w:after="80"/>
      </w:pPr>
      <w:r>
        <w:rPr>
          <w:b w:val="0"/>
          <w:i w:val="0"/>
        </w:rPr>
        <w:t>2. Vai trò của omnibus proxy (giấy ủy quyền tổng hợp) là gì? Vì Cede có quyền biểu quyết theo luật bang, tại sao nó lại trao quyền đó cho các broker và ngân hàng? Xét ở góc độ Cede không có lợi ích kinh tế nào đối với cổ phần, thì liệu có thể nói điều tương tự về các broker và ngân hàng - những bên ký gửi cổ phần vào Cede - hay không?</w:t>
      </w:r>
    </w:p>
    <w:p>
      <w:pPr>
        <w:spacing w:after="80"/>
      </w:pPr>
      <w:r>
        <w:rPr>
          <w:b w:val="0"/>
          <w:i w:val="0"/>
        </w:rPr>
        <w:t xml:space="preserve">3. Các broker và ngân hàng phải chuyển tiếp tài liệu ủy quyền cho các chủ sở hữu tài khoản street name (tài khoản đứng tên công ty chứng khoán). Hệ thống chuyển tiếp này không miễn phí. Các công ty phải hoàn trả chi phí cho các trung gian liên quan đến quá trình này. </w:t>
      </w:r>
      <w:r>
        <w:rPr>
          <w:b w:val="0"/>
          <w:i/>
        </w:rPr>
        <w:t>Xem</w:t>
      </w:r>
      <w:r>
        <w:rPr>
          <w:b w:val="0"/>
          <w:i w:val="0"/>
        </w:rPr>
        <w:t xml:space="preserve"> NYSE Rule 451 (yêu cầu các thành viên phải chuyển tiếp tài liệu miễn là họ nhận được “sự đảm bảo thỏa đáng” về việc thanh toán chi phí). Do đó, điều này có thể làm tăng đáng kể chi phí cho quá trình phân phối ủy quyền.</w:t>
      </w:r>
    </w:p>
    <w:p>
      <w:pPr>
        <w:spacing w:after="80"/>
      </w:pPr>
      <w:r>
        <w:rPr>
          <w:b w:val="0"/>
          <w:i w:val="0"/>
        </w:rPr>
        <w:t>4. Các broker và ngân hàng phải gửi cho chủ sở hữu tài khoản street name hoặc một thẻ ủy quyền (proxy card) hoặc hướng dẫn biểu quyết (voting instructions). Điều này tạo ra sự khác biệt gì? Tại sao các trung gian như broker lại ưu tiên cách này hơn cách kia? Hậu quả sẽ ra sao nếu phân phối cho chủ sở hữu tài khoản street name một thẻ ủy quyền thay vì hướng dẫn biểu quyết?</w:t>
      </w:r>
    </w:p>
    <w:p>
      <w:pPr>
        <w:spacing w:after="80"/>
      </w:pPr>
      <w:r>
        <w:rPr>
          <w:b w:val="0"/>
          <w:i w:val="0"/>
        </w:rPr>
        <w:t xml:space="preserve">5. Broadridge đóng vai trò gì trong quá trình này? Hầu hết các broker và ngân hàng đều thuê ngoài quá trình phân phối ủy quyền cho Broadridge. </w:t>
      </w:r>
      <w:r>
        <w:rPr>
          <w:b w:val="0"/>
          <w:i/>
        </w:rPr>
        <w:t>Xem</w:t>
      </w:r>
      <w:r>
        <w:rPr>
          <w:b w:val="0"/>
          <w:i w:val="0"/>
        </w:rPr>
        <w:t xml:space="preserve"> Concept Release on the U.S. Proxy System, Exchange Act Release No. 62495 n. 57 (ngày 14 tháng 7 năm 2010) (lưu ý rằng đối với việc phân phối tài liệu ủy quyền và thu thập hướng dẫn biểu quyết, Broadridge “hiện đang xử lý hơn 98% thị trường Mỹ cho các dịch vụ xử lý phiếu biểu quyết ủy quyền như vậy.”). Bạn nghĩ tại sao lại như vậy? Việc phụ thuộc vào Broadridge làm tăng thêm độ phức tạp gì cho quá trình biểu quyết?</w:t>
      </w:r>
    </w:p>
    <w:p>
      <w:pPr>
        <w:spacing w:after="80"/>
      </w:pPr>
      <w:r>
        <w:rPr>
          <w:b w:val="0"/>
          <w:i w:val="0"/>
        </w:rPr>
        <w:t>6. Ai mới là người có thẩm quyền chỉ định trung gian - broker hay tổ chức phát hành? Điều đó sẽ tạo ra sự khác biệt gì?</w:t>
      </w:r>
    </w:p>
    <w:p>
      <w:pPr>
        <w:spacing w:after="80"/>
      </w:pPr>
      <w:r>
        <w:rPr>
          <w:b w:val="0"/>
          <w:i w:val="0"/>
        </w:rPr>
        <w:t xml:space="preserve">7. Các tổ chức phát hành giao tiếp với chủ tài khoản street name mà không biết danh tính của họ. Theo Shareholder Communication Rules (Quy tắc Truyền thông với Cổ đông), các công ty có thể có được danh sách những chủ sở hữu tài khoản street name không phản đối việc tiết lộ danh tính của họ (non-objecting beneficial owners, hay NOBOs). Có vô số vấn đề với các quy tắc này, trong đó không nhỏ là việc một số lượng lớn chủ sở hữu tài khoản street name thường xuyên phản đối việc tiết lộ. Hầu hết tự đăng ký là NOBO. </w:t>
      </w:r>
      <w:r>
        <w:rPr>
          <w:b w:val="0"/>
          <w:i/>
        </w:rPr>
        <w:t>Xem Roundtable Discussion on Proxy Voting, Securities and Exchange Commission</w:t>
      </w:r>
      <w:r>
        <w:rPr>
          <w:b w:val="0"/>
          <w:i w:val="0"/>
        </w:rPr>
        <w:t xml:space="preserve"> , Thứ Năm, ngày 24 tháng 5 năm 2007 (Phát biểu của Cathy Kinney, Chủ tịch kiêm COO của NYSE Euronext). Đã xuất hiện những lời kêu gọi cải cách. Hệ thống này có thể được cải cách như thế nào? Một số phản đối có thể có là gì?</w:t>
      </w:r>
    </w:p>
    <w:p>
      <w:pPr>
        <w:spacing w:after="80"/>
      </w:pPr>
      <w:r>
        <w:rPr>
          <w:b w:val="0"/>
          <w:i w:val="0"/>
        </w:rPr>
        <w:t>8. Hệ thống này cũng có những tác động theo luật bang. Trong một số trường hợp, các quyền theo luật bang thuộc về lợi ích của chủ sở hữu trên sổ đăng ký (record owner). Ví dụ, quyền thẩm định giá (appraisal rights) áp dụng cho chủ sở hữu trên sổ đăng ký là người “nắm giữ liên tục số cổ phần đó cho đến ngày hiệu lực của việc sáp nhập”. DGCL 262(a). Điều gì xảy ra nếu cổ đông có cổ phần trong tài khoản street name và, trước ngày hiệu lực, cổ phần được chuyển sang một công ty lưu ký khác? Liệu chủ sở hữu tài khoản street name có mất quyền thẩm định giá của mình không? Câu trả lời, ít nhất theo một tòa án, có thể được tìm thấy trong In re Appraisal of Dell Inc., CA no. 9322-VCL (Del. Ch. ngày 30 tháng 7 năm 2015).</w:t>
      </w:r>
    </w:p>
    <w:p>
      <w:pPr>
        <w:spacing w:after="80"/>
      </w:pPr>
      <w:r>
        <w:rPr>
          <w:b w:val="0"/>
          <w:i w:val="0"/>
        </w:rPr>
        <w:t>—————</w:t>
      </w:r>
    </w:p>
    <w:p>
      <w:pPr>
        <w:spacing w:after="80"/>
      </w:pPr>
      <w:r>
        <w:rPr>
          <w:b w:val="0"/>
          <w:i w:val="0"/>
        </w:rPr>
        <w:t xml:space="preserve">Các chủ sở hữu tài khoản street name nhận tài liệu ủy quyền và hướng dẫn biểu quyết từ broker nơi họ có tài khoản. Đến lượt mình, hướng dẫn biểu quyết phải được gửi trả lại cho broker, được kiểm đếm, rồi gửi đến công ty. Theo một số người, điều này đã dẫn đến một “cơn ác mộng về việc xác minh.” </w:t>
      </w:r>
      <w:r>
        <w:rPr>
          <w:b w:val="0"/>
          <w:i/>
        </w:rPr>
        <w:t>Xem</w:t>
      </w:r>
      <w:r>
        <w:rPr>
          <w:b w:val="0"/>
          <w:i w:val="0"/>
        </w:rPr>
        <w:t xml:space="preserve"> Marcel Kahan &amp; Edward Rock, </w:t>
      </w:r>
      <w:r>
        <w:rPr>
          <w:b w:val="0"/>
          <w:i/>
        </w:rPr>
        <w:t>The Hanging Chads of Corporate Voting</w:t>
      </w:r>
      <w:r>
        <w:rPr>
          <w:b w:val="0"/>
          <w:i w:val="0"/>
        </w:rPr>
        <w:t xml:space="preserve"> , 96 Geo. L.J. 1227, 1255 (2008).</w:t>
      </w:r>
    </w:p>
    <w:p>
      <w:pPr>
        <w:pStyle w:val="Heading4"/>
      </w:pPr>
      <w:r>
        <w:rPr>
          <w:rFonts w:ascii="Calibri" w:hAnsi="Calibri"/>
          <w:b/>
          <w:i w:val="0"/>
          <w:sz w:val="23"/>
        </w:rPr>
        <w:t>Concept Release on the U.S. Proxy System</w:t>
      </w:r>
    </w:p>
    <w:p>
      <w:pPr>
        <w:spacing w:after="80"/>
      </w:pPr>
      <w:r>
        <w:rPr>
          <w:b w:val="0"/>
          <w:i w:val="0"/>
        </w:rPr>
        <w:t>Exchange Act Release No. 62495 (ngày 14 tháng 7 năm 2010)</w:t>
      </w:r>
    </w:p>
    <w:p>
      <w:pPr>
        <w:spacing w:after="80"/>
      </w:pPr>
      <w:r>
        <w:rPr>
          <w:b w:val="0"/>
          <w:i w:val="0"/>
        </w:rPr>
        <w:t>. . . [C]ác chủ sở hữu hưởng lợi (beneficial owners) bỏ phiếu thông qua một trung gian chứng khoán, đến lượt nó sử dụng một nhà cung cấp dịch vụ ủy quyền để thu thập và gửi phiếu đến bên kiểm đếm phiếu. Các chủ sở hữu hưởng lợi, đặc biệt là các nhà đầu tư tổ chức, thường muốn hoặc cần xác nhận rằng phiếu của họ đã được bên kiểm đếm phiếu nhận kịp thời và ghi nhận chính xác. Tương tự, các trung gian chứng khoán muốn có thể xác nhận với khách hàng của mình rằng phiếu của họ đã được nhận kịp thời và ghi nhận chính xác. Các tổ chức phát hành cũng muốn có thể xác nhận rằng phiếu mà họ nhận được từ các trung gian chứng khoán thay mặt cho chủ sở hữu hưởng lợi phản ánh đúng phiếu của những chủ sở hữu hưởng lợi đó. Chúng tôi hiểu rằng, đôi khi, đã có những sai sót xảy ra khi một bên thứ ba không nộp phiếu kịp thời thay mặt cho khách hàng của mình.</w:t>
      </w:r>
    </w:p>
    <w:p>
      <w:pPr>
        <w:spacing w:after="80"/>
      </w:pPr>
      <w:r>
        <w:rPr>
          <w:b w:val="0"/>
          <w:i w:val="0"/>
        </w:rPr>
        <w:t>Việc không thể xác nhận thông tin biểu quyết một phần là do không có bất kỳ một bên tham gia riêng lẻ nào trong quá trình biểu quyết—dù là tổ chức phát hành, đại lý chuyển nhượng, bên kiểm đếm phiếu, trung gian chứng khoán, hay nhà cung cấp dịch vụ ủy quyền bên thứ ba—nắm giữ tất cả thông tin cần thiết để xác nhận liệu phiếu của một chủ sở hữu hưởng lợi cụ thể đã được nhận kịp thời và ghi nhận chính xác hay chưa. Một số thành viên thị trường cho rằng một số nhà cung cấp dịch vụ ủy quyền, đại lý chuyển nhượng, hoặc bên kiểm đếm phiếu không sẵn lòng hoặc không có khả năng chia sẻ thông tin biểu quyết với nhau hoặc với nhà đầu tư và trung gian chứng khoán. Hiện tại không có yêu cầu pháp lý hay quy định nào buộc các thực thể này phải chia sẻ thông tin với nhau để cho phép xác nhận phiếu.</w:t>
      </w:r>
    </w:p>
    <w:p>
      <w:pPr>
        <w:spacing w:after="80"/>
      </w:pPr>
      <w:r>
        <w:rPr>
          <w:b w:val="0"/>
          <w:i w:val="0"/>
        </w:rPr>
        <w:t>Việc không thể xác nhận rằng phiếu đã được nhận kịp thời và ghi nhận chính xác tạo ra sự không chắc chắn về tính chính xác và tính toàn vẹn của phiếu được bỏ tại các cuộc họp cổ đông. Vào thời điểm mà các phiếu về những vấn đề được trình lên cổ đông ngày càng có ý nghĩa và hệ trọng đối với tất cả cổ đông, sự thiếu minh bạch này có thể làm suy giảm niềm tin vào hệ thống ủy quyền. Do không thể xác định được tính toàn vẹn của phiếu do các chủ sở hữu hưởng lợi bỏ, các nhà đầu tư đã nêu lên lo ngại rằng có thể khó đánh giá được tính chính xác của toàn bộ hệ thống ủy quyền hiện tại.</w:t>
      </w:r>
    </w:p>
    <w:p>
      <w:pPr>
        <w:pStyle w:val="Heading5"/>
      </w:pPr>
      <w:r>
        <w:rPr>
          <w:rFonts w:ascii="Calibri" w:hAnsi="Calibri"/>
          <w:b/>
          <w:i/>
          <w:sz w:val="22"/>
        </w:rPr>
        <w:t>Bình luận và Câu hỏi</w:t>
      </w:r>
    </w:p>
    <w:p>
      <w:pPr>
        <w:spacing w:after="80"/>
      </w:pPr>
      <w:r>
        <w:rPr>
          <w:b w:val="0"/>
          <w:i w:val="0"/>
        </w:rPr>
        <w:t xml:space="preserve">1. Hậu quả của cơn ác mộng này là gì? </w:t>
      </w:r>
      <w:r>
        <w:rPr>
          <w:b w:val="0"/>
          <w:i/>
        </w:rPr>
        <w:t>Xem</w:t>
      </w:r>
      <w:r>
        <w:rPr>
          <w:b w:val="0"/>
          <w:i w:val="0"/>
        </w:rPr>
        <w:t xml:space="preserve"> Marcel Kahan &amp; Edward Rock, </w:t>
      </w:r>
      <w:r>
        <w:rPr>
          <w:b w:val="0"/>
          <w:i/>
        </w:rPr>
        <w:t>The Hanging Chads of Corporate Voting</w:t>
      </w:r>
      <w:r>
        <w:rPr>
          <w:b w:val="0"/>
          <w:i w:val="0"/>
        </w:rPr>
        <w:t xml:space="preserve"> , 96 Geo. L.J. 1227, 1253 (2008) (“Cơn ác mộng về việc xác minh cho thấy rất có thể có những sai lệch—đôi khi đáng kể—giữa phiếu được bỏ và hướng dẫn biểu quyết do các chủ sở hữu hưởng lợi đưa ra.”).</w:t>
      </w:r>
    </w:p>
    <w:p>
      <w:pPr>
        <w:spacing w:after="80"/>
      </w:pPr>
      <w:r>
        <w:rPr>
          <w:b w:val="0"/>
          <w:i w:val="0"/>
        </w:rPr>
        <w:t>2. Việc không bỏ phiếu có thể ảnh hưởng đến quá trình phê duyệt theo luật tiểu bang như thế nào? Một số ví dụ về các yêu cầu phê duyệt mà trong đó không bỏ phiếu cũng giống như bỏ phiếu chống là gì? Điều này có áp dụng cho việc bầu chọn giám đốc không?</w:t>
      </w:r>
    </w:p>
    <w:p>
      <w:pPr>
        <w:spacing w:after="80"/>
      </w:pPr>
      <w:r>
        <w:rPr>
          <w:b w:val="0"/>
          <w:i w:val="0"/>
        </w:rPr>
        <w:t>3. Các quy tắc này có thể được thực thi không? Trong trường hợp tài liệu ủy quyền đến muộn (hoặc không đến), có biện pháp khắc phục hiệu quả nào không? Ví dụ, công ty hoặc bên nổi dậy sẽ biết bằng cách nào?</w:t>
      </w:r>
    </w:p>
    <w:p>
      <w:pPr>
        <w:spacing w:after="80"/>
      </w:pPr>
      <w:r>
        <w:rPr>
          <w:b w:val="0"/>
          <w:i w:val="0"/>
        </w:rPr>
        <w:t xml:space="preserve">4. Những vấn đề gì có thể phát sinh trong bối cảnh phân phối chỉ thị bỏ phiếu? Trong </w:t>
      </w:r>
      <w:r>
        <w:rPr>
          <w:b w:val="0"/>
          <w:i/>
        </w:rPr>
        <w:t>Larkin v. Baltimore Bancorp</w:t>
      </w:r>
      <w:r>
        <w:rPr>
          <w:b w:val="0"/>
          <w:i w:val="0"/>
        </w:rPr>
        <w:t xml:space="preserve"> , 769 F. Supp. 919 (D. Md. 1991), tòa án đã xử lý các chỉ thị bỏ phiếu khác với ngôn ngữ thực tế trên thẻ ủy quyền. Do sự mơ hồ của ngôn ngữ trong các chỉ thị bỏ phiếu, tòa án đã ra lệnh tổ chức một cuộc bầu cử mới.</w:t>
      </w:r>
    </w:p>
    <w:p>
      <w:pPr>
        <w:spacing w:after="80"/>
      </w:pPr>
      <w:r>
        <w:rPr>
          <w:b w:val="0"/>
          <w:i w:val="0"/>
        </w:rPr>
        <w:t>5. Đã có một số ví dụ được công bố rộng rãi về việc kiểm phiếu nhầm trong các cuộc bầu cử cổ đông. Năm 2008, CEO và người sáng lập Yahoo, Jerry Yang, đã trở thành mục tiêu trong một chiến dịch thu hồi phiếu. Các báo cáo ban đầu tiết lộ rằng 15% số cổ phần đã bị thu hồi. Cuối cùng, người ta báo cáo rằng thực tế 34% số cổ phần đã bị thu hồi. Sự khác biệt được giải thích là do "lỗi kiểm phiếu." Mặc dù sai sót này không ảnh hưởng đến kết quả của cuộc bầu cử, nhưng nó cho thấy sự phản đối lớn hơn đáng kể đối với CEO. Yang đã từ chức CEO vào cuối năm đó.</w:t>
      </w:r>
    </w:p>
    <w:p>
      <w:pPr>
        <w:pStyle w:val="Heading3"/>
      </w:pPr>
      <w:r>
        <w:rPr>
          <w:rFonts w:ascii="Calibri" w:hAnsi="Calibri"/>
          <w:b/>
          <w:i w:val="0"/>
          <w:sz w:val="26"/>
        </w:rPr>
        <w:t>B. Vấn đề bỏ phiếu vượt quá</w:t>
      </w:r>
    </w:p>
    <w:p>
      <w:pPr>
        <w:spacing w:after="80"/>
      </w:pPr>
      <w:r>
        <w:rPr>
          <w:b w:val="0"/>
          <w:i w:val="0"/>
        </w:rPr>
        <w:t>Còn tồn tại những phức tạp và vấn đề khác liên quan đến hệ thống bỏ phiếu cổ phần đứng tên công ty chứng khoán (street name shares). Một mối lo ngại nghiêm trọng liên quan đến vấn đề bỏ phiếu vượt quá (overvoting). Điều này xảy ra khi một công ty môi giới hoặc ngân hàng nộp thẻ ủy quyền cho thanh tra bầu cử với số cổ phần nhiều hơn số mà họ được phép bỏ phiếu. Một hậu quả có thể là toàn bộ giấy ủy quyền bị vô hiệu, khiến tất cả các chủ sở hữu cổ phần đứng tên công ty chứng khoán đã chỉ thị đúng cách cho cổ phần của họ bị tước quyền bỏ phiếu một cách hiệu quả.</w:t>
      </w:r>
    </w:p>
    <w:p>
      <w:pPr>
        <w:pStyle w:val="Heading4"/>
      </w:pPr>
      <w:r>
        <w:rPr>
          <w:rFonts w:ascii="Calibri" w:hAnsi="Calibri"/>
          <w:b/>
          <w:i w:val="0"/>
          <w:sz w:val="23"/>
        </w:rPr>
        <w:t>Seidman and Associates, L.L.C v. G.A. Financial, Inc.</w:t>
      </w:r>
    </w:p>
    <w:p>
      <w:pPr>
        <w:spacing w:after="80"/>
      </w:pPr>
      <w:r>
        <w:rPr>
          <w:b w:val="0"/>
          <w:i w:val="0"/>
        </w:rPr>
        <w:t>Tòa án Chancery Delaware</w:t>
      </w:r>
      <w:r>
        <w:br/>
      </w:r>
      <w:r>
        <w:rPr>
          <w:b w:val="0"/>
          <w:i w:val="0"/>
        </w:rPr>
        <w:t xml:space="preserve"> 837 A.2d 21 (2003)</w:t>
      </w:r>
    </w:p>
    <w:p>
      <w:pPr>
        <w:spacing w:after="80"/>
      </w:pPr>
      <w:r>
        <w:rPr>
          <w:b w:val="0"/>
          <w:i w:val="0"/>
        </w:rPr>
        <w:t>LAMB , PHÓ CHÁNH ÁN :</w:t>
      </w:r>
    </w:p>
    <w:p>
      <w:pPr>
        <w:spacing w:after="80"/>
      </w:pPr>
      <w:r>
        <w:rPr>
          <w:b w:val="0"/>
          <w:i w:val="0"/>
        </w:rPr>
        <w:t>Các nguyên đơn trong vụ án này đã tiến hành một cuộc tranh chấp ủy quyền nhằm hạ bệ chủ tịch hội đồng quản trị của một công ty Delaware đại chúng tại cuộc họp thường niên năm 2003. Kết quả cuộc bầu cử rất sát nút, nhưng thanh tra bầu cử độc lập ban đầu báo cáo rằng ứng viên của phe nổi dậy đã thua với hơn 190,000 phiếu. Để đi đến kết luận đó, thanh tra đã loại bỏ hai thẻ ủy quyền do một ngân hàng nộp, đại diện cho tổng cộng 232,376 cổ phần, sau khi kết luận rằng những thẻ ủy quyền đó thể hiện việc bỏ phiếu vượt quá vị thế của ngân hàng. Mặc dù 203,800 trong số cổ phần đó được bỏ phiếu ủng hộ phe nổi dậy, 29,400 được bỏ phiếu ủng hộ đương nhiệm. Do đó, việc loại trừ những thẻ đó không ảnh hưởng đến kết quả của cuộc bầu cử.</w:t>
      </w:r>
    </w:p>
    <w:p>
      <w:pPr>
        <w:spacing w:after="80"/>
      </w:pPr>
      <w:r>
        <w:rPr>
          <w:b w:val="0"/>
          <w:i w:val="0"/>
        </w:rPr>
        <w:t>Trong vụ kiện này, phe nổi dậy lập luận rằng thanh tra bầu cử đã xác định sai "việc bỏ phiếu vượt quá" đang được đề cập bằng cách loại trừ tất cả các cổ phần được bao gồm trong hai giấy ủy quyền "omnibus" khác do cùng một ngân hàng cấp cho hai ngân hàng khác đang nắm giữ cổ phần với tư cách người được ủy thác cho một số kế hoạch thù lao nhân viên do công ty tài trợ. Theo phe nổi dậy, thanh tra bầu cử lẽ ra phải xác định "việc bỏ phiếu vượt quá" bao gồm tất cả các giấy ủy quyền do ngân hàng thứ nhất cấp vì (theo họ) thanh tra không bao giờ có thể thu thập đủ thông tin đáng tin cậy để đưa ra phán đoán về tính hợp lệ của bất kỳ giấy ủy quyền nào. Do đó, phe nổi dậy lập luận về việc loại trừ tất cả 859,430 cổ phần được bỏ phiếu bởi ngân hàng thứ nhất hoặc theo thẩm quyền được chuyển giao trong các giấy ủy quyền omnibus của ngân hàng đó. Nếu tất cả những phiếu đó bị bỏ qua, ứng viên của phe nổi dậy sẽ giành được đa số phiếu bầu và sẽ được bầu.</w:t>
      </w:r>
    </w:p>
    <w:p>
      <w:pPr>
        <w:spacing w:after="80"/>
      </w:pPr>
      <w:r>
        <w:rPr>
          <w:b w:val="0"/>
          <w:i w:val="0"/>
        </w:rPr>
        <w:t>Các vấn đề được đặt ra là liệu thanh tra bầu cử có thực hiện đúng nhiệm vụ của mình khi xác định "việc bỏ phiếu vượt quá" theo cách loại bỏ một số nhưng không phải tất cả các thẻ ủy quyền do ngân hàng thứ nhất cấp hay không. Nếu câu trả lời cho câu hỏi đó là "không," thì tòa án phải xác định liệu bây giờ nó có thể ghi nhận các sự kiện được đưa ra trong quá trình khám phá chứng cứ trong vụ việc này để xác nhận các thẻ ủy quyền phản ánh phiếu bầu của những người tham gia nhân viên trong các kế hoạch do công ty tài trợ đó hay không, vì hồ sơ cho thấy những thẻ ủy quyền đó đã bỏ phiếu đúng số cổ phần.</w:t>
      </w:r>
    </w:p>
    <w:p>
      <w:pPr>
        <w:spacing w:after="80"/>
      </w:pPr>
      <w:r>
        <w:rPr>
          <w:b w:val="0"/>
          <w:i w:val="0"/>
        </w:rPr>
        <w:t>* * *</w:t>
      </w:r>
    </w:p>
    <w:p>
      <w:pPr>
        <w:spacing w:after="80"/>
      </w:pPr>
      <w:r>
        <w:rPr>
          <w:b w:val="0"/>
          <w:i w:val="0"/>
        </w:rPr>
        <w:t xml:space="preserve">Trước Cuộc họp Thường niên, GAF [một công ty Delaware] đã chỉ định Corporate Election Services, Inc. ("CES") làm thanh tra bầu cử cho Cuộc họp Thường niên. Trong thư từ trao đổi với GAF, CES đã mô tả, </w:t>
      </w:r>
      <w:r>
        <w:rPr>
          <w:b w:val="0"/>
          <w:i/>
        </w:rPr>
        <w:t>inter alia</w:t>
      </w:r>
      <w:r>
        <w:rPr>
          <w:b w:val="0"/>
          <w:i w:val="0"/>
        </w:rPr>
        <w:t xml:space="preserve"> , các thủ tục mà nó sẽ tuân theo trong trường hợp "bỏ phiếu vượt quá," như sau:</w:t>
      </w:r>
    </w:p>
    <w:p>
      <w:pPr>
        <w:spacing w:after="80"/>
      </w:pPr>
      <w:r>
        <w:rPr>
          <w:b w:val="0"/>
          <w:i w:val="0"/>
        </w:rPr>
        <w:t>Nếu xảy ra việc bỏ phiếu vượt quá, chúng tôi sẽ cố gắng giải quyết các trường hợp bỏ phiếu vượt quá. Nếu chúng tôi không thể liên lạc với ngân hàng hoặc công ty môi giới thích hợp, chúng tôi sẽ ghi chú đầy đủ về việc bỏ phiếu vượt quá và cách xử lý của chúng tôi. Trong tất cả các trường hợp mơ hồ hoặc chưa được giải quyết, chúng tôi sẽ tìm đến cả hai bên để có một giải pháp được đồng ý chung. Nếu không có giải pháp này, chúng tôi sẽ loại trừ việc bỏ phiếu vượt quá khỏi việc kiểm phiếu, nhưng ghi chú nó trong chứng nhận.</w:t>
      </w:r>
    </w:p>
    <w:p>
      <w:pPr>
        <w:spacing w:after="80"/>
      </w:pPr>
      <w:r>
        <w:rPr>
          <w:b w:val="0"/>
          <w:i w:val="0"/>
        </w:rPr>
        <w:t>Ngoài ra, GAF đã thuê Georgesen Shareholder Communications, Inc. và Ủy ban đã thuê D. F. King &amp; Co., Inc. để làm đại diện vận động ủy quyền tương ứng của họ.</w:t>
      </w:r>
    </w:p>
    <w:p>
      <w:pPr>
        <w:spacing w:after="80"/>
      </w:pPr>
      <w:r>
        <w:rPr>
          <w:b w:val="0"/>
          <w:i w:val="0"/>
        </w:rPr>
        <w:t>B. Phiếu bầu vượt quá (Overvote)</w:t>
      </w:r>
    </w:p>
    <w:p>
      <w:pPr>
        <w:spacing w:after="80"/>
      </w:pPr>
      <w:r>
        <w:rPr>
          <w:b w:val="0"/>
          <w:i w:val="0"/>
        </w:rPr>
        <w:t>Vào hoặc khoảng ngày 23 tháng 4 năm 2003, CES đã ban hành Bảng kiểm phiếu sơ bộ (Preliminary Tabulation) cho các phiếu bầu tại Cuộc họp thường niên, báo cáo kết quả bỏ phiếu đối với ghế hội đồng quản trị đang tranh chấp như sau: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Kish</w:t>
            </w:r>
          </w:p>
        </w:tc>
        <w:tc>
          <w:tcPr>
            <w:tcW w:type="dxa" w:w="4680"/>
          </w:tcPr>
          <w:p>
            <w:r/>
            <w:r>
              <w:rPr>
                <w:b w:val="0"/>
                <w:i w:val="0"/>
                <w:sz w:val="19"/>
              </w:rPr>
              <w:t>2.117.179 phiếu</w:t>
            </w:r>
          </w:p>
        </w:tc>
      </w:tr>
      <w:tr>
        <w:tc>
          <w:tcPr>
            <w:tcW w:type="dxa" w:w="4680"/>
          </w:tcPr>
          <w:p>
            <w:r/>
            <w:r>
              <w:rPr>
                <w:b w:val="0"/>
                <w:i w:val="0"/>
                <w:sz w:val="19"/>
              </w:rPr>
              <w:t>Seidman</w:t>
            </w:r>
          </w:p>
        </w:tc>
        <w:tc>
          <w:tcPr>
            <w:tcW w:type="dxa" w:w="4680"/>
          </w:tcPr>
          <w:p>
            <w:r/>
            <w:r>
              <w:rPr>
                <w:b w:val="0"/>
                <w:i w:val="0"/>
                <w:sz w:val="19"/>
              </w:rPr>
              <w:t>1.926.903 phiếu</w:t>
            </w:r>
          </w:p>
        </w:tc>
      </w:tr>
    </w:tbl>
    <w:p>
      <w:pPr>
        <w:spacing w:after="0"/>
      </w:pPr>
    </w:p>
    <w:p>
      <w:pPr>
        <w:spacing w:after="80"/>
      </w:pPr>
      <w:r>
        <w:rPr>
          <w:b w:val="0"/>
          <w:i w:val="0"/>
        </w:rPr>
        <w:t>Cùng với việc ban hành Bảng kiểm phiếu sơ bộ, CES đã ban hành một Báo cáo phiếu vượt quá (Overvote Report) tiết lộ sự sai lệch trong việc bỏ phiếu liên quan đến vị thế của The Bank of New York ("BONY"). Theo báo cáo đó, CES bước đầu xác định rằng hai giấy ủy quyền (proxy) do BONY trao cho Automated Data Processing ("ADP") (đơn vị đóng vai trò đại lý cho nhiều ngân hàng và công ty môi giới trong việc thu thập giấy ủy quyền), nhằm bỏ phiếu cho 233.376 cổ phần, đã bỏ phiếu vượt quá vị thế của BONY 824 cổ phần. Vì CES không thể giải quyết vấn đề phiếu vượt quá trong các trao đổi với ADP và BONY, nên đã vô hiệu hóa hai giấy ủy quyền đó.</w:t>
      </w:r>
    </w:p>
    <w:p>
      <w:pPr>
        <w:spacing w:after="80"/>
      </w:pPr>
      <w:r>
        <w:rPr>
          <w:b w:val="0"/>
          <w:i w:val="0"/>
        </w:rPr>
        <w:t>Khi ban hành Báo cáo phiếu vượt quá, CES đã biết những thông tin sau về nguồn gốc của phiếu vượt quá.</w:t>
      </w:r>
    </w:p>
    <w:p>
      <w:pPr>
        <w:spacing w:after="80"/>
        <w:ind w:left="360"/>
      </w:pPr>
      <w:r>
        <w:t xml:space="preserve">• </w:t>
      </w:r>
      <w:r>
        <w:rPr>
          <w:b w:val="0"/>
          <w:i w:val="0"/>
        </w:rPr>
        <w:t>Cede &amp; Co., tên người được chỉ định (nominee) của Depository Trust Company ("DTC"), là chủ sở hữu trên sổ sách của 4.422.673 cổ phần phổ thông GAF tính đến Ngày chốt danh sách (Record Date).</w:t>
      </w:r>
    </w:p>
    <w:p>
      <w:pPr>
        <w:spacing w:after="80"/>
        <w:ind w:left="360"/>
      </w:pPr>
      <w:r>
        <w:t xml:space="preserve">• </w:t>
      </w:r>
      <w:r>
        <w:rPr>
          <w:b w:val="0"/>
          <w:i w:val="0"/>
        </w:rPr>
        <w:t>Liên quan đến Cuộc họp thường niên, Cede đã ban hành một giấy ủy quyền "omnibus" (ủy quyền tổng hợp) ủng hộ BONY cho 859.647 cổ phần phổ thông GAF, phản ánh toàn bộ vị thế của BONY tại DTC vào Ngày chốt danh sách. Giấy ủy quyền này được ghi ngày tính đến Ngày chốt danh sách. Giấy ủy quyền "omnibus" này được lập nhằm mục đích trao cho BONY quyền biểu quyết đối với số cổ phần đó.</w:t>
      </w:r>
    </w:p>
    <w:p>
      <w:pPr>
        <w:spacing w:after="80"/>
        <w:ind w:left="360"/>
      </w:pPr>
      <w:r>
        <w:t xml:space="preserve">• </w:t>
      </w:r>
      <w:r>
        <w:rPr>
          <w:b w:val="0"/>
          <w:i w:val="0"/>
        </w:rPr>
        <w:t>BONY sau đó đã lập (và CES đã nhận được) thêm hai "giấy ủy quyền omnibus" nữa ủng hộ hai ngân hàng khác, First Bankers Trust Company và First Bank of Clayton (Missouri). Các giấy ủy quyền này lần lượt dành cho 625.771 cổ phần và 1.500 cổ phần, và cũng được ghi ngày tính đến Ngày chốt danh sách, mặc dù Hồ sơ đã thống nhất (Stipulated Record) mô tả chúng là được ban hành "trước khi các điểm bỏ phiếu đóng cửa."</w:t>
      </w:r>
    </w:p>
    <w:p>
      <w:pPr>
        <w:spacing w:after="80"/>
        <w:ind w:left="360"/>
      </w:pPr>
      <w:r>
        <w:t xml:space="preserve">• </w:t>
      </w:r>
      <w:r>
        <w:rPr>
          <w:b w:val="0"/>
          <w:i w:val="0"/>
        </w:rPr>
        <w:t>BONY cũng đã "bỏ phiếu" cho 233.200 cổ phần thông qua hai giấy ủy quyền nộp qua ADP, chia "phiếu" thành 203.800 cho Seidman và 29.400 cho Kish.</w:t>
      </w:r>
    </w:p>
    <w:p>
      <w:pPr>
        <w:spacing w:after="80"/>
        <w:ind w:left="360"/>
      </w:pPr>
      <w:r>
        <w:t xml:space="preserve">• </w:t>
      </w:r>
      <w:r>
        <w:rPr>
          <w:b w:val="0"/>
          <w:i w:val="0"/>
        </w:rPr>
        <w:t>CES nắm giữ hai giấy ủy quyền khác có liên quan đến vấn đề này. Thứ nhất là một giấy ủy quyền do First Bankers Trust đưa ra, chỉ bỏ phiếu cho 625.554 trong số cổ phần được bao gồm trong giấy ủy quyền omnibus mà BONY trao cho mình. Thứ hai là một giấy ủy quyền do First Bank of Clayton (Missouri) đưa ra, bỏ phiếu cho toàn bộ 1.500 cổ phần được bao gồm trong giấy ủy quyền omnibus mà BONY trao cho mình.</w:t>
      </w:r>
    </w:p>
    <w:p>
      <w:pPr>
        <w:spacing w:after="80"/>
      </w:pPr>
      <w:r>
        <w:rPr>
          <w:b w:val="0"/>
          <w:i w:val="0"/>
        </w:rPr>
        <w:t>Trước khi ban hành Báo cáo phiếu vượt quá, CES đã thực hiện một số biện pháp để giải quyết phiếu vượt quá. Vào ngày 23 tháng 4 năm 2003, CES đã liên hệ với nhân viên phụ trách giấy ủy quyền tại ADP và giải thích rằng có phiếu vượt quá. Nhân viên đó nói rằng anh ta sẽ liên hệ với BONY và phản hồi lại CES. Vào ngày 28 tháng 4 năm 2003, nhân viên phụ trách giấy ủy quyền tại ADP báo cáo rằng BONY không thể xác định được lý do hoặc các lý do dẫn đến phiếu vượt quá và đề nghị CES liên hệ trực tiếp với BONY. CES đã liên hệ với một đại diện của BONY cùng ngày hôm đó. Theo Hồ sơ đã thống nhất, đại diện của BONY "đã thừa nhận việc ban hành" hai giấy ủy quyền omnibus ủng hộ hai ngân hàng và báo cáo rằng "cô ấy đã kiểm tra hệ thống của mình, các phiếu bầu trông ổn, cô ấy không thấy phiếu vượt quá rõ ràng nào và sẽ phải nghiên cứu thêm vấn đề này." CES đã thông báo cho cô ấy rằng "một phiên xem xét và phản đối đã được lên lịch vào ngày 2 tháng 5 năm 2003 và cô ấy được yêu cầu liên hệ với CES nếu phát hiện bất cứ điều gì liên quan đến phiếu vượt quá." Đại diện BONY này đã không liên hệ lại với CES nữa.</w:t>
      </w:r>
    </w:p>
    <w:p>
      <w:pPr>
        <w:spacing w:after="80"/>
      </w:pPr>
      <w:r>
        <w:rPr>
          <w:b w:val="0"/>
          <w:i w:val="0"/>
        </w:rPr>
        <w:t>Trước phiên xem xét và phản đối ngày 2 tháng 5 năm 2003, CES vẫn giữ liên lạc với ADP và BONY nhưng không thể giải quyết được phiếu vượt quá. CES đã báo cáo những sự kiện này cho các bên. CES đã không liên hệ với First Bankers Trust (hoặc, có lẽ là, First Bank of Clayton) để xác định hoặc kiểm chứng số cổ phần trong vị thế của mình. Tại phiên phản đối ngày 2 tháng 5 năm 2003, dựa trên thông tin mà mình biết lúc đó, CES đã quyết định bao gồm 625.554 phiếu do First Bankers Trust bỏ qua ADP và 1.500 phiếu do First Bank of Clayton bỏ qua ADP, và xác định rằng First Bankers Trust đã bỏ phiếu ít hơn 217 cổ phần so với số cổ phần mà mình được ủy quyền bỏ phiếu theo Giấy ủy quyền omnibus 625.771 cổ phần của BONY. CES cũng quyết định loại bỏ 233.376 cổ phần do BONY bỏ phiếu trên hai thẻ ủy quyền mà BONY trao cho ADP, dựa trên quan điểm của mình rằng "phiếu vượt quá" chỉ nên giới hạn ở hai thẻ đó. D.F. King, với tư cách là đại diện của Seidman and Associates, đã kịp thời phản đối kết luận này, lập luận rằng "toàn bộ vị thế của BONY nên bị loại bỏ, rằng việc chọn lựa [trong số] các phiếu do BONY bỏ là không đúng, và việc 'tách riêng' một phần phiếu bầu, cho phép một số phiếu được giữ lại và loại bỏ những phiếu khác, là không đúng."</w:t>
      </w:r>
    </w:p>
    <w:p>
      <w:pPr>
        <w:spacing w:after="80"/>
      </w:pPr>
      <w:r>
        <w:rPr>
          <w:b w:val="0"/>
          <w:i w:val="0"/>
        </w:rPr>
        <w:t>* * *</w:t>
      </w:r>
    </w:p>
    <w:p>
      <w:pPr>
        <w:spacing w:after="80"/>
      </w:pPr>
      <w:r>
        <w:rPr>
          <w:b w:val="0"/>
          <w:i w:val="0"/>
        </w:rPr>
        <w:t>Ở Delaware, “[k]hả năng của một cổ đông trong việc tham gia quản trị công ty thông qua việc bầu chọn giám đốc là một phần cơ bản trong luật công ty của chúng ta.” Theo luật của chúng ta, “tồn tại một ‘chính sách chung chống lại việc tước quyền bầu cử.’” Đồng thời, luật Delaware thừa nhận nhu cầu về tính chắc chắn và tính cuối cùng trong các cuộc bầu cử công ty, nhằm tránh những giai đoạn hỗn loạn kéo dài. “Sự cần thiết phải kết thúc nhanh chóng các cuộc bầu cử công ty sao cho phù hợp với quyền bầu cử của cổ đông đã dẫn đến sự phát triển của những quy tắc thực tiễn và chắc chắn.”</w:t>
      </w:r>
    </w:p>
    <w:p>
      <w:pPr>
        <w:spacing w:after="80"/>
      </w:pPr>
      <w:r>
        <w:rPr>
          <w:b w:val="0"/>
          <w:i w:val="0"/>
        </w:rPr>
        <w:t>Luật Công ty Tổng hợp Delaware (Delaware General Corporation Law) trực tiếp đề cập đến tình huống có vẻ như bị bỏ phiếu vượt (overvote) bởi một ngân hàng, công ty môi giới hoặc người tương tự. Mục 231(d) rõ ràng cho phép người kiểm tra bầu cử (inspector of elections) xem xét vượt ra ngoài các giấy ủy quyền (proxy) và hồ sơ công ty để cố gắng giải quyết việc bỏ phiếu vượt đó:</w:t>
      </w:r>
    </w:p>
    <w:p>
      <w:pPr>
        <w:spacing w:after="80"/>
      </w:pPr>
      <w:r>
        <w:rPr>
          <w:b w:val="0"/>
          <w:i w:val="0"/>
        </w:rPr>
        <w:t xml:space="preserve">Khi xác định tính hợp lệ và kiểm đếm các giấy ủy quyền và lá phiếu, những người kiểm tra sẽ bị giới hạn trong việc xem xét các giấy ủy quyền, bất kỳ phong bì nào nộp kèm theo những giấy ủy quyền đó, bất kỳ thông tin nào được cung cấp theo § 211(e) hoặc § 212(c) (2) của tiêu đề này, hoặc bất kỳ thông tin nào được cung cấp theo § 211(a) (2) (B) (i) hoặc (iii) của tiêu đề này, các lá phiếu và sổ sách cùng hồ sơ thường xuyên của công ty, </w:t>
      </w:r>
      <w:r>
        <w:rPr>
          <w:b w:val="0"/>
          <w:i/>
        </w:rPr>
        <w:t>ngoại trừ việc những người kiểm tra có thể xem xét thông tin đáng tin cậy khác cho mục đích hạn chế là hòa giải các giấy ủy quyền và lá phiếu được nộp bởi hoặc thay mặt cho các ngân hàng, công ty môi giới, người được họ chỉ định hoặc những người tương tự, mà đại diện cho số phiếu nhiều hơn số phiếu mà người giữ giấy ủy quyền được chủ sở hữu trên sổ sách cho phép bỏ, hoặc nhiều hơn số phiếu mà cổ đông nắm giữ trên sổ sách.</w:t>
      </w:r>
    </w:p>
    <w:p>
      <w:pPr>
        <w:spacing w:after="80"/>
      </w:pPr>
      <w:r>
        <w:rPr>
          <w:b w:val="0"/>
          <w:i w:val="0"/>
        </w:rPr>
        <w:t>Mục 231, được thông qua vào năm 1990, đã hệ thống hóa quy tắc chung của thông luật (common law) giới hạn thông tin mà người kiểm tra được phép xem xét, nhưng đã tạo ra một ngoại lệ cho việc bỏ phiếu vượt của ngân hàng và công ty môi giới. Bản Tóm tắt Chính thức (Official Synopsis) giải thích những thay đổi đối với thông luật như sau:</w:t>
      </w:r>
    </w:p>
    <w:p>
      <w:pPr>
        <w:spacing w:after="80"/>
      </w:pPr>
      <w:r>
        <w:rPr>
          <w:b w:val="0"/>
          <w:i w:val="0"/>
        </w:rPr>
        <w:t xml:space="preserve">Tiểu mục (d) quy định thông tin mà những người kiểm tra có thể xem xét khi xác định tính hợp lệ và kiểm đếm các giấy ủy quyền và lá phiếu. Tiểu mục này nhằm hệ thống hóa thông luật đã tồn tại trước đó với hai ngoại lệ. </w:t>
      </w:r>
      <w:r>
        <w:rPr>
          <w:b w:val="0"/>
          <w:i/>
        </w:rPr>
        <w:t>Một thay đổi so với thông luật đã tồn tại trước đó là những người kiểm tra được phép xem xét “thông tin đáng tin cậy” khác ngoài các giấy ủy quyền, lá phiếu và sổ sách cùng hồ sơ của công ty, nhưng chỉ cho mục đích hạn chế là hòa giải các “phiếu vượt” của ngân hàng và công ty môi giới, tức là các giấy ủy quyền và lá phiếu đại diện cho số phiếu nhiều hơn số phiếu mà người giữ giấy ủy quyền được chủ sở hữu trên sổ sách cho phép bỏ, hoặc nhiều hơn số phiếu mà cổ đông nắm giữ trên sổ sách</w:t>
      </w:r>
      <w:r>
        <w:rPr>
          <w:b w:val="0"/>
          <w:i w:val="0"/>
        </w:rPr>
        <w:t xml:space="preserve"> . . . .</w:t>
      </w:r>
    </w:p>
    <w:p>
      <w:pPr>
        <w:spacing w:after="80"/>
      </w:pPr>
      <w:r>
        <w:rPr>
          <w:b w:val="0"/>
          <w:i w:val="0"/>
        </w:rPr>
        <w:t>* * *</w:t>
      </w:r>
    </w:p>
    <w:p>
      <w:pPr>
        <w:spacing w:after="80"/>
      </w:pPr>
      <w:r>
        <w:rPr>
          <w:b w:val="0"/>
          <w:i w:val="0"/>
        </w:rPr>
        <w:t>Câu hỏi đầu tiên được đặt ra trên hồ sơ trong vụ án này là liệu CES có cơ sở thực tế hợp lý để kết luận rằng các giấy ủy quyền của First Bankers Trust và First Bank of Clayton không phải là một phần của việc bỏ phiếu vượt hay không. Tòa án hài lòng rằng thông tin do BONY báo cáo cho CES đã cung cấp một cơ sở hợp lý cho quyết định của CES trong việc giới hạn vấn đề “bỏ phiếu vượt” vào 233,376 cổ phần mà BONY cố gắng bỏ phiếu. Bởi vì CES không thể có được thông tin đáng tin cậy để giải quyết việc bỏ phiếu vượt đó, nên nó đã loại trừ một cách hợp lý hai thẻ ủy quyền phản ánh những phiếu đó.</w:t>
      </w:r>
    </w:p>
    <w:p>
      <w:pPr>
        <w:spacing w:after="80"/>
      </w:pPr>
      <w:r>
        <w:rPr>
          <w:b w:val="0"/>
          <w:i w:val="0"/>
        </w:rPr>
        <w:t>CES đã hỏi BONY một cách cụ thể về cả hai giấy ủy quyền tổng hợp (omnibus proxy) mà BONY đưa ra để ủng hộ hai ngân hàng kia. Trong cả hai trường hợp, theo Hồ sơ Đã Thống nhất (Stipulated Record), BONY đã cụ thể “xác nhận việc phát hành” những giấy ủy quyền tổng hợp đó và báo cáo rằng, sau khi kiểm tra hệ thống của BONY, “các phiếu trông ổn.” Trong trường hợp giấy ủy quyền tổng hợp, đây là loại thông tin mà CES thường có thể được kỳ vọng coi là đáng tin cậy. Không giống như một thẻ ủy quyền nhằm mục đích “bỏ phiếu” cho cổ phần, một giấy ủy quyền tổng hợp chỉ đơn thuần tạo ra một hồ sơ giấy về việc chuyển giao quyền bỏ phiếu cho một ngân hàng hoặc công ty môi giới khác ở phía dưới trong chuỗi quyền sở hữu hoặc quyền sở hữu chứng khoán. Thông tin liên quan duy nhất là số cổ phần do ngân hàng hoặc công ty môi giới khác đó nắm giữ tính đến Ngày Ghi danh (Record Date). Thông tin đó lẽ ra phải dễ dàng có được bởi nhân viên ủy quyền của BONY từ việc xem xét hồ sơ nội bộ của BONY. Do đó, việc CES dựa vào thông tin từ BONY để xác minh tính chính xác của các giấy ủy quyền tổng hợp là hợp lý.</w:t>
      </w:r>
    </w:p>
    <w:p>
      <w:pPr>
        <w:spacing w:after="80"/>
      </w:pPr>
      <w:r>
        <w:rPr>
          <w:b w:val="0"/>
          <w:i w:val="0"/>
        </w:rPr>
        <w:t xml:space="preserve">Hơn nữa, không có hoàn cảnh nào khác hiện diện mà lẽ ra phải khiến CES hỏi thêm hoặc yêu cầu bằng chứng tài liệu. Cụ thể, việc First Bankers Trust dường như đã bỏ phiếu thiếu (undervote) so với vị thế của mình không gây ra lo ngại. Trong trường hợp các cuộc tranh chấp ủy quyền (proxy contest), các ngân hàng và công ty môi giới bị ngăn cấm bỏ phiếu cho các cổ phần mà họ nắm giữ thay mặt cho người khác mà không có chỉ thị rõ ràng. Do đó, việc một vị thế bị bỏ phiếu thiếu sẽ không được kỳ vọng là sẽ gióng lên hồi chuông cảnh báo trong tâm trí của một người kiểm tra bầu cử. Việc bỏ phiếu thiếu là phổ biến và có thể được dự đoán trước. Chúng thường được chấp nhận mà không cần bất kỳ sự hỏi han nào. Chỉ có việc bỏ phiếu vượt mới làm phát sinh các vấn đề kiểm đếm. Hơn nữa, CES có thể quan sát thấy rằng sự chênh lệch 217 cổ phần giữa số cổ phần được báo cáo trên giấy ủy quyền tổng hợp đưa ra để ủng hộ First Bankers Trust và số cổ phần được bỏ phiếu là </w:t>
      </w:r>
      <w:r>
        <w:rPr>
          <w:b w:val="0"/>
          <w:i/>
        </w:rPr>
        <w:t>607 cổ phần ít hơn tổng số phiếu vượt được quan sát.</w:t>
      </w:r>
      <w:r>
        <w:rPr>
          <w:b w:val="0"/>
          <w:i w:val="0"/>
        </w:rPr>
        <w:t xml:space="preserve"> Do đó, ngay cả khi CES có lý do để đặt câu hỏi về độ tin cậy của thông tin nhận được từ BONY, nó cũng sẽ không có lý do để kết luận rằng có bất cứ điều gì sai với thẻ ủy quyền 625,554 cổ phần hoặc thẻ ủy quyền 1,500 cổ phần được trao cho ADP bởi First Bankers Trust và First Bank of Clayton, tương ứng. Điều này hoàn toàn nhất quán với chính sách chung của luật Delaware ủng hộ việc trao quyền bầu cử.</w:t>
      </w:r>
    </w:p>
    <w:p>
      <w:pPr>
        <w:pStyle w:val="Heading5"/>
      </w:pPr>
      <w:r>
        <w:rPr>
          <w:rFonts w:ascii="Calibri" w:hAnsi="Calibri"/>
          <w:b/>
          <w:i/>
          <w:sz w:val="22"/>
        </w:rPr>
        <w:t>Bình luận và Câu hỏi</w:t>
      </w:r>
    </w:p>
    <w:p>
      <w:pPr>
        <w:spacing w:after="80"/>
      </w:pPr>
      <w:r>
        <w:rPr>
          <w:b w:val="0"/>
          <w:i w:val="0"/>
        </w:rPr>
        <w:t>1. Vụ án này gợi ý điều gì về quyền tùy nghi của những người kiểm phiếu khi đối mặt với các vấn đề như bỏ phiếu vượt? Ai thường bổ nhiệm những người kiểm phiếu?</w:t>
      </w:r>
    </w:p>
    <w:p>
      <w:pPr>
        <w:spacing w:after="80"/>
      </w:pPr>
      <w:r>
        <w:rPr>
          <w:b w:val="0"/>
          <w:i w:val="0"/>
        </w:rPr>
        <w:t>2. Việc bỏ phiếu vượt thậm chí xảy ra như thế nào? Thường thì vấn đề là do văn thư, một sai sót trong hệ thống lưu trữ hồ sơ của công ty môi giới. Vấn đề thường phát sinh liên quan đến thực tiễn cho vay cổ phần (share borrowing). Các công ty môi giới đôi khi sẽ “cho vay” cổ phần (giao dịch thực chất là một giao dịch bán) trong tài khoản của khách hàng để đổi lấy một khoản thanh toán. Đôi khi xảy ra trường hợp các công ty môi giới trao cho cả người cho vay và người đi vay quyền bỏ phiếu đối với cùng một số cổ phần, thực chất là đếm trùng số cổ phần. Trong những hoàn cảnh này, ai thực sự nên có quyền bỏ phiếu? Đối với những chủ sở hữu hưởng lợi (beneficial owners) phát hiện ra rằng họ không có quyền bỏ phiếu, Giáo sư Kahan và Rock đã gọi đây là “cú sốc cho vay chứng khoán” (securities lending surprise).</w:t>
      </w:r>
    </w:p>
    <w:p>
      <w:pPr>
        <w:spacing w:after="80"/>
      </w:pPr>
      <w:r>
        <w:rPr>
          <w:b w:val="0"/>
          <w:i w:val="0"/>
        </w:rPr>
        <w:t>3. Hệ thống cho vay cổ phần có thể bị thao túng không? Ví dụ, liệu ai đó có thể “vay” cổ phần vào ngày ghi danh rồi trả lại vào ngày hôm sau, nhưng vẫn ở vị thế có thể ảnh hưởng đến kết quả bỏ phiếu của các cổ đông không?</w:t>
      </w:r>
    </w:p>
    <w:p>
      <w:pPr>
        <w:spacing w:after="80"/>
      </w:pPr>
      <w:r>
        <w:rPr>
          <w:b w:val="0"/>
          <w:i w:val="0"/>
        </w:rPr>
        <w:t>4. Bạn nghĩ gì về việc cho vay cổ phần? Thực tiễn này có nên bị cấm hoặc bị điều chỉnh không? Các cổ đông cho vay có nên được thông báo về bất kỳ khoản cho vay nào không? Việc cho vay/đi vay cổ phần có thể ảnh hưởng đến kết quả của một cuộc tranh chấp ủy quyền như thế nào?</w:t>
      </w:r>
    </w:p>
    <w:p>
      <w:pPr>
        <w:spacing w:after="80"/>
      </w:pPr>
      <w:r>
        <w:rPr>
          <w:b w:val="0"/>
          <w:i w:val="0"/>
        </w:rPr>
        <w:t>5. Việc loại bỏ giấy ủy quyền liên quan có phải là cách duy nhất để xử lý vấn đề bỏ phiếu vượt không? Như Ủy ban Chứng khoán và Giao dịch (Securities and Exchange Commission) đã mô tả:</w:t>
      </w:r>
    </w:p>
    <w:p>
      <w:pPr>
        <w:spacing w:after="80"/>
      </w:pPr>
      <w:r>
        <w:rPr>
          <w:b w:val="0"/>
          <w:i w:val="0"/>
        </w:rPr>
        <w:t>một số người kiểm phiếu chấp nhận phiếu từ một thành viên tham gia DTC trên cơ sở “đến trước” cho đến tổng số lượng được chỉ ra trong hồ sơ của DTC—nghĩa là, một khi số phiếu do thành viên tham gia bỏ vượt quá số vị thế được chỉ ra trên bảng liệt kê vị thế chứng khoán, người kiểm phiếu sẽ từ chối chấp nhận bất kỳ phiếu nào được chuyển đến sau đó. Ngược lại, những người kiểm phiếu khác, theo chúng tôi hiểu, từ chối chấp nhận bất kỳ phiếu nào từ một trung gian chứng khoán nếu tổng số phiếu được nộp vượt quá hồ sơ của người kiểm phiếu đối với trung gian đó.</w:t>
      </w:r>
    </w:p>
    <w:p>
      <w:pPr>
        <w:spacing w:after="80"/>
      </w:pPr>
      <w:r>
        <w:rPr>
          <w:b w:val="0"/>
          <w:i w:val="0"/>
        </w:rPr>
        <w:t>Exchange Act Release No. 62495 (14 tháng 7, 2010). Tóm lại, một vấn đề là thiếu sự thống nhất trong việc giải quyết vấn đề. Trong các cách tiếp cận này, đâu là quy tắc mặc định phù hợp nhất?</w:t>
      </w:r>
    </w:p>
    <w:p>
      <w:pPr>
        <w:spacing w:after="80"/>
      </w:pPr>
      <w:r>
        <w:rPr>
          <w:b w:val="0"/>
          <w:i w:val="0"/>
        </w:rPr>
        <w:t xml:space="preserve">6. NYSE đã kêu gọi các nhà môi giới “tập trung vào việc ngăn chặn tình trạng bỏ phiếu vượt quá số cổ phần” </w:t>
      </w:r>
      <w:r>
        <w:rPr>
          <w:b w:val="0"/>
          <w:i/>
        </w:rPr>
        <w:t>xem</w:t>
      </w:r>
      <w:r>
        <w:rPr>
          <w:b w:val="0"/>
          <w:i w:val="0"/>
        </w:rPr>
        <w:t xml:space="preserve"> NYSE Information Memo 04-58, “Supervision of Proxy Activities and Over-voting” (5 tháng 11, 2004), và đã xử phạt các thành viên vì không bảo vệ đầy đủ chống lại tình trạng bỏ phiếu vượt quá số cổ phần. </w:t>
      </w:r>
      <w:r>
        <w:rPr>
          <w:b w:val="0"/>
          <w:i/>
        </w:rPr>
        <w:t>Xem In re Deutsche Bank Securities Inc.</w:t>
      </w:r>
      <w:r>
        <w:rPr>
          <w:b w:val="0"/>
          <w:i w:val="0"/>
        </w:rPr>
        <w:t xml:space="preserve"> , Ban Giám đốc, NYSE, ngày 2 tháng 2, 2006 (ghi nhận việc áp đặt khoản tiền phạt 1 triệu đô la đối với công ty thành viên và lưu ý rằng tình trạng bỏ phiếu vượt quá số cổ phần dao động từ 31 cổ phần đến 4.488.662 cổ phần). Trên thực tế, cáo buộc là các nhà môi giới đã không duy trì các chính sách và thủ tục đầy đủ để đảm bảo rằng tình trạng bỏ phiếu vượt quá số cổ phần không xảy ra. Liệu vấn đề có được giải quyết nếu các nhà môi giới có hệ thống lưu trữ hồ sơ tốt hơn để quyền sở hữu cổ phần luôn rõ ràng?</w:t>
      </w:r>
    </w:p>
    <w:p>
      <w:pPr>
        <w:pStyle w:val="Heading3"/>
      </w:pPr>
      <w:r>
        <w:rPr>
          <w:rFonts w:ascii="Calibri" w:hAnsi="Calibri"/>
          <w:b/>
          <w:i w:val="0"/>
          <w:sz w:val="26"/>
        </w:rPr>
        <w:t>C. Vấn đề về cổ phần không có chỉ thị</w:t>
      </w:r>
    </w:p>
    <w:p>
      <w:pPr>
        <w:spacing w:after="80"/>
      </w:pPr>
      <w:r>
        <w:rPr>
          <w:b w:val="0"/>
          <w:i w:val="0"/>
        </w:rPr>
        <w:t>Khi trao cho các chủ sở hữu tài khoản phố Wall (street name) cơ hội bỏ phiếu cho cổ phần của họ, không hiếm trường hợp họ không gửi lại chỉ thị cho nhà môi giới. Được coi là chủ sở hữu trên danh nghĩa theo luật tiểu bang (giả sử DTC thực hiện một giấy ủy quyền tổng hợp), các nhà môi giới có quyền bỏ phiếu cho các cổ phần không có chỉ thị. Bằng cách bỏ phiếu cho các cổ phần, các nhà môi giới đảm bảo rằng các cổ phần đó có mặt tại cuộc họp, tạo điều kiện thuận lợi, ví dụ, cho khả năng của công ty trong việc đạt được số đại biểu hợp lệ (quorum).</w:t>
      </w:r>
    </w:p>
    <w:p>
      <w:pPr>
        <w:spacing w:after="80"/>
      </w:pPr>
      <w:r>
        <w:rPr>
          <w:b w:val="0"/>
          <w:i w:val="0"/>
        </w:rPr>
        <w:t>Tuy nhiên, các quy tắc của NYSE áp đặt giới hạn đối với các quyền bỏ phiếu này. Các nhà môi giới không thể bỏ phiếu cho cổ phần về các vấn đề được coi là gây tranh cãi. Điều này bao gồm, trong số các vấn đề khác, những vấn đề thuộc diện tranh chấp và “việc cho phép sáp nhập, hợp nhất hoặc bất kỳ vấn đề nào có thể ảnh hưởng đáng kể đến các quyền và đặc quyền của cổ phần đó.” NYSE Rule 452.</w:t>
      </w:r>
    </w:p>
    <w:p>
      <w:pPr>
        <w:spacing w:after="80"/>
      </w:pPr>
      <w:r>
        <w:rPr>
          <w:b w:val="0"/>
          <w:i w:val="0"/>
        </w:rPr>
        <w:t>Rule 452 đã chứng tỏ là một điều khoản gây tranh cãi. Cho đến gần đây, nó cho phép các nhà môi giới bỏ phiếu cho các cổ phần này trong các cuộc bầu cử hội đồng quản trị không có tranh chấp. Trong một hệ thống bỏ phiếu đa số tương đối (plurality voting), điều này hầu như không quan trọng. Tuy nhiên, trong kỷ nguyên bỏ phiếu theo đa số tuyệt đối (majority voting), phiếu của nhà môi giới có thể mang tính quyết định kết quả. Do đó, áp lực gia tăng đòi thay đổi Rule 452 để cấm các nhà môi giới bỏ phiếu cho cổ phần không có chỉ thị trong tất cả các cuộc bầu cử hội đồng quản trị, dù có tranh chấp hay không có tranh chấp.</w:t>
      </w:r>
    </w:p>
    <w:p>
      <w:pPr>
        <w:pStyle w:val="Heading4"/>
      </w:pPr>
      <w:r>
        <w:rPr>
          <w:rFonts w:ascii="Calibri" w:hAnsi="Calibri"/>
          <w:b/>
          <w:i w:val="0"/>
          <w:sz w:val="23"/>
        </w:rPr>
        <w:t>Exchange Act Release No. 60215</w:t>
      </w:r>
    </w:p>
    <w:p>
      <w:pPr>
        <w:spacing w:after="80"/>
      </w:pPr>
      <w:r>
        <w:rPr>
          <w:b w:val="0"/>
          <w:i w:val="0"/>
        </w:rPr>
        <w:t>(1 tháng 7, 2009)</w:t>
      </w:r>
    </w:p>
    <w:p>
      <w:pPr>
        <w:spacing w:after="80"/>
      </w:pPr>
      <w:r>
        <w:rPr>
          <w:b w:val="0"/>
          <w:i w:val="0"/>
        </w:rPr>
        <w:t>Quy tắc bỏ phiếu theo quyền tùy ý của NYSE có từ năm 1937. Trước đây, phần lớn cổ đông nắm giữ cổ phần của họ trực tiếp với tư cách chủ sở hữu trên danh nghĩa. Ví dụ, vào năm 1976, cổ đông nắm giữ khoảng 71% chứng khoán trên danh nghĩa (đứng tên chính họ), trong khi chỉ khoảng 29% chứng khoán được nắm giữ bởi các trung gian chứng khoán dưới tên phố Wall. Tuy nhiên, số lượng chủ sở hữu hưởng lợi nắm giữ chứng khoán dưới tên phố Wall đã tăng đáng kể kể từ năm 1976, dẫn đến kết quả là các trung gian chứng khoán, thay mặt cho các chủ sở hữu hưởng lợi, hiện nắm giữ phần lớn đáng kể chứng khoán giao dịch trên sàn. . . .</w:t>
      </w:r>
    </w:p>
    <w:p>
      <w:pPr>
        <w:spacing w:after="80"/>
      </w:pPr>
      <w:r>
        <w:rPr>
          <w:b w:val="0"/>
          <w:i w:val="0"/>
        </w:rPr>
        <w:t>Theo Rule 451, khi một công ty đại chúng cung cấp tài liệu ủy quyền cho các cổ đông trên danh nghĩa của mình, các trung gian chứng khoán nắm giữ chứng khoán dưới tên phố Wall phải gửi tài liệu ủy quyền đến các cổ đông hưởng lợi trong một khung thời gian nhất định và yêu cầu chỉ thị bỏ phiếu từ các cổ đông hưởng lợi. Nếu các cổ đông hưởng lợi gửi lại chỉ thị bỏ phiếu, các trung gian chứng khoán bỏ phiếu cho cổ phần của họ tương ứng. Tuy nhiên, nếu các cổ đông hưởng lợi không gửi lại chỉ thị bỏ phiếu, các trung gian chứng khoán có thể, trong một số tình huống nhất định, bỏ phiếu cho cổ phần của họ theo quyền tùy ý của trung gian. Cụ thể, nếu chỉ thị bỏ phiếu chưa được nhận trước ngày thứ mười trước ngày họp, theo NYSE Rule 452 hiện hành, các nhà môi giới có thể bỏ phiếu thay mặt cho các cổ đông hưởng lợi về một số vấn đề nhất định khi không có tranh chấp và mục đó không bao gồm việc cho phép sáp nhập, hợp nhất hoặc bất kỳ vấn đề nào có thể ảnh hưởng đáng kể đến các quyền hoặc đặc quyền của cổ phần. Quy tắc này cũng chứa mười tám mục cụ thể mà nhà môi giới nói chung không được bỏ phiếu nếu không có chỉ thị từ chủ sở hữu hưởng lợi. Các mục mà nhà môi giới có thể bỏ phiếu mà không cần chỉ thị được gọi là các vấn đề “thông thường” (routine). Trong số các vấn đề khác, việc bầu cử giám đốc “không có tranh chấp” được coi là vấn đề “thông thường” theo NYSE Rule 452 hiện hành, và do đó nhà môi giới có thể bỏ phiếu theo quyền tùy ý của mình nếu chủ sở hữu hưởng lợi chưa gửi lại chỉ thị bỏ phiếu trong khoảng thời gian yêu cầu.</w:t>
      </w:r>
    </w:p>
    <w:p>
      <w:pPr>
        <w:spacing w:after="80"/>
      </w:pPr>
      <w:r>
        <w:rPr>
          <w:b w:val="0"/>
          <w:i w:val="0"/>
        </w:rPr>
        <w:t>Với tỷ lệ lớn cổ phần hiện được nắm giữ dưới tên phố Wall, tác động của phiếu bầu của nhà môi giới đối với việc bầu cử giám đốc ngày càng trở nên đáng kể. Theo quan điểm của một số người bình luận, các nhà môi giới có xu hướng bỏ phiếu theo khuyến nghị của ban điều hành. Theo NYSE, trong những năm gần đây, cách giải thích của họ về “cuộc bầu cử có tranh chấp” đã bị nhiều người đặt câu hỏi, khi ngày càng nhiều chiến dịch vận động ủy quyền nhắm vào một cuộc tranh chấp chính thức. Các chiến dịch này nói chung không liên quan đến một danh sách giám đốc đối thủ hoặc một cuộc vận động đối kháng chính thức bị ban điều hành phản đối, và do đó, không được NYSE coi là “tranh chấp” theo NYSE Rule 452. Ví dụ về các chiến dịch này bao gồm các chiến dịch “chỉ bỏ phiếu không” (just vote no) hoặc “giữ lại phiếu” (withhold), trong đó một hoặc nhiều nhà đầu tư bày tỏ sự không hài lòng với hiệu quả hoạt động của công ty hoặc ban điều hành của công ty, và thúc giục cổ đông giữ lại phiếu bầu của họ đối với một hoặc nhiều ứng viên giám đốc của ban điều hành. NYSE coi các cuộc bầu cử giám đốc thuộc các chiến dịch này là đủ điều kiện cho việc bỏ phiếu tùy ý của nhà môi giới theo Rule 452 hiện hành. Những lo ngại đã được bày tỏ rằng, trong một số chiến dịch “chỉ bỏ phiếu không” hoặc “giữ lại phiếu” nhất định, phiếu bầu của nhà môi giới cho ban điều hành đã tạo nên sự khác biệt và cho phép các giám đốc thuộc các chiến dịch này được bầu, điều mà lẽ ra sẽ không xảy ra nếu không có quy tắc bỏ phiếu tùy ý của NYSE.</w:t>
      </w:r>
    </w:p>
    <w:p>
      <w:pPr>
        <w:spacing w:after="80"/>
      </w:pPr>
      <w:r>
        <w:rPr>
          <w:b w:val="0"/>
          <w:i w:val="0"/>
        </w:rPr>
        <w:t>* * *</w:t>
      </w:r>
    </w:p>
    <w:p>
      <w:pPr>
        <w:spacing w:after="80"/>
      </w:pPr>
      <w:r>
        <w:rPr>
          <w:b w:val="0"/>
          <w:i w:val="0"/>
        </w:rPr>
        <w:t>Ủy ban tin rằng việc NYSE xác định rằng bầu cử giám đốc không còn là một mục đủ điều kiện cho việc bỏ phiếu tùy ý của nhà môi giới là hợp lý và phù hợp với Đạo luật, đặc biệt là khi xét đến tỷ lệ lớn cổ phần hiện được nắm giữ dưới tên phố Wall, tầm quan trọng của quản trị công ty và trách nhiệm giải trình được thể hiện qua quá trình bầu cử, và lo ngại rằng phiếu bầu của nhà môi giới có thể làm sai lệch kết quả bầu cử. . . .</w:t>
      </w:r>
    </w:p>
    <w:p>
      <w:pPr>
        <w:spacing w:after="80"/>
      </w:pPr>
      <w:r>
        <w:rPr>
          <w:b w:val="0"/>
          <w:i w:val="0"/>
        </w:rPr>
        <w:t>* * *</w:t>
      </w:r>
    </w:p>
    <w:p>
      <w:pPr>
        <w:spacing w:after="80"/>
      </w:pPr>
      <w:r>
        <w:rPr>
          <w:b w:val="0"/>
          <w:i w:val="0"/>
        </w:rPr>
        <w:t>Ủy ban thừa nhận những lo ngại của người bình luận về khả năng thay đổi quy tắc được đề xuất có thể ảnh hưởng đến khả năng đạt được số đại biểu hợp lệ của một số công ty. Ví dụ, Nhóm Công tác về Ủy quyền (Proxy Working Group) thừa nhận rằng các tổ chức phát hành nhỏ hơn có thể phải chịu một số chi phí gia tăng trong việc đạt được số đại biểu hợp lệ do tỷ lệ cổ phần cao được nắm giữ bởi các nhà đầu tư bán lẻ. Tuy nhiên, như một số người bình luận đã lưu ý, các tổ chức phát hành có lượng lớn cổ đông tổ chức hoặc có một vấn đề thông thường khác trong tài liệu ủy quyền của họ, chẳng hạn như việc phê chuẩn kiểm toán viên độc lập, sẽ không phải đối mặt với những khó khăn bổ sung đáng kể trong việc đạt được số đại biểu hợp lệ. Ủy ban lưu ý rằng phần lớn các công ty không phải là công ty đầu tư đã đăng ký bao gồm việc phê chuẩn kiểm toán viên độc lập như một vấn đề để cổ đông phê duyệt, mặc dù việc phê duyệt như vậy không được pháp luật yêu cầu, để trên thực tế, các công ty này không nên gặp phải vấn đề số đại biểu hợp lệ như những người bình luận đã nêu. Những lo ngại về số đại biểu hợp lệ đối với các công ty khác, bao gồm các công ty nhỏ, có thể được giải quyết trong phạm vi các công ty này đưa vào lá phiếu của họ một mục có thể được coi là vấn đề thông thường. Ủy ban cũng lưu ý một báo cáo cho thấy rằng, nếu đề xuất của NYSE được thực hiện, hầu hết các công ty vẫn sẽ đạt được số đại biểu hợp lệ, mặc dù vào một ngày gần với cuộc họp thường niên của họ hơn so với trước đây. Tuy nhiên, về cơ bản hơn, mặc dù các tổ chức phát hành có thể phải chịu chi phí vận động ủy quyền gia tăng theo đề xuất của NYSE, Ủy ban đồng ý với NYSE và Nhóm Công tác về Ủy quyền rằng những chi phí này là chính đáng bởi, trong số các lý do khác, việc đảm bảo rằng việc bỏ phiếu về các vấn đề quan trọng như bầu cử giám đốc không còn có thể được quyết định bởi các nhà môi giới mà không có chỉ thị từ chủ sở hữu hưởng lợi, qua đó tăng cường quản trị công ty và trách nhiệm giải trình.</w:t>
      </w:r>
    </w:p>
    <w:p>
      <w:pPr>
        <w:spacing w:after="80"/>
      </w:pPr>
      <w:r>
        <w:rPr>
          <w:b w:val="0"/>
          <w:i w:val="0"/>
        </w:rPr>
        <w:t>* * *</w:t>
      </w:r>
    </w:p>
    <w:p>
      <w:pPr>
        <w:spacing w:after="80"/>
      </w:pPr>
      <w:r>
        <w:rPr>
          <w:b w:val="0"/>
          <w:i w:val="0"/>
        </w:rPr>
        <w:t>Về mối lo ngại rằng các khuyến nghị của công ty tư vấn ủy quyền (proxy advisory firm) có thể gia tăng ảnh hưởng đối với các cuộc bầu cử giám đốc, Ủy ban (Commission) lưu ý rằng các vấn đề liên quan đến việc các tổ chức và những chủ thể khác sử dụng dịch vụ tư vấn ủy quyền, và liệu việc sử dụng đó có nên được quản lý chặt chẽ hơn hay không, là vấn đề sẽ được Ủy ban xem xét khi Ủy ban nghiên cứu các vấn đề ủy quyền rộng hơn. Tuy nhiên, vấn đề đó không liên quan trực tiếp đến, và không cần phải được giải quyết để phê duyệt, đề xuất của NYSE. Mặc dù Ủy ban thừa nhận khả năng rằng, với việc loại bỏ lá phiếu của môi giới (broker vote), lá phiếu của các tổ chức hoặc những chủ thể khác sử dụng dịch vụ tư vấn ủy quyền có thể, ít nhất trong ngắn hạn, chiếm tỷ lệ phần trăm lớn hơn trong số phiếu được trả về trong các cuộc bầu cử giám đốc, Ủy ban tin rằng các mục tiêu của đề xuất NYSE, như đã mô tả ở trên, phù hợp với Mục 6(b)(5) của Đạo luật (Act) ở chỗ đề xuất này nên bảo vệ nhà đầu tư và lợi ích công chúng bằng cách cấm các môi giới bỏ phiếu thay mặt nhà đầu tư trong các cuộc bầu cử giám đốc không có cạnh tranh (uncontested election) khi họ không có lợi ích kinh tế trong công ty hoặc trong kết quả bầu cử. Ủy ban cũng lưu ý rằng các nhà đầu tư tổ chức, dù có dựa vào các công ty tư vấn ủy quyền hay không, đều phải bỏ phiếu cho chính số cổ phần của tổ chức mình và, khi làm như vậy, phải thực hiện nghĩa vụ ủy thác (fiduciary duty) của mình để hành động vì lợi ích tốt nhất của các nhà đầu tư của mình và tránh xung đột lợi ích; các tổ chức không được miễn trừ trách nhiệm ủy thác của mình chỉ đơn giản bằng cách làm theo các khuyến nghị của một cố vấn ủy quyền.</w:t>
      </w:r>
    </w:p>
    <w:p>
      <w:pPr>
        <w:spacing w:after="80"/>
      </w:pPr>
      <w:r>
        <w:rPr>
          <w:b w:val="0"/>
          <w:i w:val="0"/>
        </w:rPr>
        <w:t>* * *</w:t>
      </w:r>
    </w:p>
    <w:p>
      <w:pPr>
        <w:spacing w:after="80"/>
      </w:pPr>
      <w:r>
        <w:rPr>
          <w:b w:val="0"/>
          <w:i w:val="0"/>
        </w:rPr>
        <w:t>Một số người bình luận cho rằng các công ty áp dụng tiêu chuẩn bỏ phiếu đa số (majority vote standard) cho các cuộc bầu cử giám đốc có thể gặp khó khăn đặc biệt trong việc giành được sự ủng hộ đa số cho các ứng viên giám đốc nếu đề xuất của NYSE được phê duyệt. Cụ thể, những người bình luận lưu ý rằng việc loại bỏ quyền bỏ phiếu tùy ý của môi giới (broker discretionary voting), kết hợp với bỏ phiếu đa số, sẽ khiến các công ty này khó giành được đủ số phiếu để vượt qua một chiến dịch “bỏ phiếu không” (vote no) của các cổ đông hoạt động (activist shareholder), và do đó sẽ trao quyền một cách không cân xứng cho các nhóm cổ đông thiểu số. Hai người bình luận gợi ý rằng khó khăn trong việc giành được phiếu đa số khi không có quyền bỏ phiếu tùy ý của môi giới có thể khiến các tổ chức phát hành (issuer) không muốn áp dụng tiêu chuẩn bỏ phiếu đa số.</w:t>
      </w:r>
    </w:p>
    <w:p>
      <w:pPr>
        <w:spacing w:after="80"/>
      </w:pPr>
      <w:r>
        <w:rPr>
          <w:b w:val="0"/>
          <w:i w:val="0"/>
        </w:rPr>
        <w:t>Tuy nhiên, theo một phân tích do một người bình luận đệ trình, trong năm dương lịch 2007, các công ty niêm yết trên NYSE đã áp dụng tiêu chuẩn bỏ phiếu đa số cho việc bầu cử giám đốc. Phân tích các cuộc bầu cử của những công ty bỏ phiếu đa số đó, phân tích này phát hiện rằng chỉ có tám trong số 2,718 giám đốc nhận được ít nhất 50 phần trăm phiếu chống (withhold vote) dựa trên số phiếu thực tế từ các thẻ ủy quyền (proxy card) được cổ đông trả về, trong khi sáu giám đốc nhận được ít nhất 50 phần trăm phiếu chống khi tính cả phiếu của môi giới. Như vậy, theo người bình luận này, chỉ có thêm hai giám đốc trong số 2,718 giám đốc không đạt được đa số khi không có phiếu của môi giới.</w:t>
      </w:r>
    </w:p>
    <w:p>
      <w:pPr>
        <w:pStyle w:val="Heading5"/>
      </w:pPr>
      <w:r>
        <w:rPr>
          <w:rFonts w:ascii="Calibri" w:hAnsi="Calibri"/>
          <w:b/>
          <w:i/>
          <w:sz w:val="22"/>
        </w:rPr>
        <w:t>Bình luận và Câu hỏi</w:t>
      </w:r>
    </w:p>
    <w:p>
      <w:pPr>
        <w:spacing w:after="80"/>
      </w:pPr>
      <w:r>
        <w:rPr>
          <w:b w:val="0"/>
          <w:i w:val="0"/>
        </w:rPr>
        <w:t xml:space="preserve">1. Một nguồn ước tính rằng khoảng 19% cổ phần của các công ty đại chúng là phiếu tùy ý theo Quy tắc 452 (Rule 452). Với tỷ lệ phần trăm này trong đầu, điều này sẽ có tác động gì đến các nỗ lực đánh bại các giám đốc theo các quy định bỏ phiếu đa số? </w:t>
      </w:r>
      <w:r>
        <w:rPr>
          <w:b w:val="0"/>
          <w:i/>
        </w:rPr>
        <w:t>Xem thêm</w:t>
      </w:r>
      <w:r>
        <w:rPr>
          <w:b w:val="0"/>
          <w:i w:val="0"/>
        </w:rPr>
        <w:t xml:space="preserve"> Exchange Act Release No. 60825 n. 18 (Oct. 14, 2009) (lưu ý rằng tỷ lệ phần trăm cổ phần “bán lẻ” do các chủ sở hữu hưởng lợi nắm giữ đã bỏ phiếu là 27.69% đối với những người sử dụng hình thức phân phối tài liệu ủy quyền qua Internet và 31.8% đối với những người gửi bản cứng tài liệu ủy quyền).</w:t>
      </w:r>
    </w:p>
    <w:p>
      <w:pPr>
        <w:spacing w:after="80"/>
      </w:pPr>
      <w:r>
        <w:rPr>
          <w:b w:val="0"/>
          <w:i w:val="0"/>
        </w:rPr>
        <w:t>2. Liệu cấm bỏ phiếu có phải là cách duy nhất để xử lý vấn đề cổ phần không có chỉ thị (uninstructed share)? Còn việc yêu cầu cổ phần phải được bỏ phiếu thuận và chống lại ban lãnh đạo theo tỷ lệ với cổ phần có chỉ thị thì sao? Đây có phải là giải pháp tốt hơn giải pháp do NYSE đề xuất và được SEC phê duyệt không?</w:t>
      </w:r>
    </w:p>
    <w:p>
      <w:pPr>
        <w:spacing w:after="80"/>
      </w:pPr>
      <w:r>
        <w:rPr>
          <w:b w:val="0"/>
          <w:i w:val="0"/>
        </w:rPr>
        <w:t>3. Thay đổi quy tắc này có tác động gì đến các quy định bỏ phiếu đa số? Liệu chúng có khiến các công ty, như một số người bình luận gợi ý, không muốn áp dụng chúng không?</w:t>
      </w:r>
    </w:p>
    <w:p>
      <w:pPr>
        <w:spacing w:after="80"/>
      </w:pPr>
      <w:r>
        <w:rPr>
          <w:b w:val="0"/>
          <w:i w:val="0"/>
        </w:rPr>
        <w:t xml:space="preserve">4. Trên thực tế, vai trò của cổ phần không có chỉ thị có thể mang tính quyết định kết quả. Năm 2004, Michael Eisner, CEO và Chủ tịch của Disney, đã phải chịu một chiến dịch thu hồi phiếu (withhold campaign). Khoảng 45% số phiếu được bỏ trong cuộc bầu cử giám đốc đã bị thu hồi. Nếu loại trừ số phiếu của cổ phần tùy ý do môi giới bỏ, tỷ lệ phiếu bị thu hồi lẽ ra đã chiếm đa số. </w:t>
      </w:r>
      <w:r>
        <w:rPr>
          <w:b w:val="0"/>
          <w:i/>
        </w:rPr>
        <w:t>Xem Report and Recommendations of the Proxy Working Group to the New York Stock Exchange</w:t>
      </w:r>
      <w:r>
        <w:rPr>
          <w:b w:val="0"/>
          <w:i w:val="0"/>
        </w:rPr>
        <w:t xml:space="preserve"> , tại 9 (June 5, 2006), </w:t>
      </w:r>
      <w:r>
        <w:rPr>
          <w:b w:val="0"/>
          <w:i/>
        </w:rPr>
        <w:t>có tại</w:t>
      </w:r>
      <w:r>
        <w:rPr>
          <w:b w:val="0"/>
          <w:i w:val="0"/>
        </w:rPr>
        <w:t xml:space="preserve"> http://www.nyse.com/pdfs/PWG_REPORT.pdf (lưu ý rằng “[n]ếu phiếu của môi giới không được tính trong cuộc bầu cử này thì ông Eisner lẽ ra chỉ nhận được 45% số phiếu ủng hộ tái đắc cử, và đa số số phiếu được bỏ, 54%, lẽ ra đã bị thu hồi khỏi ông ấy.”).</w:t>
      </w:r>
    </w:p>
    <w:p>
      <w:pPr>
        <w:spacing w:after="80"/>
      </w:pPr>
      <w:r>
        <w:rPr>
          <w:b w:val="0"/>
          <w:i w:val="0"/>
        </w:rPr>
        <w:t xml:space="preserve">5. Đạo luật Dodd-Frank trao cho Ủy ban thẩm quyền ban hành các quy tắc trong lĩnh vực này. </w:t>
      </w:r>
      <w:r>
        <w:rPr>
          <w:b w:val="0"/>
          <w:i/>
        </w:rPr>
        <w:t>Xem</w:t>
      </w:r>
      <w:r>
        <w:rPr>
          <w:b w:val="0"/>
          <w:i w:val="0"/>
        </w:rPr>
        <w:t xml:space="preserve"> Mục 957. Cụ thể, Mục 6(b) của Exchange Act đã được sửa đổi để yêu cầu các sở giao dịch cấm các thành viên bỏ phiếu cho cổ phần không có chỉ thị liên quan đến các cuộc bầu cử hội đồng quản trị, các vấn đề thù lao điều hành, hoặc “bất kỳ vấn đề quan trọng nào khác” do Ủy ban xác định. Điều này trao cho Ủy ban vai trò gì trong quá trình bỏ phiếu của cổ đông?</w:t>
      </w:r>
    </w:p>
    <w:p>
      <w:pPr>
        <w:spacing w:after="80"/>
      </w:pPr>
      <w:r>
        <w:rPr>
          <w:b w:val="0"/>
          <w:i w:val="0"/>
        </w:rPr>
        <w:t>6. Một phản đối đối với việc cấm bỏ phiếu cho cổ phần không có chỉ thị trong các cuộc bầu cử hội đồng quản trị là các công ty sẽ gặp khó khăn hơn trong việc đạt được số đại biểu hợp lệ (quorum). Như thông cáo của SEC lưu ý, một cách để giải quyết mối lo ngại này là đưa vào chương trình họp một mục mà loại bỏ phiếu này được phép. Ví dụ rõ ràng nhất là việc cổ đông phê duyệt công ty kiểm toán độc lập của công ty. Quyền phê duyệt kiểm toán viên không được luật tiểu bang quy định bắt buộc. Tuy nhiên, khoảng 90% các công ty trong S&amp;P 500 và Russell 3000 đệ trình vấn đề này cho cổ đông. Vấn đề này hiếm khi gây tranh cãi và cho phép cổ phần không có chỉ thị được bỏ phiếu và do đó, được tính cho mục đích đại biểu hợp lệ.</w:t>
      </w:r>
    </w:p>
    <w:p>
      <w:pPr>
        <w:spacing w:after="80"/>
      </w:pPr>
      <w:r>
        <w:rPr>
          <w:b w:val="0"/>
          <w:i w:val="0"/>
        </w:rPr>
        <w:t xml:space="preserve">7. Điều gì xảy ra khi một chủ sở hữu hưởng lợi trả về một chỉ thị bỏ phiếu được thực hiện một phần? Thực tiễn đối với ít nhất một số tổ chức phát hành là coi các phần không được đánh dấu của VIF như một lá phiếu nhất quán với các khuyến nghị của ban lãnh đạo. Bạn nghĩ gì về thực tiễn này? Để thảo luận về vấn đề này, xem Christie Nicks, </w:t>
      </w:r>
      <w:r>
        <w:rPr>
          <w:b w:val="0"/>
          <w:i/>
        </w:rPr>
        <w:t>Voting Partially Instructed Shares by Brokers</w:t>
      </w:r>
      <w:r>
        <w:rPr>
          <w:b w:val="0"/>
          <w:i w:val="0"/>
        </w:rPr>
        <w:t xml:space="preserve"> , 91 Denv. U. L. Rev. Online 155 (2014).</w:t>
      </w:r>
    </w:p>
    <w:p>
      <w:pPr>
        <w:spacing w:after="80"/>
      </w:pPr>
      <w:r>
        <w:rPr>
          <w:b w:val="0"/>
          <w:i w:val="0"/>
        </w:rPr>
        <w:t>8. Các VIF thường được trả về cho Broadridge. Do đó, Broadridge biết được kết quả tạm thời trước khi chúng được phản ánh trên thẻ ủy quyền và được cung cấp cho tổ chức phát hành. Thông tin bỏ phiếu tạm thời có thể có ý nghĩa chiến lược. Khi một cổ đông thu thập ủy quyền theo cách không phù hợp với lợi ích của ban lãnh đạo (chống lại các giám đốc trong một chiến dịch “just say no”, chẳng hạn), ai (nếu có) nên được phép có được thông tin này? Tại sao mỗi bên lại muốn tìm kiếm thông tin này?</w:t>
      </w:r>
    </w:p>
    <w:p>
      <w:pPr>
        <w:pStyle w:val="Heading3"/>
      </w:pPr>
      <w:r>
        <w:rPr>
          <w:rFonts w:ascii="Calibri" w:hAnsi="Calibri"/>
          <w:b/>
          <w:i w:val="0"/>
          <w:sz w:val="26"/>
        </w:rPr>
        <w:t>D. Vấn đề Bỏ phiếu Rỗng (Empty Voting)</w:t>
      </w:r>
    </w:p>
    <w:p>
      <w:pPr>
        <w:spacing w:after="80"/>
      </w:pPr>
      <w:r>
        <w:rPr>
          <w:b w:val="0"/>
          <w:i w:val="0"/>
        </w:rPr>
        <w:t>Một vấn đề khác là thực tiễn “bỏ phiếu rỗng”. Nói một cách rộng rãi, điều này phát sinh khi người bỏ phiếu cho cổ phần không có lợi ích kinh tế trong chứng khoán cơ sở. Điều này có thể xảy ra trong nhiều tình huống khác nhau.</w:t>
      </w:r>
    </w:p>
    <w:p>
      <w:pPr>
        <w:spacing w:after="80"/>
      </w:pPr>
      <w:r>
        <w:rPr>
          <w:b w:val="0"/>
          <w:i w:val="0"/>
        </w:rPr>
        <w:t xml:space="preserve">Ví dụ, chủ sở hữu ban đầu có thể đã bán cổ phần sau ngày chốt danh sách (record date). Tuy nhiên, người đó vẫn giữ quyền bỏ phiếu cho cổ phần. Vấn đề cũng có thể phát sinh liên quan đến cổ phần đi vay (có thể được bỏ phiếu tại cuộc họp nhưng sẽ được “trả lại” cho người cho vay) và việc sử dụng các công cụ phái sinh (derivative) để về cơ bản loại bỏ các rủi ro kinh tế gắn với quyền sở hữu. Như Ủy ban đã mô tả: “Thuật ngữ ‘bỏ phiếu rỗng’ đã được định nghĩa để chỉ tình huống trong đó quyền biểu quyết của một cổ đông vượt trội đáng kể so với lợi ích kinh tế của cổ đông đó trong công ty.” Concept Release on the U.S. Proxy System, Exchange Act Release No. 62495 (July 14, 2010). Khi quyền biểu quyết tách rời khỏi các lợi ích kinh tế cơ sở, chủ sở hữu có thể không có cùng lợi ích như các cổ đông khác. </w:t>
      </w:r>
      <w:r>
        <w:rPr>
          <w:b w:val="0"/>
          <w:i/>
        </w:rPr>
        <w:t>Xem</w:t>
      </w:r>
      <w:r>
        <w:rPr>
          <w:b w:val="0"/>
          <w:i w:val="0"/>
        </w:rPr>
        <w:t xml:space="preserve"> Henry T. C. Hu &amp; Bernard Black, </w:t>
      </w:r>
      <w:r>
        <w:rPr>
          <w:b w:val="0"/>
          <w:i/>
        </w:rPr>
        <w:t>Equity and Debt Decoupling and Empty Voting II: Importance and Extensions, 156 U. PA . L. REV . 625</w:t>
      </w:r>
      <w:r>
        <w:rPr>
          <w:b w:val="0"/>
          <w:i w:val="0"/>
        </w:rPr>
        <w:t xml:space="preserve"> (2008).</w:t>
      </w:r>
    </w:p>
    <w:p>
      <w:pPr>
        <w:pStyle w:val="Heading5"/>
      </w:pPr>
      <w:r>
        <w:rPr>
          <w:rFonts w:ascii="Calibri" w:hAnsi="Calibri"/>
          <w:b/>
          <w:i/>
          <w:sz w:val="22"/>
        </w:rPr>
        <w:t>Bình luận và Câu hỏi</w:t>
      </w:r>
    </w:p>
    <w:p>
      <w:pPr>
        <w:spacing w:after="80"/>
      </w:pPr>
      <w:r>
        <w:rPr>
          <w:b w:val="0"/>
          <w:i w:val="0"/>
        </w:rPr>
        <w:t>1. Những tình huống nào khác làm phát sinh việc bỏ phiếu rỗng (empty voting)? Gần như bất kỳ giao dịch nào loại bỏ hoàn toàn rủi ro sở hữu đều có khả năng được coi là bỏ phiếu rỗng. Ngoài các kỹ thuật phòng ngừa rủi ro (hedging) truyền thống, người nội bộ đôi khi còn sử dụng chiến lược collar cho cổ phiếu của mình (đồng thời mua một quyền chọn bán (put) và bán một quyền chọn (option) nhằm giới hạn rủi ro giao dịch trong một khoảng định trước). Những giao dịch này có được coi là bỏ phiếu rỗng không? Có những lo ngại đặc biệt nào gắn với việc các cán bộ điều hành (officers) hoặc thành viên hội đồng quản trị (directors) thực hiện bỏ phiếu rỗng không?</w:t>
      </w:r>
    </w:p>
    <w:p>
      <w:pPr>
        <w:spacing w:after="80"/>
      </w:pPr>
      <w:r>
        <w:rPr>
          <w:b w:val="0"/>
          <w:i w:val="0"/>
        </w:rPr>
        <w:t>2. Bài viết này xem xét các hình thức bỏ phiếu rỗng phức tạp hơn, chẳng hạn như việc sử dụng các công cụ phái sinh (derivatives) để loại bỏ rủi ro. Bạn có thể nghĩ ra những trường hợp phổ biến hơn mà điều này thường xuyên xảy ra không? Còn về bất kỳ cổ đông nào mua cổ phiếu sau ngày chốt danh sách (record date) thì sao? Người sở hữu vào ngày chốt danh sách vẫn giữ quyền biểu quyết theo luật tiểu bang nhưng đã tự tước bỏ rủi ro kinh tế của mình. Còn những người môi giới (brokers) bỏ phiếu cho các cổ phần không có chỉ thị thì sao? Những người môi giới đó có chia sẻ bất kỳ rủi ro kinh tế nào không?</w:t>
      </w:r>
    </w:p>
    <w:p>
      <w:pPr>
        <w:spacing w:after="80"/>
      </w:pPr>
      <w:r>
        <w:rPr>
          <w:b w:val="0"/>
          <w:i w:val="0"/>
        </w:rPr>
        <w:t xml:space="preserve">3. Trong một số trường hợp, người bỏ phiếu rỗng thậm chí có thể muốn giá cổ phiếu giảm hơn là tăng. </w:t>
      </w:r>
      <w:r>
        <w:rPr>
          <w:b w:val="0"/>
          <w:i/>
        </w:rPr>
        <w:t>Xem</w:t>
      </w:r>
      <w:r>
        <w:rPr>
          <w:b w:val="0"/>
          <w:i w:val="0"/>
        </w:rPr>
        <w:t xml:space="preserve"> Concept Release on the U.S. Proxy System, Exchange Act Release No. 62495 (ngày 14 tháng 7 năm 2010) (“[M]ột người bỏ phiếu rỗng có lợi ích kinh tế tiêu cực đối với công ty có thể muốn giá cổ phiếu của công ty giảm hơn là tăng.”). Điều này gây ra những vấn đề gì đối với hành vi của cổ đông?</w:t>
      </w:r>
    </w:p>
    <w:p>
      <w:pPr>
        <w:spacing w:after="80"/>
      </w:pPr>
      <w:r>
        <w:rPr>
          <w:b w:val="0"/>
          <w:i w:val="0"/>
        </w:rPr>
        <w:t>4. Liệu việc bỏ phiếu rỗng có mang lại lợi ích tích cực nào không? Sẽ thế nào nếu các cổ đông hiểu biết (informed shareholders) mua lại quyền biểu quyết (nhưng không mua quyền kinh tế) đối với cổ phần của những nhà đầu tư thiếu hiểu biết (uninformed investors)? Điều này gợi ra điều gì về vấn đề bỏ phiếu rỗng?</w:t>
      </w:r>
    </w:p>
    <w:p>
      <w:pPr>
        <w:spacing w:after="80"/>
      </w:pPr>
      <w:r>
        <w:rPr>
          <w:b w:val="0"/>
          <w:i w:val="0"/>
        </w:rPr>
        <w:t xml:space="preserve">5. Theo luật tiểu bang, tòa án cho phép việc mua phiếu bầu (vote buying) trong một số trường hợp nhất định. Liệu mua phiếu bầu có phải là một hình thức bỏ phiếu “rỗng” không? </w:t>
      </w:r>
      <w:r>
        <w:rPr>
          <w:b w:val="0"/>
          <w:i/>
        </w:rPr>
        <w:t>Xem Crown Emak Partners LLC v. Kurz</w:t>
      </w:r>
      <w:r>
        <w:rPr>
          <w:b w:val="0"/>
          <w:i w:val="0"/>
        </w:rPr>
        <w:t xml:space="preserve"> , 992 A.2d 377 (Del. 2010). Còn việc chỉ đơn thuần bán cổ phần sau ngày chốt danh sách thì sao?</w:t>
      </w:r>
    </w:p>
    <w:p>
      <w:pPr>
        <w:pStyle w:val="Heading2"/>
      </w:pPr>
      <w:r>
        <w:rPr>
          <w:rFonts w:ascii="Calibri" w:hAnsi="Calibri"/>
          <w:b/>
          <w:i w:val="0"/>
          <w:sz w:val="32"/>
        </w:rPr>
        <w:t>V. Quyền của Cổ đông và Nghĩa vụ Ủy thác của Hội đồng Quản trị</w:t>
      </w:r>
    </w:p>
    <w:p>
      <w:pPr>
        <w:spacing w:after="80"/>
      </w:pPr>
      <w:r>
        <w:rPr>
          <w:b w:val="0"/>
          <w:i w:val="0"/>
        </w:rPr>
        <w:t>Quyền bầu cử của cổ đông (shareholder franchise) cũng có thể bị hạn chế thông qua những hành động của ban điều hành mà xét về mặt khác là hợp pháp. Điều này có thể bao gồm mọi thứ, từ việc trì hoãn cuộc họp cổ đông đến việc thay đổi ngày chốt danh sách. Tòa án đã phải vật lộn với những loại thực tiễn này, đặc biệt là về tiêu chuẩn xem xét (standard of review).</w:t>
      </w:r>
    </w:p>
    <w:p>
      <w:pPr>
        <w:pStyle w:val="Heading3"/>
      </w:pPr>
      <w:r>
        <w:rPr>
          <w:rFonts w:ascii="Calibri" w:hAnsi="Calibri"/>
          <w:b/>
          <w:i w:val="0"/>
          <w:sz w:val="26"/>
        </w:rPr>
        <w:t>A. Can thiệp vào Quyền Bầu cử</w:t>
      </w:r>
    </w:p>
    <w:p>
      <w:pPr>
        <w:pStyle w:val="Heading4"/>
      </w:pPr>
      <w:r>
        <w:rPr>
          <w:rFonts w:ascii="Calibri" w:hAnsi="Calibri"/>
          <w:b/>
          <w:i w:val="0"/>
          <w:sz w:val="23"/>
        </w:rPr>
        <w:t>Blasius Industries, Inc. v. Atlas Corp.</w:t>
      </w:r>
    </w:p>
    <w:p>
      <w:pPr>
        <w:spacing w:after="80"/>
      </w:pPr>
      <w:r>
        <w:rPr>
          <w:b w:val="0"/>
          <w:i w:val="0"/>
        </w:rPr>
        <w:t>Tòa án Chancery Delaware</w:t>
      </w:r>
      <w:r>
        <w:br/>
      </w:r>
      <w:r>
        <w:rPr>
          <w:b w:val="0"/>
          <w:i w:val="0"/>
        </w:rPr>
        <w:t xml:space="preserve"> 564 A.2d 651 (1988)</w:t>
      </w:r>
    </w:p>
    <w:p>
      <w:pPr>
        <w:spacing w:after="80"/>
      </w:pPr>
      <w:r>
        <w:rPr>
          <w:b w:val="0"/>
          <w:i w:val="0"/>
        </w:rPr>
        <w:t>ALLEN , CHANCELLOR :</w:t>
      </w:r>
    </w:p>
    <w:p>
      <w:pPr>
        <w:spacing w:after="80"/>
      </w:pPr>
      <w:r>
        <w:rPr>
          <w:b w:val="0"/>
          <w:i w:val="0"/>
        </w:rPr>
        <w:t>Vào ngày 30 tháng 12 năm 1987, Blasius [bên sở hữu 9.1% cổ phần của Atlas] đã khiến Cede &amp; Co. (chủ sở hữu đã đăng ký cổ phiếu Atlas của mình) giao cho Atlas một văn bản đồng ý bằng văn bản đã ký (1) thông qua một nghị quyết mang tính khuyến nghị (precatory resolution) đề xuất rằng hội đồng quản trị xây dựng và thực hiện một đề xuất tái cấu trúc, (2) sửa đổi điều lệ (bylaws) của Atlas để, cùng những việc khác, mở rộng quy mô hội đồng quản trị từ bảy lên mười lăm thành viên—mức tối đa theo điều lệ thành lập (charter) của Atlas, và (3) bầu tám người được nêu tên để lấp vào các vị trí thành viên hội đồng quản trị mới. Blasius cũng đã đệ đơn kiện trong cùng ngày tại tòa án này, yêu cầu tuyên bố rằng một số điều lệ nhất định được hội đồng quản trị thông qua vào ngày 1 tháng 9 năm 1987 đã hành động như một sự hạn chế bất hợp pháp đối với quyền của cổ đông, được tạo ra bởi Mục 228 của luật công ty của chúng ta, trong việc hành động thông qua văn bản đồng ý mà không cần tổ chức một cuộc họp.</w:t>
      </w:r>
    </w:p>
    <w:p>
      <w:pPr>
        <w:spacing w:after="80"/>
      </w:pPr>
      <w:r>
        <w:rPr>
          <w:b w:val="0"/>
          <w:i w:val="0"/>
        </w:rPr>
        <w:t>Phản ứng diễn ra ngay lập tức. Ông Weaver [Tổng giám đốc điều hành của Atlas] đã trao đổi với ông Masinter, cố vấn bên ngoài của Công ty và cũng là một thành viên hội đồng quản trị, người coi văn bản đồng ý đó là một nỗ lực nhằm nắm quyền kiểm soát Công ty. Họ quyết định triệu tập một cuộc họp khẩn cấp của hội đồng quản trị, mặc dù một cuộc họp theo lịch thường lệ sẽ diễn ra chỉ một tuần sau đó, vào ngày 6 tháng 1 năm 1988. Mục đích của cuộc họp khẩn cấp là để hành động theo kết luận của họ (hoặc tìm cách để hội đồng quản trị hành động theo kết luận của họ) “rằng chúng ta nên bổ sung ít nhất một và có lẽ là hai thành viên hội đồng quản trị vào hội đồng quản trị . . .” . . . Tuy nhiên, không thể sắp xếp đủ số thành viên hội đồng quản trị (quorum) cho một cuộc họp qua điện thoại trong ngày hôm đó. Một cuộc họp qua điện thoại đã được tổ chức vào ngày hôm sau. Tại cuộc họp đó, hội đồng quản trị đã biểu quyết sửa đổi điều lệ để tăng quy mô hội đồng quản trị từ bảy lên chín thành viên và bổ nhiệm John M. Devaney và Harry J. Winters, Jr. vào các vị trí mới được tạo ra đó. Giấy chứng nhận thành lập (Certificate of Incorporation) của Atlas quy định nhiệm kỳ so le (staggered terms) cho các thành viên hội đồng quản trị; nhiệm kỳ mà ông Devaney và ông Winters được bổ nhiệm sẽ hết hạn lần lượt vào năm 1988 và 1990.</w:t>
      </w:r>
    </w:p>
    <w:p>
      <w:pPr>
        <w:spacing w:after="80"/>
      </w:pPr>
      <w:r>
        <w:rPr>
          <w:b w:val="0"/>
          <w:i/>
        </w:rPr>
        <w:t>Động cơ của Hội đồng Quản trị Đương nhiệm trong việc Mở rộng Hội đồng Quản trị và Bổ nhiệm Thành viên Mới.</w:t>
      </w:r>
    </w:p>
    <w:p>
      <w:pPr>
        <w:spacing w:after="80"/>
      </w:pPr>
      <w:r>
        <w:rPr>
          <w:b w:val="0"/>
          <w:i w:val="0"/>
        </w:rPr>
        <w:t>Khi tăng quy mô hội đồng quản trị của Atlas thêm hai thành viên và lấp vào các vị trí mới được tạo ra, các thành viên hội đồng quản trị nhận ra rằng qua đó họ đang ngăn cản những người nắm giữ phần lớn cổ phần của Công ty đưa phần lớn các thành viên hội đồng quản trị mới vào hội đồng quản trị thông qua việc thu thập văn bản đồng ý của Blasius, nếu họ muốn làm như vậy. Thật vậy, bằng chứng xác lập rằng đó chính là động cơ chính khi hành động như vậy.</w:t>
      </w:r>
    </w:p>
    <w:p>
      <w:pPr>
        <w:spacing w:after="80"/>
      </w:pPr>
      <w:r>
        <w:rPr>
          <w:b w:val="0"/>
          <w:i w:val="0"/>
        </w:rPr>
        <w:t>Kết luận rằng, khi tạo ra hai vị trí hội đồng quản trị mới vào ngày 31 tháng 12 và bầu ông Devaney và ông Winters vào những vị trí đó, hội đồng quản trị chủ yếu được thúc đẩy bởi động cơ ngăn chặn hoặc trì hoãn khả năng các cổ đông đưa một đa số thành viên mới vào hội đồng quản trị, là điều then chốt trong phân tích của tôi về vấn đề trọng tâm được đặt ra bởi vụ kiện đầu tiên trong hai vụ đang chờ xử lý. Nếu trên thực tế hội đồng quản trị không có động cơ đó, mà thay vào đó đã hành động hoàn toàn độc lập với việc thu thập sự đồng thuận, vốn chỉ có tác động ngẫu nhiên lên khả năng thực hiện bất kỳ hành động nào được cổ đông cho phép, thì rất khó có khả năng hành động đó sẽ bị tuyên vô hiệu bởi tòa án. . . . Nhìn chung, hội đồng quản trị không có nghĩa vụ ủy thác nào buộc phải tạm ngừng việc quản lý chủ động công ty trong khi quá trình thu thập sự đồng thuận đang diễn ra.</w:t>
      </w:r>
    </w:p>
    <w:p>
      <w:pPr>
        <w:spacing w:after="80"/>
      </w:pPr>
      <w:r>
        <w:rPr>
          <w:b w:val="0"/>
          <w:i w:val="0"/>
        </w:rPr>
        <w:t>* * *</w:t>
      </w:r>
    </w:p>
    <w:p>
      <w:pPr>
        <w:spacing w:after="80"/>
      </w:pPr>
      <w:r>
        <w:rPr>
          <w:b w:val="0"/>
          <w:i w:val="0"/>
        </w:rPr>
        <w:t>Cân nhắc tổng thể, tôi không thể kết luận rằng hội đồng quản trị đã hành động vì động cơ tư lợi ở bất kỳ khía cạnh quan trọng nào vào ngày 31 tháng 12. Tôi kết luận thay vào đó rằng hội đồng quản trị đã nhìn nhận "mối đe dọa" từ đề xuất tái cấu trúc vốn của Blasius như đặt ra những khác biệt chính sách quan trọng giữa họ và Blasius. Tôi kết luận rằng họ đã hành động với nỗ lực thiện chí để bảo vệ vị trí đương nhiệm của mình, không phải vì ích kỷ, mà để ngăn chặn việc thực hiện kế hoạch tái cấu trúc vốn mà họ lo sợ, một cách hợp lý, sẽ gây tổn hại lớn cho Công ty.</w:t>
      </w:r>
    </w:p>
    <w:p>
      <w:pPr>
        <w:spacing w:after="80"/>
      </w:pPr>
      <w:r>
        <w:rPr>
          <w:b w:val="0"/>
          <w:i w:val="0"/>
        </w:rPr>
        <w:t xml:space="preserve">Theo tôi, câu hỏi thực sự mà vụ án đặt ra là liệu, trong những hoàn cảnh này, hội đồng quản trị, ngay cả khi họ </w:t>
      </w:r>
      <w:r>
        <w:rPr>
          <w:b w:val="0"/>
          <w:i/>
        </w:rPr>
        <w:t>đang</w:t>
      </w:r>
      <w:r>
        <w:rPr>
          <w:b w:val="0"/>
          <w:i w:val="0"/>
        </w:rPr>
        <w:t xml:space="preserve"> hành động với thiện chí chủ quan (điều mà thường, nếu không phải luôn luôn, sẽ là một kết luận tư pháp gây tranh cãi hoặc có thể tranh luận), có thể hành động một cách hợp pháp với mục đích chính là ngăn chặn các cổ đông bầu ra đa số giám đốc mới hay không. Câu hỏi được đặt ra như vậy không phải là vấn đề về hành vi sai trái cố ý (hay thậm chí là sơ suất), mà là vấn đề về thẩm quyền </w:t>
      </w:r>
      <w:r>
        <w:rPr>
          <w:b w:val="0"/>
          <w:i/>
        </w:rPr>
        <w:t>giữa người được ủy thác và người thụ hưởng</w:t>
      </w:r>
      <w:r>
        <w:rPr>
          <w:b w:val="0"/>
          <w:i w:val="0"/>
        </w:rPr>
        <w:t xml:space="preserve"> (không chỉ đơn thuần là thẩm quyền pháp lý, </w:t>
      </w:r>
      <w:r>
        <w:rPr>
          <w:b w:val="0"/>
          <w:i/>
        </w:rPr>
        <w:t>tức là</w:t>
      </w:r>
      <w:r>
        <w:rPr>
          <w:b w:val="0"/>
          <w:i w:val="0"/>
        </w:rPr>
        <w:t xml:space="preserve"> , giữa người được ủy thác và toàn thể thế giới bên ngoài).</w:t>
      </w:r>
    </w:p>
    <w:p>
      <w:pPr>
        <w:spacing w:after="80"/>
      </w:pPr>
      <w:r>
        <w:rPr>
          <w:b w:val="0"/>
          <w:i w:val="0"/>
        </w:rPr>
        <w:t>* * *</w:t>
      </w:r>
    </w:p>
    <w:p>
      <w:pPr>
        <w:spacing w:after="80"/>
      </w:pPr>
      <w:r>
        <w:rPr>
          <w:b w:val="0"/>
          <w:i w:val="0"/>
        </w:rPr>
        <w:t>Quyền bầu cử của cổ đông là nền tảng tư tưởng mà trên đó tính chính danh của quyền lực ban giám đốc được xây dựng. Nói chung, cổ đông chỉ có hai biện pháp bảo vệ chống lại hiệu quả kinh doanh được cho là không đạt yêu cầu. Họ có thể bán cổ phần của mình (mà nếu được thực hiện với số lượng đủ lớn, có thể ảnh hưởng đến giá chứng khoán đến mức tạo ra động lực thay đổi hiệu quả quản lý), hoặc họ có thể bỏ phiếu để thay thế các thành viên hội đồng quản trị đương nhiệm.</w:t>
      </w:r>
    </w:p>
    <w:p>
      <w:pPr>
        <w:spacing w:after="80"/>
      </w:pPr>
      <w:r>
        <w:rPr>
          <w:b w:val="0"/>
          <w:i w:val="0"/>
        </w:rPr>
        <w:t>Từ lâu, người ta đã theo thông lệ coi lá phiếu của cổ đông như một tàn dư hoặc nghi thức ít có ý nghĩa thực tiễn. Có thể hiện nay chúng ta đang chứng kiến sự xuất hiện của những tiếng nói và sắp xếp thể chế mới sẽ khiến lá phiếu cổ đông trở thành một vấn đề khó đoán định hơn so với trước đây. Dù thế nào đi nữa, dù lá phiếu được nhìn nhận về mặt chức năng như một hình thức không quan trọng, hay như một công cụ kỷ luật quan trọng, thì rõ ràng nó là yếu tố then chốt đối với lý thuyết hợp pháp hóa việc thực thi quyền lực của một số người (giám đốc và cán bộ điều hành) đối với những khối tài sản khổng lồ mà họ không sở hữu. Do đó, khi nhìn từ góc độ thể chế rộng lớn, có thể thấy rằng những vấn đề liên quan đến tính toàn vẹn của quá trình bỏ phiếu của cổ đông bao hàm những cân nhắc không hiện diện trong bất kỳ bối cảnh nào khác mà giám đốc thực thi quyền lực được ủy thác.</w:t>
      </w:r>
    </w:p>
    <w:p>
      <w:pPr>
        <w:spacing w:after="80"/>
      </w:pPr>
      <w:r>
        <w:rPr>
          <w:b w:val="0"/>
          <w:i w:val="0"/>
        </w:rPr>
        <w:t xml:space="preserve">B. </w:t>
      </w:r>
      <w:r>
        <w:rPr>
          <w:b w:val="0"/>
          <w:i/>
        </w:rPr>
        <w:t>Những câu hỏi thuộc loại này đặt ra vấn đề về việc phân bổ thẩm quyền giữa hội đồng quản trị và cổ đông.</w:t>
      </w:r>
    </w:p>
    <w:p>
      <w:pPr>
        <w:spacing w:after="80"/>
      </w:pPr>
      <w:r>
        <w:rPr>
          <w:b w:val="0"/>
          <w:i w:val="0"/>
        </w:rPr>
        <w:t xml:space="preserve">Bản chất đặc thù của bối cảnh quyền bầu cử cổ đông cũng xuất hiện khi vấn đề được nhìn từ góc độ học thuyết ít tổng quát hơn. Từ góc độ này, cũng có thể thấy rằng những cân nhắc thông thường mà quy tắc phán đoán kinh doanh ban đầu đáp ứng đơn giản là không hiện diện trong bối cảnh bỏ phiếu của cổ đông. Cụ thể là, một quyết định của hội đồng quản trị hành động với mục đích chính là ngăn chặn hiệu lực của một lá phiếu cổ đông chắc chắn liên quan đến câu hỏi ai, giữa người đại diện và người được đại diện, có thẩm quyền đối với một vấn đề quản trị nội bộ công ty. Điều đó, tất nhiên, đúng theo một cách rất cụ thể trong vụ án này, vốn liên quan đến câu hỏi ai nên cấu thành hội đồng quản trị của công ty, nhưng nó sẽ đúng trong mọi trường hợp mà một hội đồng quản trị đương nhiệm tìm cách ngăn chặn đa số cổ đông. Quyết định của hội đồng quản trị hành động để ngăn chặn cổ đông tạo ra đa số vị trí hội đồng quản trị mới và lấp đầy chúng không liên quan đến việc thực thi </w:t>
      </w:r>
      <w:r>
        <w:rPr>
          <w:b w:val="0"/>
          <w:i/>
        </w:rPr>
        <w:t>quyền lực của công ty</w:t>
      </w:r>
      <w:r>
        <w:rPr>
          <w:b w:val="0"/>
          <w:i w:val="0"/>
        </w:rPr>
        <w:t xml:space="preserve"> đối với tài sản của nó, hay đối với các quyền hoặc nghĩa vụ </w:t>
      </w:r>
      <w:r>
        <w:rPr>
          <w:b w:val="0"/>
          <w:i/>
        </w:rPr>
        <w:t>của nó</w:t>
      </w:r>
      <w:r>
        <w:rPr>
          <w:b w:val="0"/>
          <w:i w:val="0"/>
        </w:rPr>
        <w:t xml:space="preserve">; thay vào đó, nó liên quan đến việc phân bổ, giữa cổ đông như một giai cấp và hội đồng quản trị, quyền lực hiệu quả đối với việc quản trị công ty. Điều này không nhất thiết phải như vậy đối với các hình thức hành động công ty khác có thể có tác dụng củng cố quyền lực—chẳng hạn như việc mua lại cổ phần hiện diện trong </w:t>
      </w:r>
      <w:r>
        <w:rPr>
          <w:b w:val="0"/>
          <w:i/>
        </w:rPr>
        <w:t>Unocal, Cheff</w:t>
      </w:r>
      <w:r>
        <w:rPr>
          <w:b w:val="0"/>
          <w:i w:val="0"/>
        </w:rPr>
        <w:t xml:space="preserve"> hoặc </w:t>
      </w:r>
      <w:r>
        <w:rPr>
          <w:b w:val="0"/>
          <w:i/>
        </w:rPr>
        <w:t>Kors v. Carey.</w:t>
      </w:r>
      <w:r>
        <w:rPr>
          <w:b w:val="0"/>
          <w:i w:val="0"/>
        </w:rPr>
        <w:t xml:space="preserve"> Hành động được thiết kế chủ yếu để can thiệp vào hiệu lực của một lá phiếu chắc chắn liên quan đến xung đột giữa hội đồng quản trị và đa số cổ đông. Việc xem xét tư pháp đối với hành động như vậy liên quan đến việc xác định các nghĩa vụ pháp lý và công bằng của một người đại diện đối với người được đại diện của mình. Theo tôi, đây không phải là câu hỏi mà tòa án có thể để cho người đại diện cuối cùng tự quyết định miễn là anh ta làm như vậy một cách trung thực và có năng lực; nghĩa là, nó không thể được để cho phán đoán kinh doanh của người đại diện.</w:t>
      </w:r>
    </w:p>
    <w:p>
      <w:pPr>
        <w:spacing w:after="80"/>
      </w:pPr>
      <w:r>
        <w:rPr>
          <w:b w:val="0"/>
          <w:i w:val="0"/>
        </w:rPr>
        <w:t xml:space="preserve">2. </w:t>
      </w:r>
      <w:r>
        <w:rPr>
          <w:b w:val="0"/>
          <w:i/>
        </w:rPr>
        <w:t>Quy tắc nào được áp dụng: tính vô hiệu đương nhiên của các hành vi công ty nhằm mục đích chính là ngăn chặn việc thực thi hiệu quả quyền bầu cử, hay có một tiêu chuẩn trung gian?</w:t>
      </w:r>
    </w:p>
    <w:p>
      <w:pPr>
        <w:spacing w:after="80"/>
      </w:pPr>
      <w:r>
        <w:rPr>
          <w:b w:val="0"/>
          <w:i w:val="0"/>
        </w:rPr>
        <w:t xml:space="preserve">Nguyên đơn lập luận cho một quy tắc </w:t>
      </w:r>
      <w:r>
        <w:rPr>
          <w:b w:val="0"/>
          <w:i/>
        </w:rPr>
        <w:t>đương nhiên</w:t>
      </w:r>
      <w:r>
        <w:rPr>
          <w:b w:val="0"/>
          <w:i w:val="0"/>
        </w:rPr>
        <w:t xml:space="preserve"> vô hiệu một khi nguyên đơn đã chứng minh rằng hội đồng quản trị đã hành động với mục đích chính là ngăn chặn việc thực thi lá phiếu của cổ đông. . . .</w:t>
      </w:r>
    </w:p>
    <w:p>
      <w:pPr>
        <w:spacing w:after="80"/>
      </w:pPr>
      <w:r>
        <w:rPr>
          <w:b w:val="0"/>
          <w:i w:val="0"/>
        </w:rPr>
        <w:t>* * *</w:t>
      </w:r>
    </w:p>
    <w:p>
      <w:pPr>
        <w:spacing w:after="80"/>
      </w:pPr>
      <w:r>
        <w:rPr>
          <w:b w:val="0"/>
          <w:i w:val="0"/>
        </w:rPr>
        <w:t xml:space="preserve">Trong hai vụ án gần đây liên quan đến lá phiếu cổ đông, tòa án này đã bác bỏ các hành vi của hội đồng quản trị được thực hiện với mục đích chính là cản trở việc thực thi quyền bỏ phiếu của cổ đông. Khi làm như vậy, một quy tắc </w:t>
      </w:r>
      <w:r>
        <w:rPr>
          <w:b w:val="0"/>
          <w:i/>
        </w:rPr>
        <w:t>đương nhiên</w:t>
      </w:r>
      <w:r>
        <w:rPr>
          <w:b w:val="0"/>
          <w:i w:val="0"/>
        </w:rPr>
        <w:t xml:space="preserve"> đã không được áp dụng. Thay vào đó, người ta nói rằng, trong trường hợp như vậy, hội đồng quản trị phải gánh trách nhiệm nặng nề là chứng minh một biện minh thuyết phục cho hành động đó.</w:t>
      </w:r>
    </w:p>
    <w:p>
      <w:pPr>
        <w:spacing w:after="80"/>
      </w:pPr>
      <w:r>
        <w:rPr>
          <w:b w:val="0"/>
          <w:i w:val="0"/>
        </w:rPr>
        <w:t>* * *</w:t>
      </w:r>
    </w:p>
    <w:p>
      <w:pPr>
        <w:spacing w:after="80"/>
      </w:pPr>
      <w:r>
        <w:rPr>
          <w:b w:val="0"/>
          <w:i w:val="0"/>
        </w:rPr>
        <w:t xml:space="preserve">Theo quan điểm của tôi, việc chúng ta không thể lường trước được tất cả các tình huống trong tương lai mà một hội đồng quản trị có thể, với thiện chí, hành động theo kiểu gia trưởng để ngăn chặn một lá phiếu cổ đông, khuyên chúng ta không nên áp dụng một quy tắc </w:t>
      </w:r>
      <w:r>
        <w:rPr>
          <w:b w:val="0"/>
          <w:i/>
        </w:rPr>
        <w:t>đương nhiên</w:t>
      </w:r>
      <w:r>
        <w:rPr>
          <w:b w:val="0"/>
          <w:i w:val="0"/>
        </w:rPr>
        <w:t xml:space="preserve"> vô hiệu, về mặt công bằng, mọi hành động của hội đồng quản trị được thực hiện với mục đích duy nhất hoặc chính là ngăn chặn một lá phiếu cổ đông, mặc dù tôi nhận thức được tầm quan trọng vượt trội của quyền bầu cử đối với những tuyên bố về tính chính danh của hệ thống quản trị công ty của chúng ta. Có thể có một số tình huống thực tế sẽ biện minh cho hành động cực đoan như vậy. Tuy nhiên, đây không phải là trường hợp như vậy.</w:t>
      </w:r>
    </w:p>
    <w:p>
      <w:pPr>
        <w:spacing w:after="80"/>
      </w:pPr>
      <w:r>
        <w:rPr>
          <w:b w:val="0"/>
          <w:i w:val="0"/>
        </w:rPr>
        <w:t xml:space="preserve">3. </w:t>
      </w:r>
      <w:r>
        <w:rPr>
          <w:b w:val="0"/>
          <w:i/>
        </w:rPr>
        <w:t>Các bị đơn đã không chứng minh được biện minh thỏa đáng nào cho hành động ngày 31 tháng 12, vốn nhằm ngăn chặn một đa số cổ đông không liên kết thực thi hiệu quả quyền bầu ra tám giám đốc mới của họ.</w:t>
      </w:r>
    </w:p>
    <w:p>
      <w:pPr>
        <w:spacing w:after="80"/>
      </w:pPr>
      <w:r>
        <w:rPr>
          <w:b w:val="0"/>
          <w:i w:val="0"/>
        </w:rPr>
        <w:t>Hội đồng quản trị không phải đối mặt với một hành động mang tính cưỡng chế do một cổ đông quyền lực thực hiện nhằm chống lại lợi ích của một nhóm cổ đông riêng biệt (chẳng hạn như nhóm cổ đông thiểu số đại chúng). Họ phải đối mặt với một yêu cầu chấp thuận (consent solicitation) từ một cổ đông nắm 9%. Hơn nữa, trong trường hợp này họ có thời gian (và hiểu rằng mình có thời gian) để thông báo cho các cổ đông quan điểm của mình về tính hợp lý của đề xuất sẽ được cổ đông biểu quyết. Lý lẽ biện minh duy nhất có thể được đưa ra cho hành động đã thực hiện trong tình huống như vậy là hội đồng quản trị biết rõ hơn các cổ đông về điều gì là tốt nhất cho lợi ích của công ty. Mặc dù tiền đề đó chắc chắn đúng với vô số vấn đề, nhưng nó không liên quan (trừ khi các cổ đông muốn được hướng dẫn bởi khuyến nghị của hội đồng quản trị) khi câu hỏi đặt ra là ai nên tạo nên hội đồng quản trị. Lý thuyết của luật công ty chúng ta trao quyền cho các giám đốc với tư cách là người đại diện của các cổ đông; nó không tạo ra những ông chủ kiểu Plato. Có thể đề xuất tái cấu trúc của Blasius là hoặc vẫn không thực tế và sẽ dẫn đến tổn hại cho công ty và các cổ đông nếu theo đuổi. Sau khi nghe các bằng chứng, tôi nghiêng về suy nghĩ rằng đó không phải là một đề xuất hợp lý. Hội đồng quản trị chắc chắn nhìn nhận như vậy, và quan điểm đó, được giữ với thiện chí, cho phép hội đồng quản trị thực hiện một số bước nhất định để tránh rủi ro mà họ nhận thấy. Ví dụ, họ có thể chi tiền của công ty để thông tin cho cổ đông và tìm cách đưa họ đến quan điểm tương tự. . . . Nhưng có sự khác biệt rất lớn giữa việc chi tiền của công ty để thông tin cho cử tri và việc thực thi quyền lực với mục đích chính là ngăn chặn hành động hiệu quả của cổ đông. Đa số cổ đông, những người không bị chi phối dưới bất kỳ khía cạnh nào, có thể nhìn nhận vấn đề khác với hội đồng quản trị. Nếu họ làm vậy, hoặc đã làm vậy, họ có quyền sử dụng các cơ chế được cung cấp bởi luật công ty và điều lệ thành lập của Atlas để thúc đẩy quan điểm đó. Theo ý kiến của tôi, họ cũng có quyền kiềm chế các đại diện của mình, tức hội đồng quản trị, khỏi hành động với mục đích chính là cản trở hành động đó.</w:t>
      </w:r>
    </w:p>
    <w:p>
      <w:pPr>
        <w:spacing w:after="80"/>
      </w:pPr>
      <w:r>
        <w:rPr>
          <w:b w:val="0"/>
          <w:i w:val="0"/>
        </w:rPr>
        <w:t>Do đó tôi kết luận rằng, ngay cả khi thấy hành động đã thực hiện được thực hiện với thiện chí, nó vẫn cấu thành một sự vi phạm ngoài ý muốn đối với nghĩa vụ trung thành mà hội đồng quản trị nợ các cổ đông. Tôi xin lưu ý trong ngoặc rằng khái niệm vi phạm ngoài ý muốn nghĩa vụ trung thành là bất thường nhưng không mới lạ. . . . Do đó, hành động đó sẽ bị bãi bỏ theo lệnh của tòa án này.</w:t>
      </w:r>
    </w:p>
    <w:p>
      <w:pPr>
        <w:pStyle w:val="Heading5"/>
      </w:pPr>
      <w:r>
        <w:rPr>
          <w:rFonts w:ascii="Calibri" w:hAnsi="Calibri"/>
          <w:b/>
          <w:i/>
          <w:sz w:val="22"/>
        </w:rPr>
        <w:t>Bình luận và Câu hỏi</w:t>
      </w:r>
    </w:p>
    <w:p>
      <w:pPr>
        <w:spacing w:after="80"/>
      </w:pPr>
      <w:r>
        <w:rPr>
          <w:b w:val="0"/>
          <w:i w:val="0"/>
        </w:rPr>
        <w:t>1. Liệu hội đồng quản trị có thể thực hiện những hành động tương tự đang được đề cập trong vụ án này trong các hoàn cảnh khác mà không gây ra những lo ngại đang được đề cập trong vụ án này không? Hãy đưa ra một số ví dụ.</w:t>
      </w:r>
    </w:p>
    <w:p>
      <w:pPr>
        <w:spacing w:after="80"/>
      </w:pPr>
      <w:r>
        <w:rPr>
          <w:b w:val="0"/>
          <w:i w:val="0"/>
        </w:rPr>
        <w:t>2. Vụ án này xoay quanh động cơ. Khi mở rộng quy mô hội đồng quản trị và bầu thêm hai giám đốc, hội đồng quản trị có ý định ngăn cản các cổ đông bầu ra đa số giám đốc. Những vấn đề giải thích nào có thể phát sinh liên quan đến tiêu chuẩn này?</w:t>
      </w:r>
    </w:p>
    <w:p>
      <w:pPr>
        <w:spacing w:after="80"/>
      </w:pPr>
      <w:r>
        <w:rPr>
          <w:b w:val="0"/>
          <w:i w:val="0"/>
        </w:rPr>
        <w:t xml:space="preserve">3. "Các nhà bình luận đã cố gắng hợp lý hóa chuỗi án lệ </w:t>
      </w:r>
      <w:r>
        <w:rPr>
          <w:b w:val="0"/>
          <w:i/>
        </w:rPr>
        <w:t>Blasius</w:t>
      </w:r>
      <w:r>
        <w:rPr>
          <w:b w:val="0"/>
          <w:i w:val="0"/>
        </w:rPr>
        <w:t xml:space="preserve"> bằng cách lập luận rằng khi hành động của hội đồng quản trị can thiệp vào hành động sắp xảy ra của cổ đông thì nó sẽ bị vô hiệu, nhưng nếu mối đe dọa không cấp bách và hành động không mang tính ngăn chặn thì nó sẽ tồn tại." William J. Carney &amp; George B. Shepherd, </w:t>
      </w:r>
      <w:r>
        <w:rPr>
          <w:b w:val="0"/>
          <w:i/>
        </w:rPr>
        <w:t>The Mystery of the Success of Delaware Law: The Mystery of Delaware Law's Continuing Success</w:t>
      </w:r>
      <w:r>
        <w:rPr>
          <w:b w:val="0"/>
          <w:i w:val="0"/>
        </w:rPr>
        <w:t xml:space="preserve"> , 2009 U. Ill. L. Rev. 1, 43. Bạn có đồng ý với cách giải thích này về </w:t>
      </w:r>
      <w:r>
        <w:rPr>
          <w:b w:val="0"/>
          <w:i/>
        </w:rPr>
        <w:t>Blasius</w:t>
      </w:r>
      <w:r>
        <w:rPr>
          <w:b w:val="0"/>
          <w:i w:val="0"/>
        </w:rPr>
        <w:t xml:space="preserve"> không? Bạn thấy một số khó khăn trong việc thực hiện tiêu chuẩn này là gì?</w:t>
      </w:r>
    </w:p>
    <w:p>
      <w:pPr>
        <w:spacing w:after="80"/>
      </w:pPr>
      <w:r>
        <w:rPr>
          <w:b w:val="0"/>
          <w:i w:val="0"/>
        </w:rPr>
        <w:t xml:space="preserve">4. Tòa án đã từ chối áp dụng một quy tắc </w:t>
      </w:r>
      <w:r>
        <w:rPr>
          <w:b w:val="0"/>
          <w:i/>
        </w:rPr>
        <w:t>per se</w:t>
      </w:r>
      <w:r>
        <w:rPr>
          <w:b w:val="0"/>
          <w:i w:val="0"/>
        </w:rPr>
        <w:t xml:space="preserve"> cấm các thực tiễn này và thay vào đó áp đặt lên hội đồng quản trị nghĩa vụ chứng minh "lý lẽ biện minh thuyết phục" (compelling justification) cho bất kỳ hạn chế nào đối với quyền biểu quyết. Các tòa án đã gọi tiêu chuẩn này là "khá nặng nề". Đây có phải là kết quả đúng đắn không? Chứng minh lý lẽ biện minh thuyết phục nghĩa là gì?</w:t>
      </w:r>
    </w:p>
    <w:p>
      <w:pPr>
        <w:spacing w:after="80"/>
      </w:pPr>
      <w:r>
        <w:rPr>
          <w:b w:val="0"/>
          <w:i w:val="0"/>
        </w:rPr>
        <w:t xml:space="preserve">5. Một số cơ chế khác trong thẩm quyền của hội đồng quản trị có thể được sử dụng để hạn chế quyền biểu quyết là gì? Còn việc thay đổi quy mô hội đồng quản trị thì sao? </w:t>
      </w:r>
      <w:r>
        <w:rPr>
          <w:b w:val="0"/>
          <w:i/>
        </w:rPr>
        <w:t>Xem MM Cos. v. Liquid Audio, Inc.</w:t>
      </w:r>
      <w:r>
        <w:rPr>
          <w:b w:val="0"/>
          <w:i w:val="0"/>
        </w:rPr>
        <w:t xml:space="preserve"> , 813 A.2d 1118, 1132 (Del. 2003).</w:t>
      </w:r>
    </w:p>
    <w:p>
      <w:pPr>
        <w:spacing w:after="80"/>
      </w:pPr>
      <w:r>
        <w:rPr>
          <w:b w:val="0"/>
          <w:i w:val="0"/>
        </w:rPr>
        <w:t>6. Còn việc thao túng ngày chốt danh sách (record date) thì sao? Delaware hiện cho phép (nhưng không bắt buộc) các công ty đặt một ngày chốt danh sách cho thông báo cuộc họp và một ngày khác cho việc biểu quyết. Del. Code Ann. tit. 8, § 213(a). Việc thay đổi ngày chốt danh sách biểu quyết vào phút chót có thể ảnh hưởng đến kết quả biểu quyết của cổ đông như thế nào?</w:t>
      </w:r>
    </w:p>
    <w:p>
      <w:pPr>
        <w:spacing w:after="80"/>
      </w:pPr>
      <w:r>
        <w:rPr>
          <w:b w:val="0"/>
          <w:i w:val="0"/>
        </w:rPr>
        <w:t xml:space="preserve">7. Một số người về cơ bản đã khẳng định rằng </w:t>
      </w:r>
      <w:r>
        <w:rPr>
          <w:b w:val="0"/>
          <w:i/>
        </w:rPr>
        <w:t>Blasius</w:t>
      </w:r>
      <w:r>
        <w:rPr>
          <w:b w:val="0"/>
          <w:i w:val="0"/>
        </w:rPr>
        <w:t xml:space="preserve"> chưa đi đủ xa. </w:t>
      </w:r>
      <w:r>
        <w:rPr>
          <w:b w:val="0"/>
          <w:i/>
        </w:rPr>
        <w:t>Xem</w:t>
      </w:r>
      <w:r>
        <w:rPr>
          <w:b w:val="0"/>
          <w:i w:val="0"/>
        </w:rPr>
        <w:t xml:space="preserve"> Julian Velasco, </w:t>
      </w:r>
      <w:r>
        <w:rPr>
          <w:b w:val="0"/>
          <w:i/>
        </w:rPr>
        <w:t>Taking Shareholder Rights Seriously</w:t>
      </w:r>
      <w:r>
        <w:rPr>
          <w:b w:val="0"/>
          <w:i w:val="0"/>
        </w:rPr>
        <w:t xml:space="preserve"> , 41 U.C. Davis L. Rev. 605, 658 (2007) ("Trên thực tế, có thể hợp lý khi mở rộng </w:t>
      </w:r>
      <w:r>
        <w:rPr>
          <w:b w:val="0"/>
          <w:i/>
        </w:rPr>
        <w:t>Blasius</w:t>
      </w:r>
      <w:r>
        <w:rPr>
          <w:b w:val="0"/>
          <w:i w:val="0"/>
        </w:rPr>
        <w:t xml:space="preserve"> vượt ra ngoài tiêu chuẩn ý định can thiệp để cũng bao gồm bất kỳ hành động nào có tác động đáng kể đến việc can thiệp vào nền dân chủ cổ đông."). Bạn có đồng ý không?</w:t>
      </w:r>
    </w:p>
    <w:p>
      <w:pPr>
        <w:spacing w:after="80"/>
      </w:pPr>
      <w:r>
        <w:rPr>
          <w:b w:val="0"/>
          <w:i w:val="0"/>
        </w:rPr>
        <w:t>—————</w:t>
      </w:r>
    </w:p>
    <w:p>
      <w:pPr>
        <w:spacing w:after="80"/>
      </w:pPr>
      <w:r>
        <w:rPr>
          <w:b w:val="0"/>
          <w:i w:val="0"/>
        </w:rPr>
        <w:t xml:space="preserve">Tiêu chuẩn </w:t>
      </w:r>
      <w:r>
        <w:rPr>
          <w:b w:val="0"/>
          <w:i/>
        </w:rPr>
        <w:t>Blasius</w:t>
      </w:r>
      <w:r>
        <w:rPr>
          <w:b w:val="0"/>
          <w:i w:val="0"/>
        </w:rPr>
        <w:t xml:space="preserve"> tạo ra một tiêu chuẩn xem xét trung gian, nằm đâu đó giữa nghĩa vụ cẩn trọng và nghĩa vụ trung thành. Các tòa án gọi đó là sự giám sát tăng cường (enhanced scrutiny). </w:t>
      </w:r>
      <w:r>
        <w:rPr>
          <w:b w:val="0"/>
          <w:i/>
        </w:rPr>
        <w:t>Xem Reis v. Hazelett Strip-Casting Corp.</w:t>
      </w:r>
      <w:r>
        <w:rPr>
          <w:b w:val="0"/>
          <w:i w:val="0"/>
        </w:rPr>
        <w:t xml:space="preserve"> , 2011 Del. Ch. LEXIS 11 (Jan. 21, 2011). </w:t>
      </w:r>
      <w:r>
        <w:rPr>
          <w:b w:val="0"/>
          <w:i/>
        </w:rPr>
        <w:t>Blasius</w:t>
      </w:r>
      <w:r>
        <w:rPr>
          <w:b w:val="0"/>
          <w:i w:val="0"/>
        </w:rPr>
        <w:t xml:space="preserve"> là một tiêu chuẩn trung gian; </w:t>
      </w:r>
      <w:r>
        <w:rPr>
          <w:b w:val="0"/>
          <w:i/>
        </w:rPr>
        <w:t>Unocal</w:t>
      </w:r>
      <w:r>
        <w:rPr>
          <w:b w:val="0"/>
          <w:i w:val="0"/>
        </w:rPr>
        <w:t xml:space="preserve"> là một tiêu chuẩn khác. Hơn nữa, hai tiêu chuẩn này có thể phát sinh trong cùng một bối cảnh. Vì vậy, ví dụ, hành vi liên quan đến tiêu chuẩn </w:t>
      </w:r>
      <w:r>
        <w:rPr>
          <w:b w:val="0"/>
          <w:i/>
        </w:rPr>
        <w:t>Blasiuis</w:t>
      </w:r>
      <w:r>
        <w:rPr>
          <w:b w:val="0"/>
          <w:i w:val="0"/>
        </w:rPr>
        <w:t xml:space="preserve"> cũng có thể cấu thành một biện pháp phòng vệ thuộc phạm vi </w:t>
      </w:r>
      <w:r>
        <w:rPr>
          <w:b w:val="0"/>
          <w:i/>
        </w:rPr>
        <w:t>Unocal.</w:t>
      </w:r>
      <w:r>
        <w:rPr>
          <w:b w:val="0"/>
          <w:i w:val="0"/>
        </w:rPr>
        <w:t xml:space="preserve"> Một số người đã lập luận rằng cách tiếp cận nên được đơn giản hóa và hai tiêu chuẩn nên được kết hợp lại.</w:t>
      </w:r>
    </w:p>
    <w:p>
      <w:pPr>
        <w:pStyle w:val="Heading4"/>
      </w:pPr>
      <w:r>
        <w:rPr>
          <w:rFonts w:ascii="Calibri" w:hAnsi="Calibri"/>
          <w:b/>
          <w:i w:val="0"/>
          <w:sz w:val="23"/>
        </w:rPr>
        <w:t>Mercier v. Inter-Tel (Delaware), Inc.</w:t>
      </w:r>
    </w:p>
    <w:p>
      <w:pPr>
        <w:spacing w:after="80"/>
      </w:pPr>
      <w:r>
        <w:rPr>
          <w:b w:val="0"/>
          <w:i w:val="0"/>
        </w:rPr>
        <w:t>Tòa án Chancery Delaware</w:t>
      </w:r>
      <w:r>
        <w:br/>
      </w:r>
      <w:r>
        <w:rPr>
          <w:b w:val="0"/>
          <w:i w:val="0"/>
        </w:rPr>
        <w:t xml:space="preserve"> 929 A.2d 786 (2007)</w:t>
      </w:r>
    </w:p>
    <w:p>
      <w:pPr>
        <w:spacing w:after="80"/>
      </w:pPr>
      <w:r>
        <w:rPr>
          <w:b w:val="0"/>
          <w:i w:val="0"/>
        </w:rPr>
        <w:t>STRINE , PHÓ CHÁNH ÁN :</w:t>
      </w:r>
    </w:p>
    <w:p>
      <w:pPr>
        <w:spacing w:after="80"/>
      </w:pPr>
      <w:r>
        <w:rPr>
          <w:b w:val="0"/>
          <w:i w:val="0"/>
        </w:rPr>
        <w:t>Nguyên đơn, Vernon Mercier, trong vụ kiện tập thể này yêu cầu sơ bộ cấm việc hoàn tất một thương vụ sáp nhập đã được cổ đông chấp thuận, trong đó Inter-Tel, Inc. sẽ bán chính mình cho Mitel Networks Corporation trong một thương vụ sáp nhập toàn tiền mặt, toàn cổ phần với giá $25.60 một cổ phần ("Thương vụ Sáp nhập Mitel"). Mercier sở hữu 100 cổ phần của Inter-Tel, mà ông đã nắm giữ từ năm 1999.</w:t>
      </w:r>
    </w:p>
    <w:p>
      <w:pPr>
        <w:spacing w:after="80"/>
      </w:pPr>
      <w:r>
        <w:rPr>
          <w:b w:val="0"/>
          <w:i w:val="0"/>
        </w:rPr>
        <w:t>* * *</w:t>
      </w:r>
    </w:p>
    <w:p>
      <w:pPr>
        <w:spacing w:after="80"/>
      </w:pPr>
      <w:r>
        <w:rPr>
          <w:b w:val="0"/>
          <w:i w:val="0"/>
        </w:rPr>
        <w:t>Sau khi Inter-Tel ấn định ngày họp [cổ đông] [để phê duyệt Thương vụ Sáp nhập với Mitel vào ngày 29 tháng 6], Mihaylo [cổ đông lớn nhất của Inter-Tel] lại nhảy vào cuộc chơi. . . . Vào ngày 4 tháng 6, Mihaylo gửi một lá thư công khai tới các cổ đông của Inter-Tel. Trong lá thư đó, Mihaylo phàn nàn rằng Ủy ban Đặc biệt đã bí mật xem xét các đề xuất mua lại và đã không yêu cầu ông đưa ra giá thầu hay tiến hành một cuộc đấu giá đầy đủ. Ông bày tỏ sự phản đối đối với Thương vụ Sáp nhập Mitel và đề xuất một phương án giao dịch thay thế, theo đó Inter-Tel sẽ thực hiện tái cấu trúc vốn đòn bẩy. Đề xuất "Recap" của Mihaylo liên quan đến việc công ty sử dụng kết hợp 50–50% tiền mặt hiện có và nợ mới để mua lại tối đa 60% cổ phiếu của mình với giá 28 đô la một cổ phiếu. . . .</w:t>
      </w:r>
    </w:p>
    <w:p>
      <w:pPr>
        <w:spacing w:after="80"/>
      </w:pPr>
      <w:r>
        <w:rPr>
          <w:b w:val="0"/>
          <w:i w:val="0"/>
        </w:rPr>
        <w:t>* * *</w:t>
      </w:r>
    </w:p>
    <w:p>
      <w:pPr>
        <w:spacing w:after="80"/>
      </w:pPr>
      <w:r>
        <w:rPr>
          <w:b w:val="0"/>
          <w:i w:val="0"/>
        </w:rPr>
        <w:t>Khi ngày 29 tháng 6 đến gần, Ủy ban Đặc biệt biết gần như chắc chắn rằng Thương vụ Sáp nhập sẽ bị đánh bại nếu cuộc họp đặc biệt được tổ chức như đã lên lịch. Đến ngày 25 tháng 6, Innisfree [một công ty thu thập phiếu biểu quyết được Inter-Tel thuê] đã báo cáo rằng mọi cổ đông lớn đã bỏ phiếu đều phản đối Thương vụ Sáp nhập. Vào ngày 26 tháng 6, đối thủ West Coast của ISS [Institutional Shareholder Services] là Glass Lewis cũng khuyến nghị bỏ phiếu chống lại Thương vụ Sáp nhập.</w:t>
      </w:r>
    </w:p>
    <w:p>
      <w:pPr>
        <w:spacing w:after="80"/>
      </w:pPr>
      <w:r>
        <w:rPr>
          <w:b w:val="0"/>
          <w:i w:val="0"/>
        </w:rPr>
        <w:t>Ngày hôm sau, Innisfree báo cáo rằng hơn 73% số cổ phiếu đã được bỏ phiếu, và 49,6% số cổ phiếu đang lưu hành của Inter-Tel đã được bỏ phiếu chống lại Thương vụ Sáp nhập. Tỷ lệ bỏ phiếu còn nghiêng mạnh hơn nữa chống lại việc cho phép hoãn cuộc họp trong trường hợp không đủ phiếu để phê duyệt Thương vụ Sáp nhập.</w:t>
      </w:r>
    </w:p>
    <w:p>
      <w:pPr>
        <w:spacing w:after="80"/>
      </w:pPr>
      <w:r>
        <w:rPr>
          <w:b w:val="0"/>
          <w:i w:val="0"/>
        </w:rPr>
        <w:t>Đến giai đoạn này, Ủy ban Đặc biệt đã buông xuôi. Stout [Giám đốc điều hành của Inter-Tel] coi Thương vụ Sáp nhập là "DOA" (chết ngay khi đến), nhưng ông và những người khác trong nhóm Ủy ban Đặc biệt vẫn tiếp tục cố gắng làm cho cuộc bỏ phiếu sát nút hơn, một phần vì, như Chủ tịch Cappello của ủy ban đã lưu ý, một cuộc bỏ phiếu sát nút sẽ "giúp ích về sau khi [Mihaylo] tiến hành lật đổ hội đồng quản trị." Chính ở giai đoạn này, Innisfree nhận được tín hiệu từ ISS rằng họ có thể xem xét lại lập trường của mình nếu có sự hoãn lại. Innisfree cũng khuyên Stout và Cappello [Chủ tịch Hội đồng Quản trị của Inter-Tel] rằng "một thay đổi ngắn về ngày chốt danh sách cổ đông sẽ khiến các nhà kinh doanh chênh lệch giá nắm giữ cổ phiếu khá nhiều."</w:t>
      </w:r>
    </w:p>
    <w:p>
      <w:pPr>
        <w:spacing w:after="80"/>
      </w:pPr>
      <w:r>
        <w:rPr>
          <w:b w:val="0"/>
          <w:i w:val="0"/>
        </w:rPr>
        <w:t>* * *</w:t>
      </w:r>
    </w:p>
    <w:p>
      <w:pPr>
        <w:spacing w:after="80"/>
      </w:pPr>
      <w:r>
        <w:rPr>
          <w:b w:val="0"/>
          <w:i w:val="0"/>
        </w:rPr>
        <w:t>Tại một cuộc họp kéo dài, Ủy ban Đặc biệt đã cân nhắc xem có nên hoãn cuộc họp hay không. Có thể nói rằng cuộc họp đã được "tư vấn" một cách rõ ràng và kỹ lưỡng, và biên bản cuộc họp không phản ánh thực tế hiển nhiên thúc đẩy nhu cầu tổ chức cuộc họp: Thương vụ Sáp nhập sẽ bị đánh bại vào ngày hôm sau. Thay vào đó, biên bản tập trung vào các yếu tố khác nhau được nêu ở trên, những yếu tố được cho là biện minh cho việc hoãn lại. Ủy ban Đặc biệt cuối cùng quyết định để qua đêm suy nghĩ. Họ họp lại vào sáng sớm hôm sau và quyết định dời lịch cuộc họp. Một thành viên của Ủy ban Đặc biệt đã phản đối. Ông ủng hộ Thương vụ Sáp nhập nhưng không thoải mái với việc dời lịch bỏ phiếu.</w:t>
      </w:r>
    </w:p>
    <w:p>
      <w:pPr>
        <w:spacing w:after="80"/>
      </w:pPr>
      <w:r>
        <w:rPr>
          <w:b w:val="0"/>
          <w:i w:val="0"/>
        </w:rPr>
        <w:t>Ủy ban Đặc biệt tin rằng cuộc họp đặc biệt nên được dời lịch để các cổ đông có thể hưởng lợi từ kết quả quý hai của công ty và có thêm thời gian cân nhắc các yếu tố khác được nêu trước khi từ chối Thương vụ Sáp nhập. Ủy ban Đặc biệt cho rằng việc các cổ đông suy nghĩ thêm là vì lợi ích tốt nhất của họ. Mặc dù biên bản không diễn đạt theo cách này, nhưng Ủy ban Đặc biệt tin rằng các cổ đông sắp mắc phải một sai lầm lớn.</w:t>
      </w:r>
    </w:p>
    <w:p>
      <w:pPr>
        <w:spacing w:after="80"/>
      </w:pPr>
      <w:r>
        <w:rPr>
          <w:b w:val="0"/>
          <w:i w:val="0"/>
        </w:rPr>
        <w:t>Khi bỏ phiếu dời lịch, Ủy ban Đặc biệt ý thức được rằng nếu cuộc bỏ phiếu được tổ chức vào ngày hôm đó, Thương vụ Sáp nhập sẽ bị đánh bại một cách thảm hại. Trên thực tế, vào thời điểm đó, rõ ràng là đa số tuyệt đối số cổ phiếu đang lưu hành, gần 15,5 triệu cổ phiếu, sẽ bỏ phiếu chống lại Thương vụ Sáp nhập, và chỉ có khoảng 5 triệu cổ phiếu ủng hộ Thương vụ Sáp nhập.</w:t>
      </w:r>
    </w:p>
    <w:p>
      <w:pPr>
        <w:spacing w:after="80"/>
      </w:pPr>
      <w:r>
        <w:rPr>
          <w:b w:val="0"/>
          <w:i w:val="0"/>
        </w:rPr>
        <w:t>Ủy ban Đặc biệt trì hoãn cuộc bỏ phiếu chính xác là để có thêm thời gian thuyết phục các cổ đông ủng hộ Thương vụ Sáp nhập. Trên thực tế, Stout, Giám đốc điều hành của công ty, đã thừa nhận rằng ông sẽ không ủng hộ việc hoãn cuộc họp nếu các cổ đông đang nghiêng về phía phê duyệt Thương vụ Sáp nhập.</w:t>
      </w:r>
    </w:p>
    <w:p>
      <w:pPr>
        <w:spacing w:after="80"/>
      </w:pPr>
      <w:r>
        <w:rPr>
          <w:b w:val="0"/>
          <w:i w:val="0"/>
        </w:rPr>
        <w:t>* * *</w:t>
      </w:r>
    </w:p>
    <w:p>
      <w:pPr>
        <w:spacing w:after="80"/>
      </w:pPr>
      <w:r>
        <w:rPr>
          <w:b w:val="0"/>
          <w:i w:val="0"/>
        </w:rPr>
        <w:t>Vào ngày 2 tháng 7, Inter-Tel công bố ngày của cuộc họp được dời lịch và ngày chốt danh sách cổ đông mới. Vì ngày chốt danh sách cổ đông muộn hơn một tuần sau thông báo, nên đã có thêm thời gian cho các nhà kinh doanh chênh lệch giá cũng như tất cả các nhà đầu tư khác mua cổ phiếu Inter-Tel để có thể bỏ phiếu tại cuộc họp. Sau khi những lo ngại được nêu ra về việc liệu ngày họp mới là 23 tháng 7 có tuân thủ các yêu cầu thông báo tối thiểu của § 251(c) của DGCL hay không, cuộc họp đã được chuyển sang ngày 2 tháng 8.</w:t>
      </w:r>
    </w:p>
    <w:p>
      <w:pPr>
        <w:spacing w:after="80"/>
      </w:pPr>
      <w:r>
        <w:rPr>
          <w:b w:val="0"/>
          <w:i w:val="0"/>
        </w:rPr>
        <w:t>* * *</w:t>
      </w:r>
    </w:p>
    <w:p>
      <w:pPr>
        <w:spacing w:after="80"/>
      </w:pPr>
      <w:r>
        <w:rPr>
          <w:b w:val="0"/>
          <w:i w:val="0"/>
        </w:rPr>
        <w:t>Vào ngày 2 tháng 8, cuộc họp đặc biệt về Thương vụ Sáp nhập thực sự đã được tổ chức. Hơn 87% số cổ phiếu đang lưu hành đã được bỏ phiếu. Hơn 62% trong số 27,3 triệu cổ phiếu đang lưu hành của Inter-Tel đã được bỏ phiếu ủng hộ Thương vụ Sáp nhập, với khoảng 25% phản đối. Trong số các cổ phiếu được bỏ phiếu, gần 72% bỏ phiếu ủng hộ Thương vụ Sáp nhập. Trong số các cổ phiếu không do Mihaylo kiểm soát, hơn 90% số cổ phiếu được bỏ phiếu ủng hộ Thương vụ Sáp nhập. Trên thực tế, lần này các cổ đông thậm chí còn phê duyệt nghị quyết thứ hai cho phép hoãn cuộc họp nếu cần thiết để thu thập thêm phiếu ủng hộ Thương vụ Sáp nhập.</w:t>
      </w:r>
    </w:p>
    <w:p>
      <w:pPr>
        <w:spacing w:after="80"/>
      </w:pPr>
      <w:r>
        <w:rPr>
          <w:b w:val="0"/>
          <w:i w:val="0"/>
        </w:rPr>
        <w:t>* * *</w:t>
      </w:r>
    </w:p>
    <w:p>
      <w:pPr>
        <w:spacing w:after="80"/>
      </w:pPr>
      <w:r>
        <w:rPr>
          <w:b w:val="0"/>
          <w:i w:val="0"/>
        </w:rPr>
        <w:t xml:space="preserve">Sẽ chẳng có gì là thiếu tế nhị nếu tôi thừa nhận một lần nữa một thực tế đã được biết đến rộng rãi rằng luật của chúng ta đã chật vật trong việc xác định một cách chắc chắn tiêu chuẩn xem xét mà tòa án này nên sử dụng để đánh giá hành động của ban giám đốc có ảnh hưởng đến việc tiến hành các cuộc bầu cử công ty. Kết quả trong các vụ án là hợp lý, vì các phán quyết đã làm tốt việc phân loại giữa những tình huống khi ban giám đốc đã thao túng quy trình bầu cử một cách bất công để củng cố vị trí của mình chống lại những người nổi loạn và những tình huống khi ban giám đốc đã sử dụng đúng đắn thẩm quyền của mình đối với quy trình bầu cử vì những lý do thiện chí không làm tổn hại đến tính toàn vẹn của quy trình bầu cử. Tuy nhiên, vấn đề còn tồn tại là không có một lăng kính chắc chắn nào để các thẩm phán nhìn nhận những vụ án như thế này. Điểm mạnh lớn của </w:t>
      </w:r>
      <w:r>
        <w:rPr>
          <w:b w:val="0"/>
          <w:i/>
        </w:rPr>
        <w:t>Blasius</w:t>
      </w:r>
      <w:r>
        <w:rPr>
          <w:b w:val="0"/>
          <w:i w:val="0"/>
        </w:rPr>
        <w:t xml:space="preserve"> — lời nhắc nhở về tầm quan trọng của quy trình bầu cử ban giám đốc và rào cản mà phán quyết này dựng lên đối với việc chấp nhận học thuyết kỳ quặc về "sự ép buộc thực chất" (substantive coercion) đối với câu hỏi ai nên cấu thành hội đồng quản trị — đi kèm với một số ngôn từ quá rộng đã khiến tiêu chuẩn xem xét được nêu trong vụ án trở thành một công cụ quá thô để sử dụng thường xuyên. Như đã được ghi nhận ở nơi khác, yếu tố kích hoạt việc áp dụng phép thử này — hành động của ban giám đốc có mục đích chính là tước quyền bầu cử — mang tính miệt thị đến mức nó giống một nhãn mác cho một kết quả hơn là một hướng dẫn hữu ích để xác định tiêu chuẩn xem xét nào mà một thẩm phán nên sử dụng để đạt được một kết quả phù hợp. Kết quả là, các phán quyết sau </w:t>
      </w:r>
      <w:r>
        <w:rPr>
          <w:b w:val="0"/>
          <w:i/>
        </w:rPr>
        <w:t>Blasius</w:t>
      </w:r>
      <w:r>
        <w:rPr>
          <w:b w:val="0"/>
          <w:i w:val="0"/>
        </w:rPr>
        <w:t xml:space="preserve"> có xu hướng liên quan đến những nỗ lực lập luận mang tính ngưỡng về lý do tại sao hành động của ban giám đốc ảnh hưởng đến khả năng hành động của cổ đông lại không cấu thành việc tước quyền bầu cử, từ đó loại bỏ nhu cầu áp dụng </w:t>
      </w:r>
      <w:r>
        <w:rPr>
          <w:b w:val="0"/>
          <w:i/>
        </w:rPr>
        <w:t>Blasius</w:t>
      </w:r>
      <w:r>
        <w:rPr>
          <w:b w:val="0"/>
          <w:i w:val="0"/>
        </w:rPr>
        <w:t xml:space="preserve"> hoàn toàn.</w:t>
      </w:r>
    </w:p>
    <w:p>
      <w:pPr>
        <w:spacing w:after="80"/>
      </w:pPr>
      <w:r>
        <w:rPr>
          <w:b w:val="0"/>
          <w:i/>
        </w:rPr>
        <w:t>Blasius</w:t>
      </w:r>
      <w:r>
        <w:rPr>
          <w:b w:val="0"/>
          <w:i w:val="0"/>
        </w:rPr>
        <w:t xml:space="preserve"> cũng sử dụng trong bối cảnh công ty những ngôn từ mang ý nghĩa biểu tượng đối với những người thấm nhuần truyền thống pháp lý của chúng ta. . . . Vì lý do đó, Tòa án Tối cao của chúng ta đã thẳng thắn tuyên bố rằng </w:t>
      </w:r>
      <w:r>
        <w:rPr>
          <w:b w:val="0"/>
          <w:i/>
        </w:rPr>
        <w:t>Blasius</w:t>
      </w:r>
      <w:r>
        <w:rPr>
          <w:b w:val="0"/>
          <w:i w:val="0"/>
        </w:rPr>
        <w:t xml:space="preserve"> là một phép thử nghiêm ngặt đến mức nó "hiếm khi được áp dụng."</w:t>
      </w:r>
    </w:p>
    <w:p>
      <w:pPr>
        <w:spacing w:after="80"/>
      </w:pPr>
      <w:r>
        <w:rPr>
          <w:b w:val="0"/>
          <w:i w:val="0"/>
        </w:rPr>
        <w:t xml:space="preserve">Khi án lệ phát triển, ngày càng rõ ràng rằng sự hoài nghi truyền thống và việc giám sát chặt chẽ mà Delaware luôn áp dụng đối với các hành động của ban giám đốc có thể làm ô uế quy trình bầu cử một cách bất công — một truyền thống mà </w:t>
      </w:r>
      <w:r>
        <w:rPr>
          <w:b w:val="0"/>
          <w:i/>
        </w:rPr>
        <w:t>Blasius</w:t>
      </w:r>
      <w:r>
        <w:rPr>
          <w:b w:val="0"/>
          <w:i w:val="0"/>
        </w:rPr>
        <w:t xml:space="preserve"> đã thừa nhận và điều quan trọng là được phản ánh trong </w:t>
      </w:r>
      <w:r>
        <w:rPr>
          <w:b w:val="0"/>
          <w:i/>
        </w:rPr>
        <w:t>Schnell v. Chris-Craft Industries, Inc.</w:t>
      </w:r>
      <w:r>
        <w:rPr>
          <w:b w:val="0"/>
          <w:i w:val="0"/>
        </w:rPr>
        <w:t xml:space="preserve"> — cần được bảo tồn, nhưng được áp dụng theo một cách khả thi hơn so với cách </w:t>
      </w:r>
      <w:r>
        <w:rPr>
          <w:b w:val="0"/>
          <w:i/>
        </w:rPr>
        <w:t>Blasius</w:t>
      </w:r>
      <w:r>
        <w:rPr>
          <w:b w:val="0"/>
          <w:i w:val="0"/>
        </w:rPr>
        <w:t xml:space="preserve"> đã trình bày. Bởi vì các vụ án liên quan đến hành động hướng đến bầu cử thường phát sinh trong bối cảnh M &amp; A, việc các thẩm phán suy nghĩ về tiêu chuẩn </w:t>
      </w:r>
      <w:r>
        <w:rPr>
          <w:b w:val="0"/>
          <w:i/>
        </w:rPr>
        <w:t>Unocal</w:t>
      </w:r>
      <w:r>
        <w:rPr>
          <w:b w:val="0"/>
          <w:i w:val="0"/>
        </w:rPr>
        <w:t xml:space="preserve"> là điều tự nhiên, vì dù sao họ cũng phải áp dụng tiêu chuẩn đó.</w:t>
      </w:r>
    </w:p>
    <w:p>
      <w:pPr>
        <w:spacing w:after="80"/>
      </w:pPr>
      <w:r>
        <w:rPr>
          <w:b w:val="0"/>
          <w:i w:val="0"/>
        </w:rPr>
        <w:t xml:space="preserve">May mắn thay, việc nhìn theo hướng đó cũng có ý nghĩa logic. </w:t>
      </w:r>
      <w:r>
        <w:rPr>
          <w:b w:val="0"/>
          <w:i/>
        </w:rPr>
        <w:t>Unocal</w:t>
      </w:r>
      <w:r>
        <w:rPr>
          <w:b w:val="0"/>
          <w:i w:val="0"/>
        </w:rPr>
        <w:t xml:space="preserve"> , khi được áp dụng một cách trung thành, đòi hỏi ban giám đốc phải gánh trách nhiệm chứng minh rằng hành động của họ là hợp lý. Một cách ngầm hiểu, nhưng quan trọng như tôi sẽ sớm trình bày, điều đó đòi hỏi ban giám đốc phải thuyết phục tòa án rằng hành động của họ được thúc đẩy bởi mối quan tâm thiện chí đối với lợi ích tốt nhất của cổ đông, chứ không phải bởi mong muốn củng cố vị trí hoặc làm giàu cho bản thân. Nói cách khác, để thỏa mãn trách nhiệm chứng minh theo </w:t>
      </w:r>
      <w:r>
        <w:rPr>
          <w:b w:val="0"/>
          <w:i/>
        </w:rPr>
        <w:t>Unocal</w:t>
      </w:r>
      <w:r>
        <w:rPr>
          <w:b w:val="0"/>
          <w:i w:val="0"/>
        </w:rPr>
        <w:t xml:space="preserve"> , ban giám đốc tối thiểu phải thuyết phục tòa án rằng họ đã không hành động vì một mục đích bất công. Do đó </w:t>
      </w:r>
      <w:r>
        <w:rPr>
          <w:b w:val="0"/>
          <w:i/>
        </w:rPr>
        <w:t>Unocal</w:t>
      </w:r>
      <w:r>
        <w:rPr>
          <w:b w:val="0"/>
          <w:i w:val="0"/>
        </w:rPr>
        <w:t xml:space="preserve"> bao hàm câu hỏi về lòng trung thành thấm đẫm mọi vụ án về nghĩa vụ ủy thác, đó là liệu ban giám đốc có hành động vì những lý do chính đáng hay không. Khía cạnh này của phép thử do đó giải quyết các vấn đề về thiện chí như những gì đang bị đặt cược trong </w:t>
      </w:r>
      <w:r>
        <w:rPr>
          <w:b w:val="0"/>
          <w:i/>
        </w:rPr>
        <w:t>Schnell.</w:t>
      </w:r>
    </w:p>
    <w:p>
      <w:pPr>
        <w:spacing w:after="80"/>
      </w:pPr>
      <w:r>
        <w:rPr>
          <w:b w:val="0"/>
          <w:i w:val="0"/>
        </w:rPr>
        <w:t xml:space="preserve">Nhưng </w:t>
      </w:r>
      <w:r>
        <w:rPr>
          <w:b w:val="0"/>
          <w:i/>
        </w:rPr>
        <w:t>Unocal</w:t>
      </w:r>
      <w:r>
        <w:rPr>
          <w:b w:val="0"/>
          <w:i w:val="0"/>
        </w:rPr>
        <w:t xml:space="preserve"> còn làm được nhiều hơn thế. Nguồn gốc của </w:t>
      </w:r>
      <w:r>
        <w:rPr>
          <w:b w:val="0"/>
          <w:i/>
        </w:rPr>
        <w:t>Unocal</w:t>
      </w:r>
      <w:r>
        <w:rPr>
          <w:b w:val="0"/>
          <w:i w:val="0"/>
        </w:rPr>
        <w:t xml:space="preserve"> như một tiêu chuẩn xem xét giải quyết các biện pháp phòng vệ chống thâu tóm có lẽ đã dẫn đến việc quá nhấn mạnh vào từ "mối đe dọa" trong phép thử. Cốt lõi công dụng của </w:t>
      </w:r>
      <w:r>
        <w:rPr>
          <w:b w:val="0"/>
          <w:i/>
        </w:rPr>
        <w:t>Unocal's</w:t>
      </w:r>
      <w:r>
        <w:rPr>
          <w:b w:val="0"/>
          <w:i w:val="0"/>
        </w:rPr>
        <w:t xml:space="preserve"> thực sự nằm ở trách nhiệm chứng minh mà nó áp đặt lên ban giám đốc để: (1) xác định các mục tiêu công ty chính đáng được phục vụ bởi hành động của họ; và (2) biện minh cho hành động của họ là hợp lý trong mối quan hệ với những mục tiêu đó. . . .</w:t>
      </w:r>
    </w:p>
    <w:p>
      <w:pPr>
        <w:spacing w:after="80"/>
      </w:pPr>
      <w:r>
        <w:rPr>
          <w:b w:val="0"/>
          <w:i w:val="0"/>
        </w:rPr>
        <w:t xml:space="preserve">. . . Tôi tin rằng tiêu chuẩn xem xét nên được sử dụng trong vụ án này là một tiêu chuẩn hợp lý nhất quán với tiêu chuẩn </w:t>
      </w:r>
      <w:r>
        <w:rPr>
          <w:b w:val="0"/>
          <w:i/>
        </w:rPr>
        <w:t>Unocal</w:t>
      </w:r>
      <w:r>
        <w:rPr>
          <w:b w:val="0"/>
          <w:i w:val="0"/>
        </w:rPr>
        <w:t xml:space="preserve"> . . . .</w:t>
      </w:r>
    </w:p>
    <w:p>
      <w:pPr>
        <w:spacing w:after="80"/>
      </w:pPr>
      <w:r>
        <w:rPr>
          <w:b w:val="0"/>
          <w:i w:val="0"/>
        </w:rPr>
        <w:t>Cụ thể hơn, tôi tin rằng trong vụ án này, trách nhiệm chứng minh ban đầu nên thuộc về hội đồng quản trị Inter-Tel để xác định một mục tiêu công ty chính đáng được phục vụ bởi quyết định dời lịch cuộc họp đặc biệt ngày 29 tháng 6 về Thương vụ Sáp nhập Mitel và ấn định một ngày ghi danh mới. Là một phần của việc thực hiện trách nhiệm đó, ban giám đốc nên gánh trách nhiệm thuyết phục để chứng minh rằng động cơ của họ là chính đáng và không ích kỷ. Tuy nhiên, việc chứng minh đó không đủ để cuối cùng giành thắng lợi. Để cuối cùng thành công, ban giám đốc phải chứng minh rằng hành động của họ là hợp lý trong mối quan hệ với mục tiêu chính đáng của họ, và không ngăn cản cổ đông thực hiện quyền bỏ phiếu của mình hoặc ép buộc họ bỏ phiếu theo một cách cụ thể. Nếu vì lý do nào đó, sự phù hợp giữa phương tiện và mục đích không hợp lý, ban giám đốc cũng sẽ không đạt được mục tiêu.</w:t>
      </w:r>
    </w:p>
    <w:p>
      <w:pPr>
        <w:spacing w:after="80"/>
      </w:pPr>
      <w:r>
        <w:rPr>
          <w:b w:val="0"/>
          <w:i w:val="0"/>
        </w:rPr>
        <w:t>* * *</w:t>
      </w:r>
    </w:p>
    <w:p>
      <w:pPr>
        <w:spacing w:after="80"/>
      </w:pPr>
      <w:r>
        <w:rPr>
          <w:b w:val="0"/>
          <w:i w:val="0"/>
        </w:rPr>
        <w:t xml:space="preserve">Là điểm khởi đầu trong phân tích của tôi [về tiêu chuẩn hợp lý từ </w:t>
      </w:r>
      <w:r>
        <w:rPr>
          <w:b w:val="0"/>
          <w:i/>
        </w:rPr>
        <w:t>Unocal</w:t>
      </w:r>
      <w:r>
        <w:rPr>
          <w:b w:val="0"/>
          <w:i w:val="0"/>
        </w:rPr>
        <w:t xml:space="preserve"> ], tôi giải quyết câu hỏi liệu Ủy ban Đặc biệt Inter-Tel có thuyết phục được tôi rằng họ thực sự đã hành động vì những lý do được thúc đẩy một cách chính đáng hay không. Về điểm đó, hồ sơ ủng hộ kết luận rằng Ủy ban Đặc biệt Inter-Tel được thúc đẩy bởi mối quan tâm thiện chí rằng Thương vụ Sáp nhập Mitel là vì lợi ích tốt nhất của các cổ đông Inter-Tel và rằng nếu cuộc họp được tổ chức đúng như lịch vào ngày 29 tháng 6, những lợi ích mà Thương vụ Sáp nhập hứa hẹn cho các cổ đông sẽ bị mất đi không thể cứu vãn. Khi kết luận như vậy, tôi không ngần ngại thừa nhận rằng Ủy ban Đặc biệt đã hành động chính xác vì họ tin — thực tế, biết gần như chắc chắn — rằng nếu cuộc bỏ phiếu về Thương vụ Sáp nhập diễn ra vào ngày 29 tháng 6, Thương vụ Sáp nhập sẽ bị đánh bại một cách thuyết phục.</w:t>
      </w:r>
    </w:p>
    <w:p>
      <w:pPr>
        <w:spacing w:after="80"/>
      </w:pPr>
      <w:r>
        <w:rPr>
          <w:b w:val="0"/>
          <w:i w:val="0"/>
        </w:rPr>
        <w:t>Nguyên đơn hoàn toàn không đưa ra bất kỳ lập luận nào đặt câu hỏi về tính độc lập của đa số thành viên Ủy ban Đặc biệt. Ngay cả đối với CEO của Inter-Tel là Stout, nguyên đơn cũng không thể đưa ra bất kỳ lý do đáng kể nào cho thấy tại sao Stout lại ủng hộ một thương vụ sáp nhập mua lại bằng tiền mặt với Mitel hơn là một phương án thay thế có giá cao hơn hoặc tiếp tục làm CEO của Mitel trên cơ sở độc lập nếu điều đó mang lại nhiều giá trị hơn. Nguyên đơn không chỉ ra bất cứ điều gì bất thường về gói trợ cấp thôi việc của ông và nguyên đơn cũng không đưa ra bất kỳ lập luận nào rằng Stout có thể bị sa thải có lý do nếu Mihaylo thành công trong việc nắm quyền kiểm soát hội đồng quản trị. Trong trường hợp bị sa thải không có lý do, Stout sẽ có khả năng nhận được một gói trợ cấp thôi việc đáng kể.</w:t>
      </w:r>
    </w:p>
    <w:p>
      <w:pPr>
        <w:spacing w:after="80"/>
      </w:pPr>
      <w:r>
        <w:rPr>
          <w:b w:val="0"/>
          <w:i w:val="0"/>
        </w:rPr>
        <w:t>Khi kết luận trên hồ sơ này rằng Ủy ban Đặc biệt đã hành động thiện chí, tôi lưu ý sự vắng mặt của bất kỳ bằng chứng nào cho thấy Ủy ban Đặc biệt đã thất bại trong việc kiên nhẫn khám phá khả năng có một đề nghị thâu tóm thay thế có giá trị hơn từ các bên quan tâm. Ngược lại, có vẻ như Ủy ban Đặc biệt đã siêng năng phản hồi tất cả các bên quan tâm và cố gắng tạo điều kiện cho các đề nghị hấp dẫn. Chắc chắn, Vector Capital đã nhận được sự đối xử như vậy, và điều đó cũng đúng ngay cả với Mihaylo. Và, tất nhiên, cần nhắc lại rằng sự thành công của Thương vụ Sáp nhập Mitel sẽ đẩy nhanh, chứ không làm chậm, việc Ủy ban Đặc biệt rời khỏi chức vụ giám đốc của họ.</w:t>
      </w:r>
    </w:p>
    <w:p>
      <w:pPr>
        <w:spacing w:after="80"/>
      </w:pPr>
      <w:r>
        <w:rPr>
          <w:b w:val="0"/>
          <w:i w:val="0"/>
        </w:rPr>
        <w:t>* * *</w:t>
      </w:r>
    </w:p>
    <w:p>
      <w:pPr>
        <w:spacing w:after="80"/>
      </w:pPr>
      <w:r>
        <w:rPr>
          <w:b w:val="0"/>
          <w:i w:val="0"/>
        </w:rPr>
        <w:t>Khi kết luận rằng Ủy ban Đặc biệt đã hành động vì mục đích chính đáng là cố gắng làm những gì họ cho là tốt nhất cho các cổ đông — hoãn cuộc bỏ phiếu để họ có thể tập hợp thêm sự ủng hộ cho Thương vụ Sáp nhập — tôi không kết luận rằng họ đã hành động một cách hoàn hảo. Như nguyên đơn lưu ý, người đại diện ủy quyền của Ủy ban Đặc biệt đã chỉ ra rằng việc thay đổi ngày ghi danh không chỉ cho phép những người nắm giữ thực tế cổ phiếu Inter-Tel không thể bỏ phiếu có thể làm điều đó, mà còn làm được nhiều hơn thế. Theo quan điểm của Innisfree, một ngày ghi danh tiềm năng mới sẽ cho phép những người kinh doanh chênh lệch giá mua thêm cổ phần với giá dưới mức giá Thương vụ Sáp nhập để có thể bỏ phiếu. Bởi vì những cổ phần đó có thể được mua với giá thấp hơn giá Thương vụ Sáp nhập, những người kinh doanh chênh lệch giá có thể kiếm lợi nhuận bằng cách mua, bỏ phiếu cho Thương vụ Sáp nhập, và thu lợi từ phần chênh lệch. Việc Ủy ban Đặc biệt đã bàn luận kỹ lưỡng về khả năng này khi quyết định dời lịch cuộc họp đặc biệt và ấn định một ngày ghi danh mới đã không được công bố công khai.</w:t>
      </w:r>
    </w:p>
    <w:p>
      <w:pPr>
        <w:spacing w:after="80"/>
      </w:pPr>
      <w:r>
        <w:rPr>
          <w:b w:val="0"/>
          <w:i w:val="0"/>
        </w:rPr>
        <w:t>* * *</w:t>
      </w:r>
    </w:p>
    <w:p>
      <w:pPr>
        <w:spacing w:after="80"/>
      </w:pPr>
      <w:r>
        <w:rPr>
          <w:b w:val="0"/>
          <w:i w:val="0"/>
        </w:rPr>
        <w:t>Nhưng việc thay đổi ngày ghi danh đã không làm nghiêng cán cân một cách bất công chống lại Mihaylo hay bất kỳ cổ đông Inter-Tel nào khác phản đối Thương vụ Sáp nhập. Họ vẫn tự do thuyết phục các cổ đông đồng nghiệp của mình rằng họ sẽ có lợi hơn về mặt kinh tế nếu Inter-Tel từ chối đề nghị của Mitel và duy trì độc lập. Nếu họ đưa ra một lập luận thuyết phục rằng họ đúng về việc nơi nào có thể kiếm được nhiều đô la nhất, họ sẽ có khả năng giành thắng lợi. Khi nghiêng về hướng này, tôi lưu ý rằng nguyên đơn đã không chứng minh được rằng các vấn đề đại diện phát sinh từ "sự tách biệt giữa quyền sở hữu và quyền sở hữu" — tức là, từ thực tế rằng các nhà đầu tư tổ chức có những vấn đề đại diện của riêng họ vì lợi ích của họ không giống với lợi ích của những người đầu tư vào họ — là đáng kể đến mức các cổ đông sẽ chấp nhận một thương vụ sáp nhập ở mức $25.60 mỗi cổ phần khi họ có khả năng kiếm được nhiều lợi nhuận hơn trên cơ sở đã điều chỉnh theo rủi ro và lạm phát bằng cách từ chối nó.</w:t>
      </w:r>
    </w:p>
    <w:p>
      <w:pPr>
        <w:spacing w:after="80"/>
      </w:pPr>
      <w:r>
        <w:rPr>
          <w:b w:val="0"/>
          <w:i w:val="0"/>
        </w:rPr>
        <w:t>Quan trọng không kém, Ủy ban Đặc biệt đã thuyết phục được tôi, trên hồ sơ lệnh cấm sơ bộ này, rằng việc thay đổi ngày ghi danh không phải là điều quyết định kết quả của cuộc bỏ phiếu Thương vụ Sáp nhập cuối cùng. Điều quyết định kết quả là việc ISS và các cổ đông Inter-Tel nắm giữ cổ phần ở cả hai ngày ghi danh đã dần coi Thương vụ Sáp nhập Mitel là phương án tối đa hóa giá trị. Sự thay đổi trong hành vi đó cũng phủ nhận quan điểm của nguyên đơn rằng những hoàn cảnh mà Ủy ban Đặc biệt cho là có hệ quả vào ngày 29 tháng 6 trong việc trì hoãn cuộc họp chỉ là những chuyện vặt vãnh. Kết hợp lại, thông tin đầy đủ hơn mà các cổ đông có được về hiệu quả hoạt động và triển vọng của Inter-Tel, tình trạng của thị trường nợ, cùng tính đáng tin cậy và giá trị của Đề xuất Tái cấu trúc của Mihaylo rõ ràng đã có ảnh hưởng. Vào ngày 2 tháng 8, các cổ đông Inter-Tel đã hiểu rõ hơn nhiều rằng lựa chọn của họ chỉ còn là chấp nhận đề nghị $25.60 mỗi cổ phần của Mitel hoặc tiếp tục là cổ đông của một Inter-Tel độc lập. Không có đề nghị nào có giá trị cao hơn đến từ Mitel, Mihaylo, hay một nguồn nào khác.</w:t>
      </w:r>
    </w:p>
    <w:p>
      <w:pPr>
        <w:spacing w:after="80"/>
      </w:pPr>
      <w:r>
        <w:rPr>
          <w:b w:val="0"/>
          <w:i w:val="0"/>
        </w:rPr>
        <w:t>* * *</w:t>
      </w:r>
    </w:p>
    <w:p>
      <w:pPr>
        <w:spacing w:after="80"/>
      </w:pPr>
      <w:r>
        <w:rPr>
          <w:b w:val="0"/>
          <w:i w:val="0"/>
        </w:rPr>
        <w:t xml:space="preserve">Trước khi kết thúc phần xác định của tôi về yêu cầu chính đáng cốt lõi, tôi phải giải quyết câu hỏi liệu có một “lý lẽ chính đáng thuyết phục” (compelling justification) nào ủng hộ hành động của Ủy ban Đặc biệt Inter-Tel hay không. Vì những lý do tôi đã trình bày, tôi tin rằng tiêu chuẩn này nên được thay thế bằng một thứ gì đó ôn hòa hơn, chẳng hạn như tiêu chuẩn “mục tiêu chính đáng” (legitimate objective), miễn là phải thừa nhận rằng học thuyết kỳ quặc về “ép buộc thực chất” (substantive coercion) không có chỗ đứng thích đáng trong án lệ về bầu cử giám đốc. Nhưng tôi nhận ra rằng </w:t>
      </w:r>
      <w:r>
        <w:rPr>
          <w:b w:val="0"/>
          <w:i/>
        </w:rPr>
        <w:t>Liquid Audio</w:t>
      </w:r>
      <w:r>
        <w:rPr>
          <w:b w:val="0"/>
          <w:i w:val="0"/>
        </w:rPr>
        <w:t xml:space="preserve"> và các vụ án khác dường như vẫn tiếp tục duy trì sức sống cho việc sử dụng lý lẽ chính đáng thuyết phục.</w:t>
      </w:r>
    </w:p>
    <w:p>
      <w:pPr>
        <w:spacing w:after="80"/>
      </w:pPr>
      <w:r>
        <w:rPr>
          <w:b w:val="0"/>
          <w:i w:val="0"/>
        </w:rPr>
        <w:t xml:space="preserve">Trong vụ án này, tiêu chuẩn đó có thể được giải quyết theo hai cách. Cách truyền thống hơn, nhưng kém thuyết phục hơn, là lập luận ngược từ tiêu chuẩn đó dựa trên hệ quả của hành động của Ủy ban Đặc biệt. Trong các phán quyết trước đây, tòa án này đã quyết định rằng vì hành động của hội đồng quản trị gây ảnh hưởng đến quá trình bầu cử không có hệ quả ngăn cản hay ép buộc sự lựa chọn của cổ đông, nên hành động đó không được thực hiện với mục đích chính là tước quyền bầu cử của cổ đông. Bởi vì hành động không mang tính ngăn cản, không mang tính ép buộc không có mục đích chính là tước quyền bầu cử, nên tiêu chuẩn </w:t>
      </w:r>
      <w:r>
        <w:rPr>
          <w:b w:val="0"/>
          <w:i/>
        </w:rPr>
        <w:t>Blasius</w:t>
      </w:r>
      <w:r>
        <w:rPr>
          <w:b w:val="0"/>
          <w:i w:val="0"/>
        </w:rPr>
        <w:t xml:space="preserve"> không được áp dụng và do đó không cần phải chứng minh lý lẽ chính đáng thuyết phục nào cho hành động của hội đồng quản trị. Nói cách khác, việc thiếu hệ quả tước quyền bầu cử đã khiến cho cò súng kích hoạt tiêu chuẩn đó không bị bóp.</w:t>
      </w:r>
    </w:p>
    <w:p>
      <w:pPr>
        <w:spacing w:after="80"/>
      </w:pPr>
      <w:r>
        <w:rPr>
          <w:b w:val="0"/>
          <w:i w:val="0"/>
        </w:rPr>
        <w:t xml:space="preserve">Kiểu lập luận ngược từ hệ quả đó tất nhiên có tác dụng ở đây. Mục đích chính của hội đồng quản trị Inter-Tel không phải là tước quyền bầu cử của cổ đông. Thay vào đó, đó là để cho cổ đông có thêm thời gian cân nhắc trước khi thực hiện quyền biểu quyết của họ. Bởi vì Ủy ban Đặc biệt không ngăn cản cổ đông đưa ra lựa chọn tự do và không bị ép buộc về Thương vụ Sáp nhập, nên quyết định dời lịch cuộc họp của họ hoàn toàn không viện đến </w:t>
      </w:r>
      <w:r>
        <w:rPr>
          <w:b w:val="0"/>
          <w:i/>
        </w:rPr>
        <w:t>Blasius</w:t>
      </w:r>
      <w:r>
        <w:rPr>
          <w:b w:val="0"/>
          <w:i w:val="0"/>
        </w:rPr>
        <w:t>.</w:t>
      </w:r>
    </w:p>
    <w:p>
      <w:pPr>
        <w:spacing w:after="80"/>
      </w:pPr>
      <w:r>
        <w:rPr>
          <w:b w:val="0"/>
          <w:i w:val="0"/>
        </w:rPr>
        <w:t>Tiếp cận vấn đề một cách trực diện hơn, tôi kết luận rằng Ủy ban Đặc biệt đã chứng minh được một lý lẽ chính đáng thuyết phục cho hành động của mình, ngay cả khi tiêu chuẩn đó được áp dụng. Trong bối cảnh doanh nghiệp, các tình huống thuyết phục xuất hiện khi các giám đốc độc lập tin rằng: (1) cổ đông sắp bác bỏ đề xuất sáp nhập của bên thứ ba mà các giám đốc độc lập tin là có lợi nhất cho họ; (2) thông tin hữu ích cho quá trình ra quyết định của cổ đông chưa được xem xét thỏa đáng hoặc chưa được công bố công khai; và (3) nếu cổ đông biểu quyết không, bên mua sẽ rút lui mà không đưa ra giá cao hơn và cơ hội nhận được lời đề nghị đó sẽ bị mất đi không thể cứu vãn. Cổ đông đầu tư để kiếm tiền—tiền mặt, xèng, tiền tươi, tiền xanh, tiền lẻ, tiền bạc—để có được thứ mà người Mỹ có nhiều từ để chỉ hơn cả người Eskimo có từ để chỉ tuyết: tiền. Khi các giám đốc hành động nhằm mục đích bảo toàn thứ mà họ tin một cách thiện chí là lời đề nghị tối đa hóa giá trị, họ hành động vì một lý do chính đáng thuyết phục trong bối cảnh doanh nghiệp. Tất nhiên, điều đó không có nghĩa là họ có quyền tự do vô hạn để theo đuổi mục đích đó. Nhưng đó là câu hỏi về sự phù hợp giữa phương tiện họ sử dụng, chứ không phải mục đích họ đang tìm cách đạt được. Ở đây, phương tiện mà Ủy ban Đặc biệt đã chọn—một sự trì hoãn ngắn trong lịch trình cuộc họp và một ngày chốt danh sách cổ đông mới—như tôi đã nhận định, là hợp lý so với mục tiêu của họ. Vì tất cả những lý do này, tôi kết luận rằng nguyên đơn không có xác suất thành công hợp lý đối với yêu cầu rằng Ủy ban Đặc biệt đã vi phạm nghĩa vụ tín thác của mình bằng việc dời lịch cuộc họp đặc biệt và ấn định ngày chốt danh sách cổ đông mới.</w:t>
      </w:r>
    </w:p>
    <w:p>
      <w:pPr>
        <w:pStyle w:val="Heading5"/>
      </w:pPr>
      <w:r>
        <w:rPr>
          <w:rFonts w:ascii="Calibri" w:hAnsi="Calibri"/>
          <w:b/>
          <w:i/>
          <w:sz w:val="22"/>
        </w:rPr>
        <w:t>Bình luận và Câu hỏi</w:t>
      </w:r>
    </w:p>
    <w:p>
      <w:pPr>
        <w:spacing w:after="80"/>
      </w:pPr>
      <w:r>
        <w:rPr>
          <w:b w:val="0"/>
          <w:i w:val="0"/>
        </w:rPr>
        <w:t xml:space="preserve">1. Tòa án trong vụ </w:t>
      </w:r>
      <w:r>
        <w:rPr>
          <w:b w:val="0"/>
          <w:i/>
        </w:rPr>
        <w:t>Mercier</w:t>
      </w:r>
      <w:r>
        <w:rPr>
          <w:b w:val="0"/>
          <w:i w:val="0"/>
        </w:rPr>
        <w:t xml:space="preserve"> muốn thực hiện những thay đổi gì đối với học thuyết </w:t>
      </w:r>
      <w:r>
        <w:rPr>
          <w:b w:val="0"/>
          <w:i/>
        </w:rPr>
        <w:t>Blasius</w:t>
      </w:r>
      <w:r>
        <w:rPr>
          <w:b w:val="0"/>
          <w:i w:val="0"/>
        </w:rPr>
        <w:t>? Hệ quả của sự thay đổi trong học thuyết đó sẽ là gì, nếu nó được thực thi?</w:t>
      </w:r>
    </w:p>
    <w:p>
      <w:pPr>
        <w:spacing w:after="80"/>
      </w:pPr>
      <w:r>
        <w:rPr>
          <w:b w:val="0"/>
          <w:i w:val="0"/>
        </w:rPr>
        <w:t>2. Việc hoãn cuộc họp đã cho hội đồng quản trị thêm thời gian để thuyết phục cổ đông ủng hộ thương vụ sáp nhập. Tuy nhiên, hội đồng quản trị đã làm nhiều hơn việc hoãn cuộc họp. Họ còn thay đổi ngày chốt danh sách cổ đông. Điều này có tác động gì đến kết quả biểu quyết của cổ đông? Điều này có cần thiết không?</w:t>
      </w:r>
    </w:p>
    <w:p>
      <w:pPr>
        <w:spacing w:after="80"/>
      </w:pPr>
      <w:r>
        <w:rPr>
          <w:b w:val="0"/>
          <w:i w:val="0"/>
        </w:rPr>
        <w:t xml:space="preserve">3. Phó Chánh án trong vụ án này mô tả tiêu chuẩn </w:t>
      </w:r>
      <w:r>
        <w:rPr>
          <w:b w:val="0"/>
          <w:i/>
        </w:rPr>
        <w:t>Blasius</w:t>
      </w:r>
      <w:r>
        <w:rPr>
          <w:b w:val="0"/>
          <w:i w:val="0"/>
        </w:rPr>
        <w:t xml:space="preserve"> là “một công cụ quá thô sơ để sử dụng thường xuyên.” Bạn nghĩ ông ấy muốn nói gì qua đó?</w:t>
      </w:r>
    </w:p>
    <w:p>
      <w:pPr>
        <w:spacing w:after="80"/>
      </w:pPr>
      <w:r>
        <w:rPr>
          <w:b w:val="0"/>
          <w:i w:val="0"/>
        </w:rPr>
        <w:t xml:space="preserve">4. Bản ý kiến cũng lưu ý rằng </w:t>
      </w:r>
      <w:r>
        <w:rPr>
          <w:b w:val="0"/>
          <w:i/>
        </w:rPr>
        <w:t>Blasius</w:t>
      </w:r>
      <w:r>
        <w:rPr>
          <w:b w:val="0"/>
          <w:i w:val="0"/>
        </w:rPr>
        <w:t xml:space="preserve"> được áp dụng cho sự can thiệp vào quyền bầu cử không chỉ trong bối cảnh bầu cử giám đốc mà còn trong bối cảnh các giao dịch khác liên quan đến sự chấp thuận của cổ đông, chẳng hạn như sáp nhập. Tòa án lập luận rằng “lý lẽ của </w:t>
      </w:r>
      <w:r>
        <w:rPr>
          <w:b w:val="0"/>
          <w:i/>
        </w:rPr>
        <w:t>Blasius</w:t>
      </w:r>
      <w:r>
        <w:rPr>
          <w:b w:val="0"/>
          <w:i w:val="0"/>
        </w:rPr>
        <w:t xml:space="preserve"> kém mạnh mẽ hơn nhiều khi vấn đề được đưa ra xem xét ít hoặc không liên quan đến việc liệu các giám đốc có tiếp tục tại vị hay không.” Trên thực tế, ông lập luận rằng các nghĩa vụ tín thác thông thường là đủ. Bạn có đồng ý với điều này không?</w:t>
      </w:r>
    </w:p>
    <w:p>
      <w:pPr>
        <w:spacing w:after="80"/>
      </w:pPr>
      <w:r>
        <w:rPr>
          <w:b w:val="0"/>
          <w:i w:val="0"/>
        </w:rPr>
        <w:t xml:space="preserve">5. Khi lập luận rằng tiêu chuẩn phù hợp nên là tiêu chuẩn tính hợp lý trong </w:t>
      </w:r>
      <w:r>
        <w:rPr>
          <w:b w:val="0"/>
          <w:i/>
        </w:rPr>
        <w:t>Unocal</w:t>
      </w:r>
      <w:r>
        <w:rPr>
          <w:b w:val="0"/>
          <w:i w:val="0"/>
        </w:rPr>
        <w:t xml:space="preserve"> , bản ý kiến thừa nhận rằng một số người có lý do để tin rằng tiêu chuẩn Unocal đang “bị bóc trần thành đơn thuần một tên gọi khác của việc xem xét theo quy tắc phán đoán kinh doanh.” Tuy nhiên, bản ý kiến khẳng định rằng “[á]n lệ gần đây hơn, người ta hy vọng, đã trung thành hơn với tiêu chuẩn như được viết ra.” Liệu có thích hợp để thông qua một tiêu chuẩn mà có khả năng nó không đủ để bảo vệ cổ đông vì “hy vọng” rằng nó sẽ được tòa án bổ sung thêm nội dung trong tương lai không?</w:t>
      </w:r>
    </w:p>
    <w:p>
      <w:pPr>
        <w:spacing w:after="80"/>
      </w:pPr>
      <w:r>
        <w:rPr>
          <w:b w:val="0"/>
          <w:i w:val="0"/>
        </w:rPr>
        <w:t xml:space="preserve">6. Một cách để giải quyết các tiêu chuẩn xem xét khác nhau trong </w:t>
      </w:r>
      <w:r>
        <w:rPr>
          <w:b w:val="0"/>
          <w:i/>
        </w:rPr>
        <w:t>Unocal</w:t>
      </w:r>
      <w:r>
        <w:rPr>
          <w:b w:val="0"/>
          <w:i w:val="0"/>
        </w:rPr>
        <w:t xml:space="preserve"> và </w:t>
      </w:r>
      <w:r>
        <w:rPr>
          <w:b w:val="0"/>
          <w:i/>
        </w:rPr>
        <w:t>Blasius</w:t>
      </w:r>
      <w:r>
        <w:rPr>
          <w:b w:val="0"/>
          <w:i w:val="0"/>
        </w:rPr>
        <w:t xml:space="preserve"> là áp đặt trong bối cảnh thâu tóm không phải tiêu chuẩn tính hợp lý trong </w:t>
      </w:r>
      <w:r>
        <w:rPr>
          <w:b w:val="0"/>
          <w:i/>
        </w:rPr>
        <w:t>Unocal</w:t>
      </w:r>
      <w:r>
        <w:rPr>
          <w:b w:val="0"/>
          <w:i w:val="0"/>
        </w:rPr>
        <w:t xml:space="preserve"> mà là tiêu chuẩn lý lẽ chính đáng thuyết phục trong </w:t>
      </w:r>
      <w:r>
        <w:rPr>
          <w:b w:val="0"/>
          <w:i/>
        </w:rPr>
        <w:t>Blasiuis.</w:t>
      </w:r>
      <w:r>
        <w:rPr>
          <w:b w:val="0"/>
          <w:i w:val="0"/>
        </w:rPr>
        <w:t xml:space="preserve"> Tại sao bạn nghĩ các tòa án đã không đi theo hướng này?</w:t>
      </w:r>
    </w:p>
    <w:p>
      <w:pPr>
        <w:spacing w:after="80"/>
      </w:pPr>
      <w:r>
        <w:rPr>
          <w:b w:val="0"/>
          <w:i w:val="0"/>
        </w:rPr>
        <w:t xml:space="preserve">7. Liệu có quan trọng không khi một cuộc họp bị hủy bỏ hay, như trong trường hợp vụ </w:t>
      </w:r>
      <w:r>
        <w:rPr>
          <w:b w:val="0"/>
          <w:i/>
        </w:rPr>
        <w:t>Mercier</w:t>
      </w:r>
      <w:r>
        <w:rPr>
          <w:b w:val="0"/>
          <w:i w:val="0"/>
        </w:rPr>
        <w:t xml:space="preserve"> , bị hoãn lại? Trong vụ </w:t>
      </w:r>
      <w:r>
        <w:rPr>
          <w:b w:val="0"/>
          <w:i/>
        </w:rPr>
        <w:t>Perlegos v. Atmel Corp.</w:t>
      </w:r>
      <w:r>
        <w:rPr>
          <w:b w:val="0"/>
          <w:i w:val="0"/>
        </w:rPr>
        <w:t xml:space="preserve"> , 2007 Del. Ch. LEXIS 25 (ngày 8 tháng 2 năm 2007), tòa án đã nói như sau:</w:t>
      </w:r>
    </w:p>
    <w:p>
      <w:pPr>
        <w:spacing w:after="80"/>
      </w:pPr>
      <w:r>
        <w:rPr>
          <w:b w:val="0"/>
          <w:i w:val="0"/>
        </w:rPr>
        <w:t xml:space="preserve">Các Bị đơn ví điều này [việc hủy bỏ cuộc họp] như “chỉ là sự trì hoãn.” Tuy nhiên, việc cổ đông không bị </w:t>
      </w:r>
      <w:r>
        <w:rPr>
          <w:b w:val="0"/>
          <w:i/>
        </w:rPr>
        <w:t>ngăn cản</w:t>
      </w:r>
      <w:r>
        <w:rPr>
          <w:b w:val="0"/>
          <w:i w:val="0"/>
        </w:rPr>
        <w:t xml:space="preserve"> biểu quyết về việc thay thế các Bị đơn Giám đốc mà thay vào đó, cơ hội làm điều đó của họ bị </w:t>
      </w:r>
      <w:r>
        <w:rPr>
          <w:b w:val="0"/>
          <w:i/>
        </w:rPr>
        <w:t>hoãn lại</w:t>
      </w:r>
      <w:r>
        <w:rPr>
          <w:b w:val="0"/>
          <w:i w:val="0"/>
        </w:rPr>
        <w:t xml:space="preserve"> trong bảy tháng có thể là một sự phân biệt không có khác biệt. Các Bị đơn đã tham chiếu đúng đắn các trường hợp mà Tòa án này đã từ chối áp dụng </w:t>
      </w:r>
      <w:r>
        <w:rPr>
          <w:b w:val="0"/>
          <w:i/>
        </w:rPr>
        <w:t>Blasius</w:t>
      </w:r>
      <w:r>
        <w:rPr>
          <w:b w:val="0"/>
          <w:i w:val="0"/>
        </w:rPr>
        <w:t xml:space="preserve"> khi hội đồng quản trị chỉ hoãn hoặc trì hoãn một cuộc họp cổ đông, nhưng những vụ án đó có thể phân biệt được. Ở đây, các Bị đơn Giám đốc không chỉ đơn thuần hoãn cuộc họp đặc biệt. Họ đã hủy bỏ nó.</w:t>
      </w:r>
    </w:p>
    <w:p>
      <w:pPr>
        <w:spacing w:after="80"/>
      </w:pPr>
      <w:r>
        <w:rPr>
          <w:b w:val="0"/>
          <w:i w:val="0"/>
        </w:rPr>
        <w:t>Sự phân biệt này có thực sự quan trọng không?</w:t>
      </w:r>
    </w:p>
    <w:p>
      <w:pPr>
        <w:spacing w:after="80"/>
      </w:pPr>
      <w:r>
        <w:rPr>
          <w:b w:val="0"/>
          <w:i w:val="0"/>
        </w:rPr>
        <w:t xml:space="preserve">8. Tiêu chuẩn </w:t>
      </w:r>
      <w:r>
        <w:rPr>
          <w:b w:val="0"/>
          <w:i/>
        </w:rPr>
        <w:t>Blasius</w:t>
      </w:r>
      <w:r>
        <w:rPr>
          <w:b w:val="0"/>
          <w:i w:val="0"/>
        </w:rPr>
        <w:t xml:space="preserve"> chưa bao giờ được áp dụng cho một viên thuốc độc? Tại sao lại như vậy? Suy cho cùng, viên thuốc độc thường ngăn cản cổ đông hình thành các khối biểu quyết vượt quá ngưỡng kích hoạt. Để thảo luận về vấn đề này, xem </w:t>
      </w:r>
      <w:r>
        <w:rPr>
          <w:b w:val="0"/>
          <w:i/>
        </w:rPr>
        <w:t>Third Point LLC v. Ruprecht</w:t>
      </w:r>
      <w:r>
        <w:rPr>
          <w:b w:val="0"/>
          <w:i w:val="0"/>
        </w:rPr>
        <w:t xml:space="preserve"> , C.A. No. 9469 (Del. Ch. ngày 2 tháng 5 năm 2014).</w:t>
      </w:r>
    </w:p>
    <w:p>
      <w:pPr>
        <w:pStyle w:val="Heading3"/>
      </w:pPr>
      <w:r>
        <w:rPr>
          <w:rFonts w:ascii="Calibri" w:hAnsi="Calibri"/>
          <w:b/>
          <w:i w:val="0"/>
          <w:sz w:val="26"/>
        </w:rPr>
        <w:t>B. Mua phiếu bầu</w:t>
      </w:r>
    </w:p>
    <w:p>
      <w:pPr>
        <w:spacing w:after="80"/>
      </w:pPr>
      <w:r>
        <w:rPr>
          <w:b w:val="0"/>
          <w:i w:val="0"/>
        </w:rPr>
        <w:t>Mua phiếu bầu (vote buying) là một chiến thuật khác có thể được sử dụng để tác động đến kết quả của một cuộc bỏ phiếu cổ đông. Điều này thường liên quan đến một hình thức thanh toán hoặc lợi ích nào đó để đổi lấy cam kết bỏ phiếu số cổ phần theo cách đã chỉ định. Kết quả là nó tách rời khỏi các thuộc tính kinh tế cơ bản của cổ phần. Mua phiếu bầu không liên quan đến việc chuyển nhượng cổ phần cơ sở. Chúng ta đã phần nào xem xét hiện tượng này khi bàn về vấn đề bỏ phiếu rỗng (empty voting).</w:t>
      </w:r>
    </w:p>
    <w:p>
      <w:pPr>
        <w:spacing w:after="80"/>
      </w:pPr>
      <w:r>
        <w:rPr>
          <w:b w:val="0"/>
          <w:i w:val="0"/>
        </w:rPr>
        <w:t>Mua phiếu bầu từng bị cấm, ít nhất là bởi ban điều hành. Tuy nhiên, điều đó không còn đúng nữa.</w:t>
      </w:r>
    </w:p>
    <w:p>
      <w:pPr>
        <w:pStyle w:val="Heading4"/>
      </w:pPr>
      <w:r>
        <w:rPr>
          <w:rFonts w:ascii="Calibri" w:hAnsi="Calibri"/>
          <w:b/>
          <w:i w:val="0"/>
          <w:sz w:val="23"/>
        </w:rPr>
        <w:t>Schreiber v. Carney</w:t>
      </w:r>
    </w:p>
    <w:p>
      <w:pPr>
        <w:spacing w:after="80"/>
      </w:pPr>
      <w:r>
        <w:rPr>
          <w:b w:val="0"/>
          <w:i w:val="0"/>
        </w:rPr>
        <w:t>Tòa án Chancery Delaware</w:t>
      </w:r>
      <w:r>
        <w:br/>
      </w:r>
      <w:r>
        <w:rPr>
          <w:b w:val="0"/>
          <w:i w:val="0"/>
        </w:rPr>
        <w:t xml:space="preserve"> 447 A.2d 17 (1982)</w:t>
      </w:r>
    </w:p>
    <w:p>
      <w:pPr>
        <w:spacing w:after="80"/>
      </w:pPr>
      <w:r>
        <w:rPr>
          <w:b w:val="0"/>
          <w:i w:val="0"/>
        </w:rPr>
        <w:t>HARTNETT, PHÓ CHÁNH ÁN:</w:t>
      </w:r>
    </w:p>
    <w:p>
      <w:pPr>
        <w:spacing w:after="80"/>
      </w:pPr>
      <w:r>
        <w:rPr>
          <w:b w:val="0"/>
          <w:i w:val="0"/>
        </w:rPr>
        <w:t>[Texas International Airlines đã cho Jet Capital, chủ sở hữu 35% cổ phần của Texas International, vay một khoản tiền nhằm giành được sự chấp thuận cho việc sáp nhập giữa Texas International và Texas Air. Jet Capital dự định bỏ phiếu chống lại việc sáp nhập vì những hệ quả thuế tiêu cực phát sinh từ việc sở hữu chứng quyền (warrants) trong Texas International. Để loại bỏ những hệ quả thuế tiêu cực đó, Texas International đồng ý cho Jet Capital vay 3,335 triệu đô la để tài trợ cho việc thực hiện sớm các chứng quyền. Các nguyên đơn đã kiện, cho rằng khoản vay này cấu thành hành vi mua phiếu bầu.]</w:t>
      </w:r>
    </w:p>
    <w:p>
      <w:pPr>
        <w:spacing w:after="80"/>
      </w:pPr>
      <w:r>
        <w:rPr>
          <w:b w:val="0"/>
          <w:i w:val="0"/>
        </w:rPr>
        <w:t xml:space="preserve">. . . Mua phiếu bầu, bất chấp hàm ý tiêu cực của nó, thực chất chỉ là một thỏa thuận bỏ phiếu được hỗ trợ bởi một khoản đối giá (consideration) mang tính cá nhân đối với cổ đông, theo đó cổ đông tách rời quyền bỏ phiếu theo ý mình và bỏ phiếu theo chỉ dẫn của bên đề nghị. Hồ sơ cho thấy rõ ràng rằng Texas International đã mua lại hoặc "loại bỏ" trở ngại từ sự phản đối của Jet Capital. Thật vậy, điều này được các bị đơn ngầm thừa nhận. Tuy nhiên, các bị đơn cho rằng việc phân tích giao dịch không nên dừng lại ở đây vì tính hợp pháp của việc mua phiếu bầu phụ thuộc vào việc mục tiêu hay mục đích của nó có phải là để lừa đảo hoặc bằng cách nào đó tước quyền bầu cử của các cổ đông khác hay không. Các bị đơn lập luận rằng vì khoản vay không lừa đảo hay tước quyền bầu cử của bất kỳ nhóm cổ đông nào, mà ngược lại còn trao quyền bầu cử cho các cổ đông khác bằng cách cho họ một lá phiếu mang tính quyết định trong việc sáp nhập được đề xuất, nên nó không bất hợp pháp </w:t>
      </w:r>
      <w:r>
        <w:rPr>
          <w:b w:val="0"/>
          <w:i/>
        </w:rPr>
        <w:t>đương nhiên</w:t>
      </w:r>
      <w:r>
        <w:rPr>
          <w:b w:val="0"/>
          <w:i w:val="0"/>
        </w:rPr>
        <w:t xml:space="preserve"> (per se). Các bị đơn thực chất lập luận rằng việc mua phiếu bầu không vô hiệu </w:t>
      </w:r>
      <w:r>
        <w:rPr>
          <w:b w:val="0"/>
          <w:i/>
        </w:rPr>
        <w:t>đương nhiên</w:t>
      </w:r>
      <w:r>
        <w:rPr>
          <w:b w:val="0"/>
          <w:i w:val="0"/>
        </w:rPr>
        <w:t xml:space="preserve"> vì mục đích biện minh cho phương tiện. Liệu điều này có đúng hay không phụ thuộc vào tình trạng của pháp luật.</w:t>
      </w:r>
    </w:p>
    <w:p>
      <w:pPr>
        <w:spacing w:after="80"/>
      </w:pPr>
      <w:r>
        <w:rPr>
          <w:b w:val="0"/>
          <w:i w:val="0"/>
        </w:rPr>
        <w:t>* * *</w:t>
      </w:r>
    </w:p>
    <w:p>
      <w:pPr>
        <w:spacing w:after="80"/>
      </w:pPr>
      <w:r>
        <w:rPr>
          <w:b w:val="0"/>
          <w:i w:val="0"/>
        </w:rPr>
        <w:t xml:space="preserve">. . . [R]õ ràng là Delaware đã loại bỏ các giả định chống lại thỏa thuận bỏ phiếu. Do đó, theo luật hiện hành của chúng ta, một thỏa thuận liên quan đến việc chuyển nhượng quyền bỏ phiếu cổ phần mà không chuyển nhượng quyền sở hữu không nhất thiết là bất hợp pháp và mỗi thỏa thuận phải được xem xét dưới góc độ mục tiêu hay mục đích của nó. Làm ngược lại sẽ là đề cao hình thức hơn bản chất. Như đã chỉ ra trong </w:t>
      </w:r>
      <w:r>
        <w:rPr>
          <w:b w:val="0"/>
          <w:i/>
        </w:rPr>
        <w:t>Oceanic</w:t>
      </w:r>
      <w:r>
        <w:rPr>
          <w:b w:val="0"/>
          <w:i w:val="0"/>
        </w:rPr>
        <w:t xml:space="preserve">, không chỉ hình thức của một thỏa thuận liên quan đến bỏ phiếu phải được xem xét, và do đó các thỏa thuận bỏ phiếu dù dưới hình thức nào cũng không nên bị coi là bất hợp pháp </w:t>
      </w:r>
      <w:r>
        <w:rPr>
          <w:b w:val="0"/>
          <w:i/>
        </w:rPr>
        <w:t>đương nhiên</w:t>
      </w:r>
      <w:r>
        <w:rPr>
          <w:b w:val="0"/>
          <w:i w:val="0"/>
        </w:rPr>
        <w:t xml:space="preserve"> trừ khi mục tiêu hay mục đích là để lừa đảo hoặc bằng cách nào đó tước quyền bầu cử của các cổ đông khác. Tuy nhiên, điều này không có nghĩa là việc mua phiếu bầu được thực hiện vì một mục đích đáng khen nào đó sẽ tự động không bị thách thức. Bởi vì việc mua phiếu bầu rất dễ bị lạm dụng, nó phải được coi là một giao dịch có thể bị hủy bỏ (voidable transaction) và phải chịu một bài kiểm tra về tính công bằng nội tại (intrinsic fairness).</w:t>
      </w:r>
    </w:p>
    <w:p>
      <w:pPr>
        <w:pStyle w:val="Heading5"/>
      </w:pPr>
      <w:r>
        <w:rPr>
          <w:rFonts w:ascii="Calibri" w:hAnsi="Calibri"/>
          <w:b/>
          <w:i/>
          <w:sz w:val="22"/>
        </w:rPr>
        <w:t>Bình luận và Câu hỏi</w:t>
      </w:r>
    </w:p>
    <w:p>
      <w:pPr>
        <w:spacing w:after="80"/>
      </w:pPr>
      <w:r>
        <w:rPr>
          <w:b w:val="0"/>
          <w:i w:val="0"/>
        </w:rPr>
        <w:t>1. Một số lo ngại về việc mua phiếu bầu (đôi khi còn được gọi là "cho thuê phiếu bầu" - vote rental) là gì? Tòa án đã bác bỏ quy tắc "</w:t>
      </w:r>
      <w:r>
        <w:rPr>
          <w:b w:val="0"/>
          <w:i/>
        </w:rPr>
        <w:t>đương nhiên</w:t>
      </w:r>
      <w:r>
        <w:rPr>
          <w:b w:val="0"/>
          <w:i w:val="0"/>
        </w:rPr>
        <w:t>" đối với việc mua phiếu bầu. Tại sao?</w:t>
      </w:r>
    </w:p>
    <w:p>
      <w:pPr>
        <w:spacing w:after="80"/>
      </w:pPr>
      <w:r>
        <w:rPr>
          <w:b w:val="0"/>
          <w:i w:val="0"/>
        </w:rPr>
        <w:t>2. Việc người mua phiếu bầu có ảnh hưởng đến phân tích không? Những lo ngại đặc thù nào có thể phát sinh khi ban điều hành mua phiếu bầu?</w:t>
      </w:r>
    </w:p>
    <w:p>
      <w:pPr>
        <w:spacing w:after="80"/>
      </w:pPr>
      <w:r>
        <w:rPr>
          <w:b w:val="0"/>
          <w:i w:val="0"/>
        </w:rPr>
        <w:t xml:space="preserve">3. Bài kiểm tra mà tòa án sử dụng để kiểm tra tính hợp pháp của các thỏa thuận mua phiếu bầu là gì? Bài kiểm tra này so với bài kiểm tra được nêu trong </w:t>
      </w:r>
      <w:r>
        <w:rPr>
          <w:b w:val="0"/>
          <w:i/>
        </w:rPr>
        <w:t>Blasius</w:t>
      </w:r>
      <w:r>
        <w:rPr>
          <w:b w:val="0"/>
          <w:i w:val="0"/>
        </w:rPr>
        <w:t xml:space="preserve"> như thế nào, nơi tòa án dường như cũng quan tâm đến tính chất tước quyền bầu cử trong hành động của ban điều hành?</w:t>
      </w:r>
    </w:p>
    <w:p>
      <w:pPr>
        <w:spacing w:after="80"/>
      </w:pPr>
      <w:r>
        <w:rPr>
          <w:b w:val="0"/>
          <w:i w:val="0"/>
        </w:rPr>
        <w:t>4. Mua phiếu bầu cho phép tách rời quyền bỏ phiếu và quyền kinh tế. Điều này có thích hợp không?</w:t>
      </w:r>
    </w:p>
    <w:p>
      <w:pPr>
        <w:spacing w:after="80"/>
      </w:pPr>
      <w:r>
        <w:rPr>
          <w:b w:val="0"/>
          <w:i w:val="0"/>
        </w:rPr>
        <w:t xml:space="preserve">5. Một số nhà bình luận đã chỉ ra rằng tòa án trong </w:t>
      </w:r>
      <w:r>
        <w:rPr>
          <w:b w:val="0"/>
          <w:i/>
        </w:rPr>
        <w:t>Schreiber</w:t>
      </w:r>
      <w:r>
        <w:rPr>
          <w:b w:val="0"/>
          <w:i w:val="0"/>
        </w:rPr>
        <w:t xml:space="preserve"> đã chấp thuận việc mua phiếu bầu khi nó được sử dụng để "gắn kết tốt hơn lợi ích tài chính của cổ đông với lợi ích của công ty." Robert B. Thompson &amp; Paul H. Edelman, </w:t>
      </w:r>
      <w:r>
        <w:rPr>
          <w:b w:val="0"/>
          <w:i/>
        </w:rPr>
        <w:t>Corporate Voting</w:t>
      </w:r>
      <w:r>
        <w:rPr>
          <w:b w:val="0"/>
          <w:i w:val="0"/>
        </w:rPr>
        <w:t>, 62 Vand. L. Rev. 129, 165 (2009). Đó có phải là cách nhìn đúng đắn về vụ án này không?</w:t>
      </w:r>
    </w:p>
    <w:p>
      <w:pPr>
        <w:pStyle w:val="Heading4"/>
      </w:pPr>
      <w:r>
        <w:rPr>
          <w:rFonts w:ascii="Calibri" w:hAnsi="Calibri"/>
          <w:b/>
          <w:i w:val="0"/>
          <w:sz w:val="23"/>
        </w:rPr>
        <w:t>Hewlett v. Hewlett-Packard Co.</w:t>
      </w:r>
    </w:p>
    <w:p>
      <w:pPr>
        <w:spacing w:after="80"/>
      </w:pPr>
      <w:r>
        <w:rPr>
          <w:b w:val="0"/>
          <w:i w:val="0"/>
        </w:rPr>
        <w:t>Tòa án Chancery Delaware</w:t>
      </w:r>
      <w:r>
        <w:br/>
      </w:r>
      <w:r>
        <w:rPr>
          <w:b w:val="0"/>
          <w:i w:val="0"/>
        </w:rPr>
        <w:t xml:space="preserve"> 2002 Del. Ch. LEXIS 44 (ngày 8 tháng 4 năm 2002)</w:t>
      </w:r>
    </w:p>
    <w:p>
      <w:pPr>
        <w:spacing w:after="80"/>
      </w:pPr>
      <w:r>
        <w:rPr>
          <w:b w:val="0"/>
          <w:i w:val="0"/>
        </w:rPr>
        <w:t>CHANDLER, CHANCELLOR:</w:t>
      </w:r>
    </w:p>
    <w:p>
      <w:pPr>
        <w:spacing w:after="80"/>
      </w:pPr>
      <w:r>
        <w:rPr>
          <w:b w:val="0"/>
          <w:i w:val="0"/>
        </w:rPr>
        <w:t>Cáo buộc của Nhóm Hewlett liên quan đến các phiếu đại diện (proxy) được bỏ thuận cho thương vụ sáp nhập được đề xuất bởi Deutsche Bank về cơ bản — dù không được ghi tên như vậy trong đơn kiện — là một khiếu nại về mua phiếu bầu (vote-buying). Deutsche Bank nắm giữ ít nhất 25 triệu cổ phiếu của HP. Nguyên đơn cáo buộc rằng việc Deutsche Bank phút chót chuyển từ bỏ phiếu chống thương vụ sáp nhập đối với 17 triệu cổ phiếu của mình sang bỏ phiếu thuận cho thương vụ sáp nhập là kết quả của sự kết hợp giữa dụ dỗ và ép buộc, do ban lãnh đạo HP dàn dựng, khiến Deutsche Bank bỏ phiếu thuận cho thương vụ sáp nhập được đề xuất vì những lý do không dựa trên giá trị thực chất của giao dịch. Các cáo buộc của Nhóm Hewlett để ủng hộ khiếu nại này tập trung vào những hành động được thực hiện trong bốn ngày trước và buổi sáng của cuộc họp đặc biệt.</w:t>
      </w:r>
    </w:p>
    <w:p>
      <w:pPr>
        <w:spacing w:after="80"/>
      </w:pPr>
      <w:r>
        <w:rPr>
          <w:b w:val="0"/>
          <w:i w:val="0"/>
        </w:rPr>
        <w:t>Vào hoặc trước ngày 15 tháng 3 năm 2002, ủy ban đại diện của Deutsche Asset Management, Inc. đã tiến hành một cuộc xem xét độc lập và từ đó quyết định bỏ phiếu chống lại thương vụ sáp nhập được đề xuất đối với số cổ phiếu của mình. Nhất quán với quyết định đó, Deutsche Bank đã nộp các phiếu đại diện và bỏ phiếu chống lại thương vụ sáp nhập được đề xuất. Vào ngày 15 tháng 3 năm 2002, HP đã ký kết một hạn mức tín dụng mới trị giá hàng tỷ đô la, trong đó Deutsche Bank được thêm vào với tư cách là đơn vị đồng thu xếp. Đến ngày 18 tháng 3 năm 2002, một ngày trước cuộc họp cổ đông, Deutsche Bank lo ngại rằng phản ứng của HP trước việc ủy ban đại diện không tán thành và bỏ phiếu chống lại thương vụ sáp nhập được đề xuất sẽ là chấm dứt các giao dịch kinh doanh đang diễn ra và mong muốn trong tương lai giữa HP và Deutsche Bank. Được cho là theo yêu cầu của ban lãnh đạo HP, một cuộc hội đàm qua điện thoại đã được tổ chức giữa Deutsche Bank và ban lãnh đạo HP vào buổi sáng ngày bỏ phiếu 19 tháng 3. Sau cuộc gọi hội đàm đó, Deutsche Bank đã chuyển tới 17 triệu phiếu để ủng hộ thương vụ sáp nhập được đề xuất. Nguyên đơn cho rằng việc chuyển đổi này được tạo ra nhờ sự dụ dỗ từ hạn mức tín dụng hiện tại của HP, mà Deutsche Bank vừa mới được thêm vào, kết hợp với sự ép buộc từ cuộc hội đàm qua điện thoại mà qua đó Deutsche Bank hiểu rằng các giao dịch kinh doanh trong tương lai của mình với HP sẽ bị đe dọa nếu không chuyển phiếu để ủng hộ thương vụ sáp nhập được đề xuất. Nhóm Hewlett gợi ý rằng bằng chứng về tầm quan trọng của việc chuyển đổi này đối với ban lãnh đạo HP được thể hiện qua việc CEO kiêm chủ tịch hội đồng quản trị của HP, Carleton S. Fiorina ("Fiorina"), trước tiên trì hoãn giờ khai mạc đã định của cuộc họp cổ đông đặc biệt ngày 19 tháng 3 để chờ tin từ Deutsche Bank, và sau đó tuyên bố đóng thùng phiếu ngay lập tức sau khi dường như nhận được tin trên bục rằng Deutsche Bank đã chuyển phiếu của mình. Thỏa thuận mua phiếu bầu này được cho là có mục đích và hiệu quả là lừa dối và tước quyền bầu cử của các cổ đông HP.</w:t>
      </w:r>
    </w:p>
    <w:p>
      <w:pPr>
        <w:spacing w:after="80"/>
      </w:pPr>
      <w:r>
        <w:rPr>
          <w:b w:val="0"/>
          <w:i w:val="0"/>
        </w:rPr>
        <w:t>* * *</w:t>
      </w:r>
    </w:p>
    <w:p>
      <w:pPr>
        <w:spacing w:after="80"/>
      </w:pPr>
      <w:r>
        <w:rPr>
          <w:b w:val="0"/>
          <w:i w:val="0"/>
        </w:rPr>
        <w:t>Tòa án này đã, trong một số dịp trước đó, giải quyết cái gọi là các cáo buộc "mua phiếu bầu". Trong một số trường hợp, các khiếu nại đã thành công và trong những trường hợp khác thì không. Tuy nhiên, dường như không có sự thiên vị rõ ràng nào từ phía Tòa án theo hướng này hay hướng khác đối với các khiếu nại về mua phiếu bầu.</w:t>
      </w:r>
    </w:p>
    <w:p>
      <w:pPr>
        <w:spacing w:after="80"/>
      </w:pPr>
      <w:r>
        <w:rPr>
          <w:b w:val="0"/>
          <w:i w:val="0"/>
        </w:rPr>
        <w:t xml:space="preserve">Tiêu chuẩn phù hợp để đánh giá các khiếu nại về mua phiếu bầu được nêu rõ trong </w:t>
      </w:r>
      <w:r>
        <w:rPr>
          <w:b w:val="0"/>
          <w:i/>
        </w:rPr>
        <w:t>Schreiber v. Carney.</w:t>
      </w:r>
      <w:r>
        <w:rPr>
          <w:b w:val="0"/>
          <w:i w:val="0"/>
        </w:rPr>
        <w:t xml:space="preserve"> Schreiber chỉ ra rằng việc mua phiếu bầu là bất hợp pháp </w:t>
      </w:r>
      <w:r>
        <w:rPr>
          <w:b w:val="0"/>
          <w:i/>
        </w:rPr>
        <w:t>đương nhiên</w:t>
      </w:r>
      <w:r>
        <w:rPr>
          <w:b w:val="0"/>
          <w:i w:val="0"/>
        </w:rPr>
        <w:t xml:space="preserve"> (per se) nếu "mục tiêu hoặc mục đích là để lừa dối hoặc theo một cách nào đó tước quyền bầu cử của các cổ đông khác." </w:t>
      </w:r>
      <w:r>
        <w:rPr>
          <w:b w:val="0"/>
          <w:i/>
        </w:rPr>
        <w:t>Schreiber</w:t>
      </w:r>
      <w:r>
        <w:rPr>
          <w:b w:val="0"/>
          <w:i w:val="0"/>
        </w:rPr>
        <w:t xml:space="preserve"> cũng lưu ý rằng, nếu không có những mục đích gây hại này, "bởi vì việc mua phiếu bầu rất dễ bị lạm dụng nên nó phải được xem như một giao dịch có thể bị vô hiệu, phải chịu sự kiểm tra về tính công bằng nội tại." Thoạt nhìn, mệnh đề này có vẻ khó dung hòa với việc Đại hội đồng đã xác nhận rõ ràng các thỏa thuận bỏ phiếu của cổ đông trong § 218(c). Tuy nhiên, điều đáng lưu ý là chính ban lãnh đạo của công ty bị đơn đã mua phiếu bầu để ủng hộ một cuộc tái tổ chức công ty trong </w:t>
      </w:r>
      <w:r>
        <w:rPr>
          <w:b w:val="0"/>
          <w:i/>
        </w:rPr>
        <w:t>Schreiber.</w:t>
      </w:r>
      <w:r>
        <w:rPr>
          <w:b w:val="0"/>
          <w:i w:val="0"/>
        </w:rPr>
        <w:t xml:space="preserve"> Các cổ đông được tự do làm bất cứ điều gì họ muốn với phiếu bầu của mình, kể cả bán chúng cho người trả giá cao nhất. Mặt khác, ban lãnh đạo không được phép sử dụng tài sản của công ty để mua phiếu bầu trong một cuộc tranh chấp phiếu đại diện gay gắt về một giao dịch bất thường có thể biến đổi đáng kể công ty, trừ khi có thể chứng minh được, như đã được chứng minh trong </w:t>
      </w:r>
      <w:r>
        <w:rPr>
          <w:b w:val="0"/>
          <w:i/>
        </w:rPr>
        <w:t>Schreiber</w:t>
      </w:r>
      <w:r>
        <w:rPr>
          <w:b w:val="0"/>
          <w:i w:val="0"/>
        </w:rPr>
        <w:t>, rằng hoạt động mua phiếu bầu của ban lãnh đạo không có tác động gây hại đến quyền bầu cử của cổ đông.</w:t>
      </w:r>
    </w:p>
    <w:p>
      <w:pPr>
        <w:spacing w:after="80"/>
      </w:pPr>
      <w:r>
        <w:rPr>
          <w:b w:val="0"/>
          <w:i w:val="0"/>
        </w:rPr>
        <w:t>* * *</w:t>
      </w:r>
    </w:p>
    <w:p>
      <w:pPr>
        <w:spacing w:after="80"/>
      </w:pPr>
      <w:r>
        <w:rPr>
          <w:b w:val="0"/>
          <w:i w:val="0"/>
        </w:rPr>
        <w:t xml:space="preserve">Ban đầu, tôi tin rằng các sự kiện như được cáo buộc trong đơn kiện ủng hộ một suy luận hợp lý rằng việc chuyển đổi phiếu bầu của Deutsche Bank đối với 17 triệu cổ phiếu để ủng hộ thương vụ sáp nhập là kết quả của sự dụ dỗ hoặc ép buộc Deutsche Bank bởi ban lãnh đạo HP. Nhóm Hewlett cáo buộc rằng chỉ bốn ngày trước cuộc họp cổ đông, Deutsche Bank được chỉ định làm đơn vị đồng thu xếp của một hạn mức tín dụng trị giá hàng tỷ đô la. Cùng ngày hôm đó (ngày 15 tháng 3), Deutsche Bank đã nộp tất cả các phiếu đại diện của mình và bỏ phiếu chống lại thương vụ sáp nhập đối với 25 triệu cổ phiếu. Vào thứ Hai, ngày 18 tháng 3, được cáo buộc rằng Deutsche Bank bày tỏ lo ngại về việc mất các giao dịch kinh doanh trong tương lai do phản ứng tiêu cực của HP trước việc Deutsche Bank bỏ phiếu chống lại thương vụ sáp nhập do ban lãnh đạo HP bảo trợ. Cuối cùng, đơn kiện cáo buộc rằng, vào ngày 19 tháng 3, ngày diễn ra cuộc họp cổ đông đặc biệt, HP đã trì hoãn cuộc họp trong khi ban lãnh đạo HP tham gia vào một cuộc hội đàm qua điện thoại được cho là mang tính ép buộc và sau đó đóng thùng phiếu ngay lập tức sau khi Deutsche Bank chuyển 17 triệu phiếu của mình do sự hiểu biết đạt được trong cuộc gọi đó. Tuy nhiên, như đã nêu ở trên, một thỏa thuận mua phiếu bầu không phải là bất hợp pháp </w:t>
      </w:r>
      <w:r>
        <w:rPr>
          <w:b w:val="0"/>
          <w:i/>
        </w:rPr>
        <w:t>đương nhiên</w:t>
      </w:r>
      <w:r>
        <w:rPr>
          <w:b w:val="0"/>
          <w:i w:val="0"/>
        </w:rPr>
        <w:t>, ngay cả khi ban lãnh đạo công ty đang mua phiếu bầu. Câu hỏi khó hơn là liệu các sự kiện được cáo buộc có ủng hộ một suy luận hợp lý rằng thỏa thuận đó có tác động bất lợi trọng yếu đến quyền bầu cử của các cổ đông HP khác hay không.</w:t>
      </w:r>
    </w:p>
    <w:p>
      <w:pPr>
        <w:spacing w:after="80"/>
      </w:pPr>
      <w:r>
        <w:rPr>
          <w:b w:val="0"/>
          <w:i w:val="0"/>
        </w:rPr>
        <w:t>Lập luận chính của Nhóm Hewlett về lý do tại sao thỏa thuận mua phiếu bầu được cáo buộc giữa HP và Deutsche Bank là bất hợp pháp là ban lãnh đạo HP đã sử dụng quỹ của công ty (về bản chất, là quỹ mà tất cả các cổ đông HP đều có lợi ích chung với tư cách là chủ sở hữu của HP) để mua phiếu bầu ủng hộ một giao dịch được ban lãnh đạo ưa thích mà ban lãnh đạo buộc phải đưa ra cho cổ đông bỏ phiếu. Hơn nữa, ban lãnh đạo HP đã không sử dụng bất kỳ biện pháp nào, chẳng hạn như một cuộc bỏ phiếu phê chuẩn của các cổ đông độc lập, để bảo vệ tính toàn vẹn của cuộc bỏ phiếu về thương vụ sáp nhập được đề xuất.</w:t>
      </w:r>
    </w:p>
    <w:p>
      <w:pPr>
        <w:spacing w:after="80"/>
      </w:pPr>
      <w:r>
        <w:rPr>
          <w:b w:val="0"/>
          <w:i w:val="0"/>
        </w:rPr>
        <w:t xml:space="preserve">Các cáo buộc của Nhóm Hewlett, nếu đúng, đặc biệt đáng lo ngại. Giao dịch bất thường đang bị tranh chấp trong vụ án này là một trong những loại giao dịch hạn chế mà hội đồng quản trị công ty không thể đơn phương khiến công ty mình thực hiện. Bởi vì giao dịch sẽ có tác động cơ bản đến quyền lợi sở hữu của các cổ đông công ty, hội đồng quản trị phải trình đề xuất đó cho cổ đông phê duyệt. Nếu các cáo buộc của Nhóm Hewlett là đúng, hàm ý là ban lãnh đạo HP lo ngại rằng thương vụ sáp nhập được đề xuất, mà </w:t>
      </w:r>
      <w:r>
        <w:rPr>
          <w:b w:val="0"/>
          <w:i/>
        </w:rPr>
        <w:t>họ</w:t>
      </w:r>
      <w:r>
        <w:rPr>
          <w:b w:val="0"/>
          <w:i w:val="0"/>
        </w:rPr>
        <w:t xml:space="preserve"> ủng hộ, sẽ không được đa số cổ đông HP ủng hộ. Mặc dù việc đưa ra quyết định cuối cùng về việc có phê duyệt thương vụ sáp nhập được đề xuất hay không là thuộc về các cổ đông, ban lãnh đạo HP được cho là đã sử dụng chính tiền của các cổ đông (dưới hình thức quỹ của công ty) để mua phiếu bầu chống lại các cổ đông HP không ủng hộ thương vụ sáp nhập. Những hành động này, nếu thực sự được thực hiện một cách không được phép, đã làm nghiêng cán cân theo quan điểm của ban lãnh đạo HP về việc cuộc bỏ phiếu nên diễn ra như thế nào và khiến các cổ đông phản đối thương vụ sáp nhập khó đánh bại giao dịch hơn một cách tương ứng. Theo ý kiến của tôi, đó là việc sử dụng tài sản của công ty một cách không đúng đắn bởi hội đồng quản trị để can thiệp vào quyền bầu cử của cổ đông. Dù các cổ đông không đồng ý, không tin, hay thậm chí không hiểu thông tin mà ban lãnh đạo HP trình bày cho họ về thương vụ sáp nhập được đề xuất, việc bỏ phiếu về thương vụ sáp nhập được đề xuất mà không bị ban lãnh đạo HP can thiệp một cách không được phép là quyền của các cổ đông.</w:t>
      </w:r>
    </w:p>
    <w:p>
      <w:pPr>
        <w:spacing w:after="80"/>
      </w:pPr>
      <w:r>
        <w:rPr>
          <w:b w:val="0"/>
          <w:i/>
        </w:rPr>
        <w:t>Schreiber</w:t>
      </w:r>
      <w:r>
        <w:rPr>
          <w:b w:val="0"/>
          <w:i w:val="0"/>
        </w:rPr>
        <w:t xml:space="preserve"> có tính chỉ dẫn trong việc chứng minh cách một thỏa thuận mua phiếu bầu, trong đó hội đồng quản trị chi tiêu tài sản của công ty để mua phiếu bầu ủng hộ một giao dịch được hội đồng quản trị ưa thích, có thể được thực hiện một cách hợp lệ. Ở đó, một thỏa thuận mua phiếu bầu đang được cân nhắc, trong đó tài sản của công ty sẽ được cho một cổ đông nắm 35% vay với các điều khoản thuận lợi để đổi lấy việc cổ đông đó đồng ý bỏ phiếu ủng hộ một thương vụ sáp nhập được ban lãnh đạo hậu thuẫn. Công ty đã thành lập một ủy ban đặc biệt để xem xét thương vụ sáp nhập và cả tính khả thi của việc tham gia vào thỏa thuận mua phiếu bầu. Ủy ban đặc biệt đã thuê luật sư độc lập và sau đó xác định rằng cả thương vụ sáp nhập và thỏa thuận cổ đông đều sẽ vì lợi ích tốt nhất của công ty và các cổ đông. Sau khi thương lượng ngang hàng với cổ đông nắm 35%, các bên đã đạt được các điều khoản thỏa thuận cho khoản vay và ủy ban đặc biệt đã đề xuất thỏa thuận cổ đông lên toàn bộ hội đồng quản trị. Hội đồng quản trị đã nhất trí phê duyệt thỏa thuận như được đề xuất và trình đề xuất mua phiếu bầu cho cổ đông bỏ phiếu riêng — về hiệu quả là một cuộc bỏ phiếu về việc mua phiếu bầu trong bối cảnh cụ thể đó. Như một điều kiện để đề xuất mua phiếu bầu được thông qua, đa số cổ phần đang lưu hành, cũng như đa số cổ phần không tham gia vào thỏa thuận và không thuộc sở hữu của các giám đốc và cán bộ công ty, phải bỏ phiếu ủng hộ đề xuất. Sau khi phân phối một bản tuyên bố đại diện công bố đầy đủ các điều khoản của thỏa thuận, đề xuất mua phiếu bầu đã dễ dàng được cổ đông phê duyệt.</w:t>
      </w:r>
    </w:p>
    <w:p>
      <w:pPr>
        <w:spacing w:after="80"/>
      </w:pPr>
      <w:r>
        <w:rPr>
          <w:b w:val="0"/>
          <w:i w:val="0"/>
        </w:rPr>
        <w:t xml:space="preserve">Tòa án trong </w:t>
      </w:r>
      <w:r>
        <w:rPr>
          <w:b w:val="0"/>
          <w:i/>
        </w:rPr>
        <w:t>Schreiber</w:t>
      </w:r>
      <w:r>
        <w:rPr>
          <w:b w:val="0"/>
          <w:i w:val="0"/>
        </w:rPr>
        <w:t xml:space="preserve"> đã lưu ý tất cả các biện pháp bảo vệ này và cuối cùng phán quyết rằng "việc phê chuẩn sau đó đối với [thỏa thuận cổ đông] bởi đa số các cổ đông độc lập, sau khi công bố đầy đủ tất cả các sự kiện liên quan với sự thẳng thắn hoàn toàn, loại trừ mọi cuộc điều tra tư pháp tiếp theo." Tôi đồng ý với ý kiến được lập luận chặt chẽ của Phó Thẩm phán khi đó là Hartnett trong </w:t>
      </w:r>
      <w:r>
        <w:rPr>
          <w:b w:val="0"/>
          <w:i/>
        </w:rPr>
        <w:t>Schreiber.</w:t>
      </w:r>
      <w:r>
        <w:rPr>
          <w:b w:val="0"/>
          <w:i w:val="0"/>
        </w:rPr>
        <w:t xml:space="preserve"> Nếu không có các biện pháp bảo vệ quyền bầu cử của cổ đông như những biện pháp được thực hiện trong </w:t>
      </w:r>
      <w:r>
        <w:rPr>
          <w:b w:val="0"/>
          <w:i/>
        </w:rPr>
        <w:t>Schreiber</w:t>
      </w:r>
      <w:r>
        <w:rPr>
          <w:b w:val="0"/>
          <w:i w:val="0"/>
        </w:rPr>
        <w:t xml:space="preserve">, Tòa án này nên xem xét kỹ lưỡng các giao dịch trong đó hội đồng quản trị sử dụng tài sản của công ty để đạt được một thỏa thuận bỏ phiếu. Điều này không có nghĩa là tất cả các biện pháp bảo vệ được thực hiện trong </w:t>
      </w:r>
      <w:r>
        <w:rPr>
          <w:b w:val="0"/>
          <w:i/>
        </w:rPr>
        <w:t>Schreiber</w:t>
      </w:r>
      <w:r>
        <w:rPr>
          <w:b w:val="0"/>
          <w:i w:val="0"/>
        </w:rPr>
        <w:t xml:space="preserve"> đều phải hiện diện trước khi Tòa án xác nhận việc mua phiếu bầu của ban lãnh đạo bằng tài sản công ty. Mỗi vụ án phải được đánh giá dựa trên giá trị riêng của nó để xác định liệu tính chính đáng của quyền bầu cử cổ đông có bị làm suy yếu theo một cách không thể chấp nhận được hay không. Chắc chắn là ban lãnh đạo có thể tham gia vào các thỏa thuận mua phiếu bầu với những mục đích tốt đẹp. Tuy nhiên, khi chấp nhận các cáo buộc của đơn kiện là đúng trong vụ án này, tôi kết luận rằng nguyên đơn đã nêu ra một khiếu nại về mua phiếu bầu có thể thụ lý được.</w:t>
      </w:r>
    </w:p>
    <w:p>
      <w:pPr>
        <w:spacing w:after="80"/>
      </w:pPr>
      <w:r>
        <w:rPr>
          <w:b w:val="0"/>
          <w:i w:val="0"/>
        </w:rPr>
        <w:t>Bởi vì Nhóm Hewlett đã cáo buộc thành công rằng HP đã mua phiếu bầu từ Deutsche Bank bằng tài sản của công ty và bởi vì không có biện pháp nào được thực hiện để đảm bảo rằng quyền bầu cử của cổ đông được bảo vệ, đề nghị bác bỏ khiếu nại về mua phiếu bầu của nguyên đơn của HP bị từ chối. Tại phiên tòa, nguyên đơn sẽ có gánh nặng đáng kể là trình bày đủ bằng chứng để tôi kết luận rằng Deutsche Bank đã bị ban lãnh đạo HP ép buộc trong cuộc hội đàm qua điện thoại ngày 19 tháng 3 năm 2002 của họ để bỏ phiếu ủng hộ thương vụ sáp nhập được đề xuất đối với 17 triệu cổ phiếu và rằng việc chuyển đổi những phiếu đó không được Deutsche Bank thực hiện vì các lý do kinh doanh độc lập.</w:t>
      </w:r>
    </w:p>
    <w:p>
      <w:pPr>
        <w:pStyle w:val="Heading4"/>
      </w:pPr>
      <w:r>
        <w:rPr>
          <w:rFonts w:ascii="Calibri" w:hAnsi="Calibri"/>
          <w:b/>
          <w:i w:val="0"/>
          <w:sz w:val="23"/>
        </w:rPr>
        <w:t>Hewlett v. Hewlett-Packard Co.</w:t>
      </w:r>
    </w:p>
    <w:p>
      <w:pPr>
        <w:spacing w:after="80"/>
      </w:pPr>
      <w:r>
        <w:rPr>
          <w:b w:val="0"/>
          <w:i w:val="0"/>
        </w:rPr>
        <w:t>Tòa án Chancery Delaware</w:t>
      </w:r>
      <w:r>
        <w:br/>
      </w:r>
      <w:r>
        <w:rPr>
          <w:b w:val="0"/>
          <w:i w:val="0"/>
        </w:rPr>
        <w:t xml:space="preserve"> 2002 Del. Ch. LEXIS 35 (ngày 30 tháng 4 năm 2002)</w:t>
      </w:r>
    </w:p>
    <w:p>
      <w:pPr>
        <w:spacing w:after="80"/>
      </w:pPr>
      <w:r>
        <w:rPr>
          <w:b w:val="0"/>
          <w:i w:val="0"/>
        </w:rPr>
        <w:t>* * *</w:t>
      </w:r>
    </w:p>
    <w:p>
      <w:pPr>
        <w:spacing w:after="80"/>
      </w:pPr>
      <w:r>
        <w:rPr>
          <w:b w:val="0"/>
          <w:i w:val="0"/>
        </w:rPr>
        <w:t>Cáo buộc mua phiếu hoàn toàn dựa trên bằng chứng gián tiếp. Các Bên Hewlett viện dẫn những tình tiết xung quanh việc sắp xếp cuộc điện đàm ngày 19 tháng 3 và một phát biểu của Fiorina [Giám đốc điều hành kiêm Chủ tịch HP] vào cuối phần trình bày của HP trong cuộc gọi đó để củng cố cáo buộc mua phiếu bất hợp pháp. Sau khi xem xét toàn bộ lời khai và tang vật được đưa ra tại phiên tòa, tôi kết luận rằng các nguyên đơn đã không hoàn thành nghĩa vụ chứng minh sự tồn tại của một thỏa thuận mua phiếu như vậy.</w:t>
      </w:r>
    </w:p>
    <w:p>
      <w:pPr>
        <w:spacing w:after="80"/>
      </w:pPr>
      <w:r>
        <w:rPr>
          <w:b w:val="0"/>
          <w:i w:val="0"/>
        </w:rPr>
        <w:t>Các nguyên đơn trước tiên dựa vào một tin nhắn thoại mà Fiorina để lại cho Wayman [Giám đốc tài chính của HP] vào ngày 17 tháng 3 sau khi ban lãnh đạo HP biết được rằng Deutsche Bank có thể đã bỏ phiếu chống lại thương vụ sáp nhập. Trong tin nhắn đó, Fiorina nói với Wayman:</w:t>
      </w:r>
    </w:p>
    <w:p>
      <w:pPr>
        <w:spacing w:after="80"/>
      </w:pPr>
      <w:r>
        <w:rPr>
          <w:b w:val="0"/>
          <w:i w:val="0"/>
        </w:rPr>
        <w:t>Hôm nay lại nói chuyện với Alan Miller [người thu thập phiếu đại diện của HP]. Ông ấy vẫn rất lo lắng về Deutsche . . . Và vậy nên đề xuất là anh gọi lại cho người ở Deutsche vào sáng thứ Hai trước tiên. Và nếu anh không nhận được câu trả lời đúng từ ông ta, thì anh và tôi cần yêu cầu một cuộc họp qua điện thoại, một buổi gặp gỡ, v.v. để chắc chắn rằng chúng ta đưa họ vào đúng vị trí.</w:t>
      </w:r>
    </w:p>
    <w:p>
      <w:pPr>
        <w:spacing w:after="80"/>
      </w:pPr>
      <w:r>
        <w:rPr>
          <w:b w:val="0"/>
          <w:i w:val="0"/>
        </w:rPr>
        <w:t>. . . Vậy nên nếu anh nắm được Deutsche . . . hãy nhấc máy lên và xem chúng ta có thể đạt được gì, nhưng có thể chúng ta sẽ phải làm điều gì đó phi thường để đưa hai người đó vượt qua vạch đích ở đây.</w:t>
      </w:r>
    </w:p>
    <w:p>
      <w:pPr>
        <w:spacing w:after="80"/>
      </w:pPr>
      <w:r>
        <w:rPr>
          <w:b w:val="0"/>
          <w:i w:val="0"/>
        </w:rPr>
        <w:t>Các nguyên đơn cho rằng bình luận của Fiorina rằng HP "yêu cầu một cuộc họp qua điện thoại" và việc bà nhắc đến "làm điều gì đó phi thường" củng cố cáo buộc của họ rằng ban lãnh đạo HP sẵn sàng và đã gây áp lực không đúng mực lên Deutsche Bank để thay đổi lá phiếu của mình.</w:t>
      </w:r>
    </w:p>
    <w:p>
      <w:pPr>
        <w:spacing w:after="80"/>
      </w:pPr>
      <w:r>
        <w:rPr>
          <w:b w:val="0"/>
          <w:i w:val="0"/>
        </w:rPr>
        <w:t>Tiếp theo, các nguyên đơn đặt câu hỏi về động cơ đằng sau việc lên lịch cuộc họp qua điện thoại ngày 19 tháng 3 năm 2002. Các bên thừa nhận rằng Deutsche Bank đã có các mối quan hệ thương mại hiện hữu với HP. Deutsche Bank cũng đang cung cấp dịch vụ cho HP liên quan đến thương vụ sáp nhập. Không ai tranh cãi rằng Deutsche Bank mong muốn tiếp tục và mở rộng các mối quan hệ kinh doanh với HP. Vì mong muốn này, các nguyên đơn cho rằng Deutsche Bank dễ bị tổn thương trước mối đe dọa rằng các cơ hội kinh doanh sẽ bị giữ lại nếu Deutsche Bank bỏ phiếu chống lại thương vụ sáp nhập.</w:t>
      </w:r>
    </w:p>
    <w:p>
      <w:pPr>
        <w:spacing w:after="80"/>
      </w:pPr>
      <w:r>
        <w:rPr>
          <w:b w:val="0"/>
          <w:i w:val="0"/>
        </w:rPr>
        <w:t>Dựa trên những phát biểu và suy luận này, các nguyên đơn cáo buộc rằng ban lãnh đạo HP đã ép buộc Deutsche Bank bằng cách sử dụng mối đe dọa mất đi các cơ hội kinh doanh trong tương lai để buộc nhóm CIB [Ngân hàng Doanh nghiệp và Đầu tư], thông qua Griswold và Thornton [các nhân viên ngân hàng thương mại của Deutsche Bank đang tư vấn cho HP], đến lượt mình phải buộc PCAM [Quản lý Khách hàng Cá nhân và Tài sản, một bộ phận của Deutsche Bank], mà PWG [Nhóm Công tác về Phiếu đại diện của Deutsche Bank, một ủy ban gồm năm thành viên] là một phần của nó, phải xem xét lại lá phiếu chống lại thương vụ sáp nhập. Trước mối đe dọa này, các nguyên đơn khẳng định, PWG đã phớt lờ nghĩa vụ ủy thác của mình đối với các chủ sở hữu hưởng lợi của cổ phiếu HP do PCAM kiểm soát và bỏ phiếu ủng hộ thương vụ sáp nhập để nhóm CIB của Deutsche Bank có thể tránh được việc mất đi một số cơ hội kinh doanh không xác định trong tương lai. Tuy nhiên, dựa trên bằng chứng trước mắt tôi, tôi không thể đồng ý rằng những tình tiết này đủ để chứng minh một âm mưu mua phiếu.</w:t>
      </w:r>
    </w:p>
    <w:p>
      <w:pPr>
        <w:spacing w:after="80"/>
      </w:pPr>
      <w:r>
        <w:rPr>
          <w:b w:val="0"/>
          <w:i w:val="0"/>
        </w:rPr>
        <w:t>Thứ nhất, tôi không tin rằng tin nhắn thoại của Fiorina là bằng chứng cho ý định sử dụng các biện pháp không đúng mực để thuyết phục Deutsche Bank bỏ phiếu ủng hộ thương vụ sáp nhập. Fiorina đã khai một cách đáng tin cậy tại phiên tòa rằng khi nói "làm điều gì đó phi thường", bà muốn nói rằng ban lãnh đạo HP cần thực hiện các bước cần thiết để có được một buổi gặp gỡ tại Deutsche Bank cho phần trình bày của HP ủng hộ thương vụ sáp nhập. Những bước này bao gồm bay đến New York để trình bày trực tiếp với Deutsche Bank, sắp xếp để các thành viên độc lập của hội đồng quản trị HP nói chuyện với Deutsche Bank, hoặc để ai đó từ Compaq nói chuyện với Deutsche Bank. Trong hoàn cảnh đó, khi cuộc bỏ phiếu của cổ đông đang diễn ra gay gắt chỉ còn chưa đầy 48 giờ nữa, những hành động như vậy sẽ có phần phi thường. Xét đến sự gần kề của cuộc bỏ phiếu cổ đông và khoảng cách mong manh được cho là phân chia giữa phiếu thuận và phiếu chống thương vụ sáp nhập, tôi tin rằng nội dung tin nhắn của Fiorina không đủ để đưa ra suy luận rằng ban lãnh đạo HP có ý định ép buộc Deutsche Bank. Thay vào đó, tin nhắn của Fiorina phản ánh những hành động hợp lý được thực hiện bởi một giám đốc điều hành đối mặt với thông tin bất lợi bất ngờ.</w:t>
      </w:r>
    </w:p>
    <w:p>
      <w:pPr>
        <w:spacing w:after="80"/>
      </w:pPr>
      <w:r>
        <w:rPr>
          <w:b w:val="0"/>
          <w:i w:val="0"/>
        </w:rPr>
        <w:t>Thứ hai, mặc dù các thành viên của nhóm CIB thuộc Deutsche Bank đã được ban lãnh đạo HP liên hệ và đã cố gắng sắp xếp một cuộc gặp với PWG, bằng chứng không cho thấy rằng sự can thiệp của các nhân viên ngân hàng thương mại là kết quả của một mối đe dọa từ HP về việc rút lại hoạt động kinh doanh trong tương lai khỏi Deutsche Bank. Ngoài việc giới thiệu những người tham gia cuộc họp qua điện thoại ngày 19 tháng 3, các cá nhân thuộc CIB (Griswold và Thornton) không đóng góp vào các cuộc thảo luận thực chất về thương vụ sáp nhập được đề xuất cũng như không đưa ra bất kỳ ý kiến đóng góp nào trong quá trình PWG xem xét cách bỏ phiếu cho số cổ phiếu HP do Deutsche Bank kiểm soát. Hơn nữa, có vẻ như Griswold và Thornton đã giúp sắp xếp cuộc họp qua điện thoại được triệu tập gấp gáp này vì họ đau khổ rằng họ đã thông tin sai cho khách hàng của mình, HP, về quy trình mà DBAM [Quản lý Tài sản Deutsche Bank] sẽ tuân theo khi bỏ phiếu cho số cổ phiếu trong thương vụ sáp nhập. Cả Griswold và Thornton đều khai, không có ngoại lệ, rằng họ đã tư vấn sai cho HP rằng số cổ phiếu do DBAM nắm giữ như cổ phiếu chỉ số, hay thụ động, sẽ được bỏ phiếu theo khuyến nghị của ISS. Cảm thấy "ngu ngốc", "sốc" và "xấu hổ" vì đã trình bày sai sự thật về quy trình bỏ phiếu, cả Griswold và Thornton đều tin rằng việc tạo ra một cơ hội — dù là vào phút chót và không có đảm bảo về kết quả — để các bên tranh cử phiếu đại diện (và đặc biệt là khách hàng của họ) trình bày quan điểm của mình về giá trị thực chất của thương vụ sáp nhập trước PWG là hoàn toàn thích hợp. Đây là tin tốt mà Griswold và Thornton có thể mang đến cho HP cùng với tin xấu rằng lá phiếu chống lại thương vụ sáp nhập. Từ những tình tiết này, các nguyên đơn cho rằng suy luận hợp lý duy nhất là Griswold và Thornton, đáp lại mối đe dọa của HP về việc giữ lại hoạt động kinh doanh trong tương lai, đã ép buộc và gây áp lực lên PWG để thay đổi lá phiếu của mình.</w:t>
      </w:r>
    </w:p>
    <w:p>
      <w:pPr>
        <w:spacing w:after="80"/>
      </w:pPr>
      <w:r>
        <w:rPr>
          <w:b w:val="0"/>
          <w:i w:val="0"/>
        </w:rPr>
        <w:t>Những tình tiết xung quanh cuộc họp qua điện thoại ngày 19 tháng 3 tạo ra những suy luận xung đột một cách hợp lý, không phải tất cả đều thiện chí. Chẳng hạn, việc cuộc họp qua điện thoại ngày 19 tháng 3 được khởi xướng theo sự thúc giục của các cá nhân từ nhóm CIB của Deutsche Bank và việc những cá nhân đó cũng tham dự cuộc họp qua điện thoại là điều đáng lo ngại. Sự thật này đặt ra những câu hỏi rõ ràng về tính chính trực của bức tường đạo đức nội bộ được cho là ngăn cách bộ phận quản lý tài sản của Deutsche Bank với bộ phận thương mại của nó. Tuy nhiên, không có bằng chứng nào chứng minh một cách đáng tin cậy rằng Griswold và Thornton đã sắp xếp cuộc họp qua điện thoại để đáp lại một mối đe dọa từ ban lãnh đạo HP về việc giữ lại hoạt động kinh doanh trong tương lai.</w:t>
      </w:r>
    </w:p>
    <w:p>
      <w:pPr>
        <w:spacing w:after="80"/>
      </w:pPr>
      <w:r>
        <w:rPr>
          <w:b w:val="0"/>
          <w:i w:val="0"/>
        </w:rPr>
        <w:t>Cuối cùng, bản ghi âm cuộc họp qua điện thoại ngày 19 tháng 3, cũng như lời khai của Fiorina, Wayman và các cá nhân tại Deutsche Bank tham gia cuộc gọi, đều không ủng hộ lập luận mua phiếu của các nguyên đơn. Lời khai này, mà tôi thấy đáng tin cậy, bác bỏ khẳng định rằng ban lãnh đạo HP đã ép buộc hoặc gây ảnh hưởng không đúng mực lên PWG trong các cuộc thảo luận cuối cùng về lá phiếu. Bản ghi âm cho thấy rằng phần trình bày của Fiorina và Wayman thay mặt cho HP, các câu hỏi do Deutsche Bank đặt ra, và các câu trả lời của Fiorina và Wayman đều liên quan đến giá trị thực chất của thương vụ sáp nhập được đề xuất chứ không phải ảnh hưởng của lá phiếu Deutsche Bank đối với mối quan hệ kinh doanh trong tương lai của nó với HP.</w:t>
      </w:r>
    </w:p>
    <w:p>
      <w:pPr>
        <w:spacing w:after="80"/>
      </w:pPr>
      <w:r>
        <w:rPr>
          <w:b w:val="0"/>
          <w:i w:val="0"/>
        </w:rPr>
        <w:t>Sau phần trình bày của ban lãnh đạo HP về giá trị thực chất, PWG đã tranh luận về thương vụ sáp nhập mà không đề cập đến việc quyết định của mình sẽ ảnh hưởng như thế nào đến hoạt động kinh doanh giữa HP và Deutsche Bank. Thay vào đó, PWG tập trung vào thiệt hại mà các công ty và cổ đông của họ sẽ phải chịu nếu thương vụ sáp nhập không được chấp thuận, cũng như các vấn đề thực chất khác liên quan đến giá trị của thương vụ sáp nhập, chẳng hạn như hiệu ứng cộng hưởng doanh thu từ việc kéo theo máy in. Sau cuộc thảo luận thực chất này, PWG đã bỏ phiếu 4–1, bằng bỏ phiếu kín, ủng hộ thương vụ sáp nhập.</w:t>
      </w:r>
    </w:p>
    <w:p>
      <w:pPr>
        <w:spacing w:after="80"/>
      </w:pPr>
      <w:r>
        <w:rPr>
          <w:b w:val="0"/>
          <w:i w:val="0"/>
        </w:rPr>
        <w:t>Ủy ban sau đó đã nói chuyện với Klaus Kaldermorgen, đại diện Ủy ban Phiếu đại diện Châu Âu của Deutsche Bank, về cách ông sẽ bỏ phiếu cho số cổ phiếu mà ông kiểm soát. Một lần nữa, cuộc thảo luận liên quan đến giá trị thực chất của thương vụ sáp nhập và không có đề cập nào đến bất kỳ mối đe dọa nào đối với Deutsche Bank từ góc độ quan hệ kinh doanh. Tất cả bằng chứng này cho thấy rằng quyết định cuối cùng của PWG về việc bỏ phiếu cho số cổ phiếu HP mà nó kiểm soát ủng hộ thương vụ sáp nhập đã được đưa ra dựa trên điều mà PWG tin là vì lợi ích tốt nhất của các chủ sở hữu hưởng lợi của những cổ phiếu đó. Xét bề ngoài, không có bằng chứng nào cho thấy một nỗ lực đã được thực hiện để ép buộc hoặc thao túng lá phiếu của PWG.</w:t>
      </w:r>
    </w:p>
    <w:p>
      <w:pPr>
        <w:spacing w:after="80"/>
      </w:pPr>
      <w:r>
        <w:rPr>
          <w:b w:val="0"/>
          <w:i w:val="0"/>
        </w:rPr>
        <w:t>Tình tiết cuối cùng mà các nguyên đơn đưa ra để chứng minh rằng lá phiếu của PWG là kết quả của ảnh hưởng không đúng mực từ ban lãnh đạo HP là những lời nhận xét kết thúc của Fiorina trong cuộc họp qua điện thoại. Fiorina kết thúc phần trình bày của mình bằng cách tuyên bố:</w:t>
      </w:r>
    </w:p>
    <w:p>
      <w:pPr>
        <w:spacing w:after="80"/>
      </w:pPr>
      <w:r>
        <w:rPr>
          <w:b w:val="0"/>
          <w:i w:val="0"/>
        </w:rPr>
        <w:t xml:space="preserve">Thưa các quý ông, chúng tôi trân trọng thời gian của quý vị. Tôi cần phải đi chuẩn bị cho một cuộc họp cổ đông. Chúng tôi vô cùng, vô cùng cảm kích sự sẵn lòng lắng nghe chúng tôi của quý vị trong buổi sáng hôm nay. Điều này rõ ràng có tầm quan trọng lớn lao đối với chúng tôi với tư cách là một công ty. </w:t>
      </w:r>
      <w:r>
        <w:rPr>
          <w:b w:val="0"/>
          <w:i/>
        </w:rPr>
        <w:t>Nó có tầm quan trọng lớn lao đối với mối quan hệ đang tiếp diễn của chúng ta.</w:t>
      </w:r>
      <w:r>
        <w:rPr>
          <w:b w:val="0"/>
          <w:i w:val="0"/>
        </w:rPr>
        <w:t xml:space="preserve"> Chúng tôi rất mong nhận được sự ủng hộ của quý vị ở đây. Chúng tôi cho rằng đây là một quyết định cực kỳ quan trọng đối với công ty này.</w:t>
      </w:r>
    </w:p>
    <w:p>
      <w:pPr>
        <w:spacing w:after="80"/>
      </w:pPr>
      <w:r>
        <w:rPr>
          <w:b w:val="0"/>
          <w:i w:val="0"/>
        </w:rPr>
        <w:t>Đây là tuyên bố duy nhất từ ban lãnh đạo HP mà các nguyên đơn viện dẫn làm bằng chứng rằng Deutsche Bank đã bị ép buộc trong cuộc điện đàm ngày 19 tháng 3 năm 2002. Theo ý kiến của tôi, tuyên bố đó không chứng minh rằng Fiorina đang cố gắng ép buộc Deutsche Bank. Fiorina đã làm chứng rằng tuyên bố đó là cách thông thường bà kết thúc những cuộc gọi tương tự sau khi trình bày bài thuyết trình chuẩn của HP cho các nhà đầu tư. Trong ba mươi phút trước tuyên bố kết thúc đó, Fiorina và Wayman đã trình bày lập luận của ban lãnh đạo ủng hộ việc sáp nhập và phản hồi những lo ngại được các thành viên PWG nêu ra cụ thể. Các nguyên đơn không thể chỉ ra bất cứ điều gì trong những trao đổi đó cho thấy mối đe dọa từ ban lãnh đạo rằng HP sẽ từ chối làm ăn trong tương lai với Deutsche Bank, và không có dấu hiệu nào cho thấy PWG tin rằng quyền tự quyết của mình đã bị giới hạn vì mối đe dọa như vậy. Thay vào đó, hồ sơ cho thấy tất cả các câu hỏi do ủy ban đại diện cổ đông đặt ra—một số được gợi ý từ những lo ngại mà Walter Hewlett nêu ra chỉ vài phút trước đó trong bài thuyết trình phản đối việc sáp nhập—đều xoay quanh giá trị thực chất của thương vụ. Do đó, tôi phải phán quyết có lợi cho HP về cáo buộc mua phiếu bầu.</w:t>
      </w:r>
    </w:p>
    <w:p>
      <w:pPr>
        <w:pStyle w:val="Heading5"/>
      </w:pPr>
      <w:r>
        <w:rPr>
          <w:rFonts w:ascii="Calibri" w:hAnsi="Calibri"/>
          <w:b/>
          <w:i/>
          <w:sz w:val="22"/>
        </w:rPr>
        <w:t>Bình luận và Câu hỏi</w:t>
      </w:r>
    </w:p>
    <w:p>
      <w:pPr>
        <w:spacing w:after="80"/>
      </w:pPr>
      <w:r>
        <w:rPr>
          <w:b w:val="0"/>
          <w:i w:val="0"/>
        </w:rPr>
        <w:t>1. Hai vụ án này gợi ý điều gì về khó khăn mà các cổ đông gặp phải trong việc chứng minh hành vi mua phiếu bầu? Các cổ đông cần trình bày những loại bằng chứng nào để chứng minh hành vi mua phiếu bầu không đúng đắn?</w:t>
      </w:r>
    </w:p>
    <w:p>
      <w:pPr>
        <w:spacing w:after="80"/>
      </w:pPr>
      <w:r>
        <w:rPr>
          <w:b w:val="0"/>
          <w:i w:val="0"/>
        </w:rPr>
        <w:t xml:space="preserve">2. Còn góc nhìn từ phía Deutsche Bank thì sao? Ngân hàng bỏ phiếu cho số cổ phần do khách hàng nắm giữ theo hướng ủng hộ việc sáp nhập. SEC đã khởi kiện nhóm quản lý tài sản của Ngân hàng (đơn vị đưa ra các quyết định bỏ phiếu). </w:t>
      </w:r>
      <w:r>
        <w:rPr>
          <w:b w:val="0"/>
          <w:i/>
        </w:rPr>
        <w:t>Xem In re Deutsche Asset Management, Inc.</w:t>
      </w:r>
      <w:r>
        <w:rPr>
          <w:b w:val="0"/>
          <w:i w:val="0"/>
        </w:rPr>
        <w:t xml:space="preserve"> , Investment Advisors Act Release No. 2160 (thủ tục hành chính ngày 19 tháng 8 năm 2003) (“Một khách hàng tư vấn hợp lý sẽ muốn biết rằng người được ủy thác của mình, đơn vị được yêu cầu bỏ phiếu đại diện cho khách hàng trong một vụ sáp nhập, đã được các quan chức của ngân hàng đầu tư liên kết với mình liên hệ trong một thương vụ liên quan trực tiếp đến đối tượng của việc bỏ phiếu đại diện.”). Liệu các vụ án do những cơ quan quản lý khác nhau khởi kiện có thể được dung hòa không?</w:t>
      </w:r>
    </w:p>
    <w:p>
      <w:pPr>
        <w:spacing w:after="80"/>
      </w:pPr>
      <w:r>
        <w:rPr>
          <w:b w:val="0"/>
          <w:i w:val="0"/>
        </w:rPr>
        <w:t xml:space="preserve">3. Pháp luật đã phát triển như thế nào kể từ khi </w:t>
      </w:r>
      <w:r>
        <w:rPr>
          <w:b w:val="0"/>
          <w:i/>
        </w:rPr>
        <w:t>Schreiber</w:t>
      </w:r>
      <w:r>
        <w:rPr>
          <w:b w:val="0"/>
          <w:i w:val="0"/>
        </w:rPr>
        <w:t xml:space="preserve"> từ chối áp đặt một quy tắc </w:t>
      </w:r>
      <w:r>
        <w:rPr>
          <w:b w:val="0"/>
          <w:i/>
        </w:rPr>
        <w:t>per se</w:t>
      </w:r>
      <w:r>
        <w:rPr>
          <w:b w:val="0"/>
          <w:i w:val="0"/>
        </w:rPr>
        <w:t xml:space="preserve"> cấm hành vi mua phiếu bầu? Các cổ đông có lợi hơn hay bất lợi hơn?</w:t>
      </w:r>
    </w:p>
    <w:p>
      <w:pPr>
        <w:spacing w:after="80"/>
      </w:pPr>
      <w:r>
        <w:rPr>
          <w:b w:val="0"/>
          <w:i w:val="0"/>
        </w:rPr>
        <w:t xml:space="preserve">4. Khi đánh giá hành vi mua phiếu bầu, các tòa án Delaware phân biệt giữa các thỏa thuận liên quan đến tài sản của công ty và các thỏa thuận liên quan đến tài sản của bên thứ ba. Bên thứ ba chỉ không được phép mua phiếu bầu nếu việc đó sẽ “tước quyền bầu cử” bằng cách “tạo ra sự lệch pha giữa quyền lợi bỏ phiếu và quyền lợi kinh tế của [các] cổ phần.” Crown EMAK Partners, LLC v. Kurz, 992 A.2d 377, 388 (Del. 2010). Sẽ thế nào nếu một cổ đông muốn mua phiếu bầu và dùng tiền của chính mình nhưng hứa cho người bán một ghế trong hội đồng quản trị? </w:t>
      </w:r>
      <w:r>
        <w:rPr>
          <w:b w:val="0"/>
          <w:i/>
        </w:rPr>
        <w:t>Xem Flaa v. Montano</w:t>
      </w:r>
      <w:r>
        <w:rPr>
          <w:b w:val="0"/>
          <w:i w:val="0"/>
        </w:rPr>
        <w:t xml:space="preserve"> , Civil Action No. 9146-VCG (Del. Ch. ngày 2 tháng 5 năm 2014).</w:t>
      </w:r>
    </w:p>
    <w:p>
      <w:pPr>
        <w:spacing w:after="80"/>
      </w:pPr>
      <w:r>
        <w:rPr>
          <w:b w:val="0"/>
          <w:i w:val="0"/>
        </w:rPr>
        <w:t>1 . Bản quyền © 2008 Stanford Law Review. Được tái bản với sự cho phép.</w:t>
      </w:r>
    </w:p>
    <w:p>
      <w:pPr>
        <w:spacing w:after="80"/>
      </w:pPr>
      <w:r>
        <w:rPr>
          <w:b w:val="0"/>
          <w:i w:val="0"/>
        </w:rPr>
        <w:t>2 . Bản quyền © 2005 The Journal of Corporation Law. Được tái bản với sự cho phép.</w:t>
      </w:r>
    </w:p>
    <w:p>
      <w:pPr>
        <w:spacing w:after="80"/>
      </w:pPr>
      <w:r>
        <w:rPr>
          <w:b w:val="0"/>
          <w:i w:val="0"/>
        </w:rPr>
        <w:t>3 . Bản quyền © 2009 The Journal of Corporation Law. Được tái bản với sự cho phép.</w:t>
      </w:r>
    </w:p>
    <w:p>
      <w:pPr>
        <w:spacing w:after="80"/>
      </w:pPr>
      <w:r>
        <w:rPr>
          <w:b w:val="0"/>
          <w:i w:val="0"/>
        </w:rPr>
        <w:t>5 . Bản quyền © 2010 The Delaware Journal of Corporate Law. Được tái bản với sự cho phép.</w:t>
      </w:r>
    </w:p>
    <w:p>
      <w:pPr>
        <w:spacing w:after="80"/>
      </w:pPr>
      <w:r>
        <w:rPr>
          <w:b w:val="0"/>
          <w:i w:val="0"/>
        </w:rPr>
        <w:t>6 . Bản quyền © 2007 Connecticut Law Review. Được tái bản với sự cho phép.</w:t>
      </w:r>
    </w:p>
    <w:p>
      <w:pPr>
        <w:pStyle w:val="Heading1"/>
      </w:pPr>
      <w:r>
        <w:rPr>
          <w:rFonts w:ascii="Calibri" w:hAnsi="Calibri"/>
          <w:b/>
          <w:i w:val="0"/>
          <w:sz w:val="40"/>
        </w:rPr>
        <w:t>Chương 8</w:t>
      </w:r>
    </w:p>
    <w:p>
      <w:pPr>
        <w:pStyle w:val="Heading1"/>
      </w:pPr>
      <w:r>
        <w:rPr>
          <w:rFonts w:ascii="Calibri" w:hAnsi="Calibri"/>
          <w:b/>
          <w:i w:val="0"/>
          <w:sz w:val="40"/>
        </w:rPr>
        <w:t>Thị trường Kiểm soát Công ty: Chào mua Thù địch và Cuộc tranh giành Quyền đại diện</w:t>
      </w:r>
    </w:p>
    <w:p>
      <w:pPr>
        <w:spacing w:after="80"/>
      </w:pPr>
      <w:r>
        <w:rPr>
          <w:b w:val="0"/>
          <w:i w:val="0"/>
        </w:rPr>
        <w:t>Thị trường kiểm soát từ lâu đã được xem là một thành phần trung tâm của quá trình quản trị công ty. Khi bất mãn với ban lãnh đạo, các cổ đông có thể rời khỏi công ty, đẩy giá cổ phiếu xuống và khiến công ty trở nên vừa túi tiền đối với một bên thứ ba muốn thâu tóm. Bên thâu tóm có thể mua phần lớn số cổ phần đang lưu hành, hoặc dần dần (chào mua len lỏi) hoặc thông qua một lời đề nghị gửi đồng thời đến tất cả cổ đông (chào mua công khai). Một khi đã thâu tóm được số cổ phần đủ lớn, bên thâu tóm có thể bầu ra hội đồng quản trị mới và thực hiện bước sáp nhập thứ hai. Ban lãnh đạo chịu trách nhiệm cho mức giá cổ phiếu không thỏa đáng sẽ bị thay thế.</w:t>
      </w:r>
    </w:p>
    <w:p>
      <w:pPr>
        <w:spacing w:after="80"/>
      </w:pPr>
      <w:r>
        <w:rPr>
          <w:b w:val="0"/>
          <w:i w:val="0"/>
        </w:rPr>
        <w:t>Các chào mua công khai được điều chỉnh theo luật chứng khoán liên bang, cụ thể là Đạo luật Williams. 15 U.S.C. § 78n(d) &amp; (e). Được ban hành năm 1968, Đạo luật này áp đặt các yêu cầu công bố thông tin rộng rãi và các nghĩa vụ thực chất lên các bên thâu tóm nhằm đảm bảo đối xử bình đẳng với cổ đông. Các thương vụ thâu tóm dần dần hơn được điều chỉnh bởi cơ chế công bố thông tin quy định tại Mục 13(d) của Đạo luật Giao dịch Chứng khoán. 15 U.S.C. § 78m(d).</w:t>
      </w:r>
    </w:p>
    <w:p>
      <w:pPr>
        <w:spacing w:after="80"/>
      </w:pPr>
      <w:r>
        <w:rPr>
          <w:b w:val="0"/>
          <w:i w:val="0"/>
        </w:rPr>
        <w:t xml:space="preserve">Mặc dù các đề nghị thâu tóm (tender offer) liên quan đến việc kêu gọi trực tiếp các cổ đông, ban điều hành của các công ty mục tiêu vẫn đóng vai trò then chốt, thậm chí mang tính quyết định, đối với thành công hay thất bại của nỗ lực này. Họ có thể sử dụng các chiến thuật phòng ngự có thể làm chậm hoặc thậm chí ngăn chặn việc hoàn tất một đề nghị, trong đó phổ biến nhất là thuốc độc (poison pill). Phần lớn được miễn trừ khỏi khuôn khổ quản lý của liên bang, các ban điều hành khi đối phó với một thương vụ thâu tóm thù địch phải đáp ứng các nghĩa vụ ủy thác (fiduciary obligations) của mình theo luật tiểu bang. Nhận thức được “bóng ma hiện diện khắp nơi rằng một ban điều hành có thể đang hành động chủ yếu vì lợi ích của chính mình, thay vì vì lợi ích của công ty và các cổ đông . . .” </w:t>
      </w:r>
      <w:r>
        <w:rPr>
          <w:b w:val="0"/>
          <w:i/>
        </w:rPr>
        <w:t>Unocal Corp. v. Mesa Petroleum Co.</w:t>
      </w:r>
      <w:r>
        <w:rPr>
          <w:b w:val="0"/>
          <w:i w:val="0"/>
        </w:rPr>
        <w:t xml:space="preserve"> , 493 A.2d 946, 954 (Del. 1985), các tòa án tiểu bang đã sửa đổi các tiêu chuẩn ủy thác truyền thống và áp dụng quy tắc phán đoán kinh doanh (business judgment rule) “đã sửa đổi” cho các chiến thuật phòng ngự. Theo tiêu chuẩn này, ban quản lý của một công ty mục tiêu có quyền tự quyết rộng rãi để dựa vào các chiến thuật phòng ngự.</w:t>
      </w:r>
    </w:p>
    <w:p>
      <w:pPr>
        <w:spacing w:after="80"/>
      </w:pPr>
      <w:r>
        <w:rPr>
          <w:b w:val="0"/>
          <w:i w:val="0"/>
        </w:rPr>
        <w:t xml:space="preserve">Không chỉ dừng lại ở việc định nghĩa các tiêu chuẩn ủy thác, các tiểu bang còn đóng vai trò chủ động trong quá trình thâu tóm. Vào những năm 1980, một số tiểu bang đã thông qua các đạo luật được thiết kế để trao cho ban quản lý quyền tự quyết bổ sung nhằm chống lại các đề nghị thù địch hoặc để nâng cao chi phí của bất kỳ nỗ lực thâu tóm nào. Trong một thời gian, đã có sự không chắc chắn về tính hợp hiến của các đạo luật này. Những vấn đề này phần lớn đã được giải quyết khi Tòa án Tối cao ủng hộ một loại đạo luật chống thâu tóm trong </w:t>
      </w:r>
      <w:r>
        <w:rPr>
          <w:b w:val="0"/>
          <w:i/>
        </w:rPr>
        <w:t>CTS Corp. v. Dynamics Corp. of America</w:t>
      </w:r>
      <w:r>
        <w:rPr>
          <w:b w:val="0"/>
          <w:i w:val="0"/>
        </w:rPr>
        <w:t xml:space="preserve"> , 481 U.S. 69 (1987).</w:t>
      </w:r>
    </w:p>
    <w:p>
      <w:pPr>
        <w:spacing w:after="80"/>
      </w:pPr>
      <w:r>
        <w:rPr>
          <w:b w:val="0"/>
          <w:i w:val="0"/>
        </w:rPr>
        <w:t>Sự phổ biến của các chiến thuật phòng ngự, đặc biệt là thuốc độc, đã khiến các đề nghị thâu tóm thù địch trở nên khó thực hiện. Kết quả là, những bên thâu tóm muốn nắm quyền kiểm soát một công ty bất chấp sự phản đối của ban quản lý đương nhiệm thường phải viện đến một cuộc tranh chấp ủy quyền (proxy contest). Những cuộc tranh chấp này đòi hỏi phải đề cử một danh sách ban điều hành đối thủ nhằm nỗ lực giành quyền kiểm soát hội đồng quản trị. Sau khi được bầu, ban điều hành nổi dậy thường (nhưng không phải lúc nào cũng vậy) sẽ nhìn nhận thuận lợi hơn đối với các nỗ lực của bên thâu tóm trong việc mua lại doanh nghiệp.</w:t>
      </w:r>
    </w:p>
    <w:p>
      <w:pPr>
        <w:spacing w:after="80"/>
      </w:pPr>
      <w:r>
        <w:rPr>
          <w:b w:val="0"/>
          <w:i w:val="0"/>
        </w:rPr>
        <w:t xml:space="preserve">Các cuộc tranh chấp ủy quyền được điều chỉnh theo luật chứng khoán liên bang. </w:t>
      </w:r>
      <w:r>
        <w:rPr>
          <w:b w:val="0"/>
          <w:i/>
        </w:rPr>
        <w:t>Xem</w:t>
      </w:r>
      <w:r>
        <w:rPr>
          <w:b w:val="0"/>
          <w:i w:val="0"/>
        </w:rPr>
        <w:t xml:space="preserve"> Mục 14(a), 15 U.S.C. § 78n(a). Những bên nổi dậy phải soạn thảo và phân phối các bản tuyên bố ủy quyền (proxy statement) cho các cổ đông mà họ vận động. Chi phí liên quan đến một cuộc tranh chấp ủy quyền, đặc biệt là ở các công ty đại chúng lớn, có thể rất đáng kể và lên tới hàng triệu đô la. Những bên nổi dậy tham gia vào một cuộc tranh chấp ủy quyền phải tự bỏ tiền túi để chi trả những khoản này trong khi ban quản lý của công ty mục tiêu có thể sử dụng ngân quỹ của công ty để hỗ trợ các ứng viên của mình.</w:t>
      </w:r>
    </w:p>
    <w:p>
      <w:pPr>
        <w:spacing w:after="80"/>
      </w:pPr>
      <w:r>
        <w:rPr>
          <w:b w:val="0"/>
          <w:i w:val="0"/>
        </w:rPr>
        <w:t>Các ban điều hành có thể viện đến một số chiến thuật và biện pháp được thiết kế để ngăn cản các cuộc tranh chấp ủy quyền hoặc để làm nghiêng sân chơi một khi cuộc tranh chấp đã diễn ra. Những biện pháp này có thể bao gồm hội đồng quản trị phân tầng (staggered board), thường chia hội đồng thành ba nhóm với một nhóm được bầu mỗi năm. Những bên nổi dậy tìm cách giành quyền kiểm soát hội đồng quản trị phải chờ ít nhất hai kỳ bầu cử liên tiếp.</w:t>
      </w:r>
    </w:p>
    <w:p>
      <w:pPr>
        <w:spacing w:after="80"/>
      </w:pPr>
      <w:r>
        <w:rPr>
          <w:b w:val="0"/>
          <w:i w:val="0"/>
        </w:rPr>
        <w:t>Thuốc độc cũng có thể ảnh hưởng đến các cuộc tranh chấp ủy quyền. Chúng được kích hoạt không chỉ bởi các thương vụ thâu tóm mà còn bởi các thỏa thuận giữa các cổ đông. Do đó, một loại thuốc độc với ngưỡng kích hoạt thấp có thể cản trở khả năng của những bên nổi dậy trong việc đạt được thỏa thuận với các cổ đông khác về một danh sách ban điều hành chung hoặc việc chia sẻ chi phí liên quan đến cuộc tranh chấp.</w:t>
      </w:r>
    </w:p>
    <w:p>
      <w:pPr>
        <w:spacing w:after="80"/>
      </w:pPr>
      <w:r>
        <w:rPr>
          <w:b w:val="0"/>
          <w:i w:val="0"/>
        </w:rPr>
        <w:t>Với những chi phí như vậy, các cuộc tranh chấp ủy quyền tương đối hiếm, mặc dù tần suất của chúng đang gia tăng. Hơn nữa, các quỹ đầu cơ (hedge fund) và các cổ đông hoạt động (activist shareholder) khác có thể sử dụng mối đe dọa về một cuộc tranh chấp ủy quyền để thuyết phục các công ty đưa đại diện của họ vào danh sách do ban quản lý đề xuất. Những kiểu tương tác này đang ngày càng gia tăng.</w:t>
      </w:r>
    </w:p>
    <w:p>
      <w:pPr>
        <w:pStyle w:val="Heading2"/>
      </w:pPr>
      <w:r>
        <w:rPr>
          <w:rFonts w:ascii="Calibri" w:hAnsi="Calibri"/>
          <w:b/>
          <w:i w:val="0"/>
          <w:sz w:val="32"/>
        </w:rPr>
        <w:t>I. Các đề nghị thâu tóm thù địch</w:t>
      </w:r>
    </w:p>
    <w:p>
      <w:pPr>
        <w:pStyle w:val="Heading3"/>
      </w:pPr>
      <w:r>
        <w:rPr>
          <w:rFonts w:ascii="Calibri" w:hAnsi="Calibri"/>
          <w:b/>
          <w:i w:val="0"/>
          <w:sz w:val="26"/>
        </w:rPr>
        <w:t>A. Quy định của liên bang về các đề nghị thâu tóm</w:t>
      </w:r>
    </w:p>
    <w:p>
      <w:pPr>
        <w:spacing w:after="80"/>
      </w:pPr>
      <w:r>
        <w:rPr>
          <w:b w:val="0"/>
          <w:i w:val="0"/>
        </w:rPr>
        <w:t>Một cách để giành quyền kiểm soát một công ty là mua phần lớn số cổ phần đang lưu hành. Thành công trong việc này sẽ cho phép bên thâu tóm bầu ra phần lớn ban điều hành vào hội đồng quản trị và có đủ cổ phần để thực hiện một thương vụ sáp nhập bước hai, loại bỏ các cổ đông còn lại. Khi luật chứng khoán được thông qua vào những năm 1930, các đề nghị thâu tóm không thuộc sự quản lý của liên bang. Kết quả là một loạt các hành vi lạm dụng được nhận diện, bao gồm “đặc sản đêm thứ Bảy” (Saturday night special), những đề nghị được đưa ra trong một khoảng thời gian ngắn (qua cuối tuần) theo nguyên tắc ai đến trước được phục vụ trước, thực chất buộc các nhà đầu tư phải đưa ra quyết định vội vàng và thiếu thông tin.</w:t>
      </w:r>
    </w:p>
    <w:p>
      <w:pPr>
        <w:spacing w:after="80"/>
      </w:pPr>
      <w:r>
        <w:rPr>
          <w:b w:val="0"/>
          <w:i w:val="0"/>
        </w:rPr>
        <w:t>Điều đó đã thay đổi với việc thông qua Đạo luật Williams (Williams Act) vào năm 1968.</w:t>
      </w:r>
    </w:p>
    <w:p>
      <w:pPr>
        <w:pStyle w:val="Heading4"/>
      </w:pPr>
      <w:r>
        <w:rPr>
          <w:rFonts w:ascii="Calibri" w:hAnsi="Calibri"/>
          <w:b/>
          <w:i w:val="0"/>
          <w:sz w:val="23"/>
        </w:rPr>
        <w:t xml:space="preserve">Steven M. Davidoff, </w:t>
      </w:r>
      <w:r>
        <w:rPr>
          <w:rFonts w:ascii="Calibri" w:hAnsi="Calibri"/>
          <w:b/>
          <w:i/>
          <w:sz w:val="23"/>
        </w:rPr>
        <w:t>The SEC and the Failure of</w:t>
      </w:r>
      <w:r>
        <w:br/>
      </w:r>
      <w:r>
        <w:rPr>
          <w:rFonts w:ascii="Calibri" w:hAnsi="Calibri"/>
          <w:b/>
          <w:i/>
          <w:sz w:val="23"/>
        </w:rPr>
        <w:t xml:space="preserve"> Federal Takeover Regulation</w:t>
      </w:r>
    </w:p>
    <w:p>
      <w:pPr>
        <w:spacing w:after="80"/>
      </w:pPr>
      <w:r>
        <w:rPr>
          <w:b w:val="0"/>
          <w:i w:val="0"/>
        </w:rPr>
        <w:t>34 Fla. St. U.L. Rev. 211, 215–218 (2007)</w:t>
      </w:r>
    </w:p>
    <w:p>
      <w:pPr>
        <w:spacing w:after="80"/>
      </w:pPr>
      <w:r>
        <w:rPr>
          <w:b w:val="0"/>
          <w:i w:val="0"/>
        </w:rPr>
        <w:t>Hoạt động sáp nhập ở Hoa Kỳ trong lịch sử diễn ra theo từng làn sóng. “Làn sóng thứ ba” của hoạt động sáp nhập ở Hoa Kỳ diễn ra từ năm 1960 đến 1971 và phần lớn là do bong bóng của thế hệ đó gây ra, cơn sốt thâu tóm các tập đoàn đa ngành (conglomerate). Vào đỉnh cao của làn sóng này, từ 1967–69, hơn 10,000 công ty đã bị thâu tóm, với khoảng 25,000 doanh nghiệp biến mất trong toàn bộ giai đoạn. Chính để đối phó với làn sóng hoạt động này và sự xuất hiện sau đó của đề nghị thâu tóm bằng tiền mặt (cash tender offer) mà quy định thâu tóm liên bang hiện đại ra đời. Trước đó, các thương vụ thâu tóm là những sự kiện trầm lắng được tiến hành chủ yếu thông qua các vận động ủy quyền được điều chỉnh bởi cả luật ủy quyền của tiểu bang và liên bang. Tuy nhiên, vào giữa những năm 1960, ở đỉnh cao của làn sóng thứ ba này, đã có sự gia tăng tương đối mạnh mẽ trong các nỗ lực thâu tóm không được yêu cầu hoặc “thù địch”. Những bên chào mua không được yêu cầu này thường thích lẩn tránh bộ máy quản lý của liên bang và tiểu bang áp dụng cho các cuộc tranh chấp ủy quyền và thay vào đó thường thực hiện các nỗ lực thâu tóm của mình thông qua đề nghị thâu tóm bằng tiền mặt. Sự gia tăng của đề nghị thâu tóm được thể hiện qua con số: năm 1966, có hơn 100 đề nghị thâu tóm liên quan đến các công ty niêm yết trên các sàn chứng khoán quốc gia, so với chỉ tám vào năm 1960.</w:t>
      </w:r>
    </w:p>
    <w:p>
      <w:pPr>
        <w:spacing w:after="80"/>
      </w:pPr>
      <w:r>
        <w:rPr>
          <w:b w:val="0"/>
          <w:i w:val="0"/>
        </w:rPr>
        <w:t>Những đề nghị thâu tóm ban đầu này phần lớn là những hoạt động không được quản lý, và hành vi của bên chào mua thường rất tồi tệ. “Đặc sản đêm thứ Bảy” là một món khoái khẩu: ở một dạng, bên chào mua sẽ tiến hành một cuộc săn mua trước đề nghị để thiết lập một bàn đạp sở hữu đáng kể với giá giảm. Tiếp theo là một đề nghị thâu tóm công khai trong thời gian ngắn, theo nguyên tắc ai đến trước được phục vụ trước. Việc công bố thông tin của bên chào mua trong những đề nghị này cũng rất hạn chế: các cổ đông mục tiêu thường không biết ý định tương lai của bên chào mua đối với công ty, nguồn gốc hay tính sẵn có của vốn của bên chào mua, hoặc thậm chí danh tính thực sự của bên chào mua. Trước những chiến thuật mới và xa lạ này, các cổ đông và công ty mục tiêu tương đối bất lực. Các biện pháp phòng ngự thâu tóm vào thời điểm đó còn ở giai đoạn sơ khai và hầu như không tồn tại. Thật vậy, khi khảo sát các cẩm nang thâu tóm được xuất bản trong giai đoạn này, người ta kinh ngạc trước tầm rộng lớn của những phát triển sau đó.</w:t>
      </w:r>
    </w:p>
    <w:p>
      <w:pPr>
        <w:spacing w:after="80"/>
      </w:pPr>
      <w:r>
        <w:rPr>
          <w:b w:val="0"/>
          <w:i w:val="0"/>
        </w:rPr>
        <w:t>* * *</w:t>
      </w:r>
    </w:p>
    <w:p>
      <w:pPr>
        <w:spacing w:after="80"/>
      </w:pPr>
      <w:r>
        <w:rPr>
          <w:b w:val="0"/>
          <w:i w:val="0"/>
        </w:rPr>
        <w:t>Trước việc các bang không phản hồi, SEC đã trở thành cơ quan chính phủ chủ chốt trong nỗ lực điều chỉnh các đề nghị mua thâu tóm bằng tiền mặt (cash tender offers). SEC, dưới sự lãnh đạo của Chủ tịch Manuel F. Cohen, đã khởi động một chiến dịch mạnh mẽ ủng hộ việc điều chỉnh như vậy và nhằm phơi bày các hành vi lạm dụng. Thành quả đầu tiên từ nỗ lực của SEC được gặt hái vào năm 1965, khi Thượng nghị sĩ Harrison A. Williams giới thiệu một dự luật nhằm điều chỉnh các đề nghị mua thâu tóm. Tuy nhiên, dự luật đầu tiên này, được ghi trên Congressional Record với tiêu đề đầy điềm gở "Protection Against Corporate Raiders" (Bảo vệ chống lại những kẻ thâu tóm doanh nghiệp), lại mang thiên hướng chống thâu tóm rõ rệt. Trong số những quy định khác, nó yêu cầu thời hạn thông báo hai mươi ngày trước khi bên chào mua bắt đầu một đề nghị mua thâu tóm. SEC, duy trì cách tiếp cận chủ động của mình, do đó đã công khai phản đối nhiều điều khoản của dự luật, bao gồm cả thời hạn thông báo.</w:t>
      </w:r>
    </w:p>
    <w:p>
      <w:pPr>
        <w:spacing w:after="80"/>
      </w:pPr>
      <w:r>
        <w:rPr>
          <w:b w:val="0"/>
          <w:i w:val="0"/>
        </w:rPr>
        <w:t>Phần lớn nhờ sự phản đối này của SEC, vào năm 1967 Thượng nghị sĩ Williams đã giới thiệu một dự luật sửa đổi, trung lập hơn. Một trong những mục đích chính được nêu rõ của nó là "tránh làm nghiêng cán cân điều chỉnh theo hướng có lợi cho ban quản lý hoặc có lợi cho người đưa ra đề nghị thâu tóm." Dự luật cuối cùng, được ký thành luật vào ngày 29 tháng 7 năm 1968, và được biết đến với tên gọi Đạo luật Williams (Williams Act), gần như hoàn toàn theo hình thức mà SEC đề xuất.</w:t>
      </w:r>
    </w:p>
    <w:p>
      <w:pPr>
        <w:spacing w:after="80"/>
      </w:pPr>
      <w:r>
        <w:rPr>
          <w:b w:val="0"/>
          <w:i w:val="0"/>
        </w:rPr>
        <w:t>Bản thân Đạo luật Williams điều chỉnh các đề nghị mua thâu tóm cả về mặt nội dung lẫn thủ tục, và các điều khoản của nó được thiết kế riêng để ứng phó với những hành vi lạm dụng được nhận diện vào thời điểm đó. Thứ nhất, điều khoản mới 14(d) buộc các bên chào mua phải nộp Schedule 14D [nay là Schedule TO] và phát hành một tài liệu công bố thông tin liên quan đến đề nghị mua thâu tóm. Thứ hai, điều khoản mới 14D cố gắng hạn chế các hành vi ép buộc trong đề nghị mua thâu tóm bằng cách quy định rõ các quy tắc điều chỉnh về nội dung. Cụ thể hơn, điều khoản mới 14(d)(5) yêu cầu bên chào mua phải cung cấp quyền rút lại trong bảy ngày đầu tiên của đề nghị và sau đó là sau ngày thứ sáu mươi, qua đó thiết lập hiệu quả thời hạn đề nghị tối thiểu bảy ngày; điều khoản mới 14(d)(6) yêu cầu bên chào mua phải chấp nhận cổ phần được chào bán trong mười ngày đầu tiên của một đề nghị mua một phần theo tỷ lệ tương ứng (pro rata); và điều khoản mới 14(d)(7) yêu cầu bên chào mua phải đưa ra và thanh toán cùng một khoản đối价 cho tất cả cổ đông chào bán. Cuối cùng, điều khoản mới 14(e) cấm các hành vi xuyên tạc, bỏ sót gây nhầm lẫn và "các hành vi hoặc thực hành gian lận, lừa dối hoặc thao túng" liên quan đến một đề nghị mua thâu tóm.</w:t>
      </w:r>
    </w:p>
    <w:p>
      <w:pPr>
        <w:pStyle w:val="Heading5"/>
      </w:pPr>
      <w:r>
        <w:rPr>
          <w:rFonts w:ascii="Calibri" w:hAnsi="Calibri"/>
          <w:b/>
          <w:i/>
          <w:sz w:val="22"/>
        </w:rPr>
        <w:t>Bình luận và Câu hỏi</w:t>
      </w:r>
    </w:p>
    <w:p>
      <w:pPr>
        <w:spacing w:after="80"/>
      </w:pPr>
      <w:r>
        <w:rPr>
          <w:b w:val="0"/>
          <w:i w:val="0"/>
        </w:rPr>
        <w:t xml:space="preserve">1. Như bài viết lưu ý, các bên chào mua trong các đề nghị mua thâu tóm thù địch chủ yếu được điều chỉnh theo luật liên bang. Cơ chế ban đầu trong Đạo luật Williams đã bị thay đổi đáng kể thông qua việc ban hành quy định của SEC. Thứ nhất, quyền rút lại đã được mở rộng cho toàn bộ thời hạn đề nghị (vốn phải kéo dài ít nhất 20 ngày). </w:t>
      </w:r>
      <w:r>
        <w:rPr>
          <w:b w:val="0"/>
          <w:i/>
        </w:rPr>
        <w:t>Xem</w:t>
      </w:r>
      <w:r>
        <w:rPr>
          <w:b w:val="0"/>
          <w:i w:val="0"/>
        </w:rPr>
        <w:t xml:space="preserve"> Rules 14d-7 &amp; 14e-1, 17 C.F.R. 240.14d-7, 14e-1. Tương tự, trong trường hợp đề nghị mua một phần, tất cả cổ phần được chào bán trong thời hạn đề nghị phải được mua theo tỷ lệ tương ứng. </w:t>
      </w:r>
      <w:r>
        <w:rPr>
          <w:b w:val="0"/>
          <w:i/>
        </w:rPr>
        <w:t>Xem</w:t>
      </w:r>
      <w:r>
        <w:rPr>
          <w:b w:val="0"/>
          <w:i w:val="0"/>
        </w:rPr>
        <w:t xml:space="preserve"> Rule 14d-8, 17 C.F.R. 240.14d-8.</w:t>
      </w:r>
    </w:p>
    <w:p>
      <w:pPr>
        <w:spacing w:after="80"/>
      </w:pPr>
      <w:r>
        <w:rPr>
          <w:b w:val="0"/>
          <w:i w:val="0"/>
        </w:rPr>
        <w:t>2. Mục đích cơ bản của quyền rút lại và việc phân bổ theo tỷ lệ là gì? Điều gì có thể xảy ra khiến một cổ đông lý trí rút lại cổ phần của mình?</w:t>
      </w:r>
    </w:p>
    <w:p>
      <w:pPr>
        <w:spacing w:after="80"/>
      </w:pPr>
      <w:r>
        <w:rPr>
          <w:b w:val="0"/>
          <w:i w:val="0"/>
        </w:rPr>
        <w:t>3. Các công ty chào mua phải nộp cho Ủy ban một tài liệu công bố thông tin dài dòng theo Mẫu TO. Ngoài lượng thông tin đáng kể có thể bao gồm các mục như báo cáo tài chính dự phóng (pro-forma) của các thực thể giả định rằng cuối cùng chúng sẽ hợp nhất, mẫu này còn phải tuân theo các yêu cầu công bố thông tin của các điều khoản chống gian lận và do đó phải chính xác và đầy đủ.</w:t>
      </w:r>
    </w:p>
    <w:p>
      <w:pPr>
        <w:spacing w:after="80"/>
      </w:pPr>
      <w:r>
        <w:rPr>
          <w:b w:val="0"/>
          <w:i w:val="0"/>
        </w:rPr>
        <w:t>4. Các quy tắc về đề nghị mua thâu tóm có điều khoản chống gian lận riêng, cấm các tuyên bố sai lệch "liên quan đến bất kỳ đề nghị mua thâu tóm hoặc yêu cầu hoặc lời mời chào bán nào, hoặc bất kỳ sự vận động chào bán nào của chủ sở hữu chứng khoán nhằm phản đối hoặc ủng hộ bất kỳ đề nghị, yêu cầu hoặc lời mời nào như vậy." Section 14(e), 15 U.S.C. § 78n(e). Điều khoản này khác gì so với điều khoản chống gian lận tổng quát hơn trong Rule 10b-5?</w:t>
      </w:r>
    </w:p>
    <w:p>
      <w:pPr>
        <w:spacing w:after="80"/>
      </w:pPr>
      <w:r>
        <w:rPr>
          <w:b w:val="0"/>
          <w:i w:val="0"/>
        </w:rPr>
        <w:t>5. Bạn có thể lập luận rằng loại quy định này thực sự gây hại cho cổ đông không?</w:t>
      </w:r>
    </w:p>
    <w:p>
      <w:pPr>
        <w:pStyle w:val="Heading3"/>
      </w:pPr>
      <w:r>
        <w:rPr>
          <w:rFonts w:ascii="Calibri" w:hAnsi="Calibri"/>
          <w:b/>
          <w:i w:val="0"/>
          <w:sz w:val="26"/>
        </w:rPr>
        <w:t>B. Section 13(d) và các đề nghị mua thâu tóm len lỏi (Creeping Tender Offers)</w:t>
      </w:r>
    </w:p>
    <w:p>
      <w:pPr>
        <w:spacing w:after="80"/>
      </w:pPr>
      <w:r>
        <w:rPr>
          <w:b w:val="0"/>
          <w:i w:val="0"/>
        </w:rPr>
        <w:t xml:space="preserve">Các đề nghị mua thâu tóm, tuy không được định nghĩa trong Đạo luật Williams, theo truyền thống liên quan đến một đề nghị dành cho tất cả cổ đông với mức giá cao hơn đáng kể so với giá thị trường. </w:t>
      </w:r>
      <w:r>
        <w:rPr>
          <w:b w:val="0"/>
          <w:i/>
        </w:rPr>
        <w:t>Xem Hanson Trust PLC v. SCM Corp.</w:t>
      </w:r>
      <w:r>
        <w:rPr>
          <w:b w:val="0"/>
          <w:i w:val="0"/>
        </w:rPr>
        <w:t xml:space="preserve"> , 774 F.2d 47, 54 (2d Cir. 1985). Tuy nhiên, đây không phải là cách duy nhất để giành quyền kiểm soát một công ty. Cổ phần có thể được mua dần dần trên thị trường mở, một cách tiếp cận đôi khi được gọi là đề nghị mua thâu tóm len lỏi. </w:t>
      </w:r>
      <w:r>
        <w:rPr>
          <w:b w:val="0"/>
          <w:i/>
        </w:rPr>
        <w:t>Xem Telvest, Inc. v. Bradshaw</w:t>
      </w:r>
      <w:r>
        <w:rPr>
          <w:b w:val="0"/>
          <w:i w:val="0"/>
        </w:rPr>
        <w:t xml:space="preserve"> , 547 F. Supp. 791, 798 (E.D. Va. 1982) (định nghĩa đề nghị mua thâu tóm len lỏi là "một chiến lược thâu tóm trong đó, bằng cách đạt được vị thế đáng kể trong một công ty thông qua các giao dịch mua trên thị trường mở, một công ty thâu tóm có thể đạt được vị thế chặn (blocking position) cho phép họ mua số cổ phần còn lại bằng đề nghị mua thâu tóm hoặc trao đổi với chi phí thấp hơn đáng kể so với việc đưa ra một đề nghị mua thâu tóm chính thức trước đó.") (trích dẫn bản tóm tắt lập luận của bị đơn).</w:t>
      </w:r>
    </w:p>
    <w:p>
      <w:pPr>
        <w:spacing w:after="80"/>
      </w:pPr>
      <w:r>
        <w:rPr>
          <w:b w:val="0"/>
          <w:i w:val="0"/>
        </w:rPr>
        <w:t xml:space="preserve">Các giao dịch mua không thông qua đề nghị mua thâu tóm được điều chỉnh bởi Section 13(d). 15 U.S.C. § 78m(d). Chủ sở hữu nắm giữ hơn 5% cổ phần có quyền biểu quyết đang lưu hành phải công khai báo cáo quyền sở hữu của mình trên Schedule 13D trong vòng mười ngày. </w:t>
      </w:r>
      <w:r>
        <w:rPr>
          <w:b w:val="0"/>
          <w:i/>
        </w:rPr>
        <w:t>Xem</w:t>
      </w:r>
      <w:r>
        <w:rPr>
          <w:b w:val="0"/>
          <w:i w:val="0"/>
        </w:rPr>
        <w:t xml:space="preserve"> Rule 13d-1, 17 CFR 240.13d-1. Những thay đổi trọng yếu về quyền sở hữu phải được công bố kịp thời. </w:t>
      </w:r>
      <w:r>
        <w:rPr>
          <w:b w:val="0"/>
          <w:i/>
        </w:rPr>
        <w:t>Xem</w:t>
      </w:r>
      <w:r>
        <w:rPr>
          <w:b w:val="0"/>
          <w:i w:val="0"/>
        </w:rPr>
        <w:t xml:space="preserve"> Rule 13d-2, 17 CFR 13d-2 (mặc định định nghĩa là trọng yếu bất kỳ thay đổi quyền sở hữu từ 1% trở lên). Ngưỡng này áp dụng cho cổ phần được sở hữu trực tiếp hoặc gián tiếp và như một phần của một "nhóm." Ngoài ra, cổ đông phải nêu rõ mục đích của việc thâu tóm, điều thường được quy về đầu tư hoặc kiểm soát. Yêu cầu này đặt các nhà đầu tư khác vào tình trạng được cảnh báo về một nỗ lực thâu tóm có thể xảy ra, điều có thể ảnh hưởng đến các quyết định đầu tư.</w:t>
      </w:r>
    </w:p>
    <w:p>
      <w:pPr>
        <w:spacing w:after="80"/>
      </w:pPr>
      <w:r>
        <w:rPr>
          <w:b w:val="0"/>
          <w:i w:val="0"/>
        </w:rPr>
        <w:t>Vậy điều gì xảy ra nếu các cổ đông lớn vi phạm điều khoản này?</w:t>
      </w:r>
    </w:p>
    <w:p>
      <w:pPr>
        <w:pStyle w:val="Heading4"/>
      </w:pPr>
      <w:r>
        <w:rPr>
          <w:rFonts w:ascii="Calibri" w:hAnsi="Calibri"/>
          <w:b/>
          <w:i w:val="0"/>
          <w:sz w:val="23"/>
        </w:rPr>
        <w:t>Rondeau v. Mosinee Paper Corp.</w:t>
      </w:r>
    </w:p>
    <w:p>
      <w:pPr>
        <w:spacing w:after="80"/>
      </w:pPr>
      <w:r>
        <w:rPr>
          <w:b w:val="0"/>
          <w:i w:val="0"/>
        </w:rPr>
        <w:t>Tòa án Tối cao Hoa Kỳ</w:t>
      </w:r>
      <w:r>
        <w:br/>
      </w:r>
      <w:r>
        <w:rPr>
          <w:b w:val="0"/>
          <w:i w:val="0"/>
        </w:rPr>
        <w:t xml:space="preserve"> 422 U.S. 49 (1975)</w:t>
      </w:r>
    </w:p>
    <w:p>
      <w:pPr>
        <w:spacing w:after="80"/>
      </w:pPr>
      <w:r>
        <w:rPr>
          <w:b w:val="0"/>
          <w:i w:val="0"/>
        </w:rPr>
        <w:t>BURGER , CHÁNH ÁN :</w:t>
      </w:r>
    </w:p>
    <w:p>
      <w:pPr>
        <w:spacing w:after="80"/>
      </w:pPr>
      <w:r>
        <w:rPr>
          <w:b w:val="0"/>
          <w:i w:val="0"/>
        </w:rPr>
        <w:t>Vào tháng 4 năm 1971, nguyên đơn Francis A. Rondeau, một doanh nhân ở Mosinee, bắt đầu mua một lượng lớn cổ phiếu phổ thông của bị đơn trên thị trường phi tập trung (over-the-counter market). Một số giao dịch mua đứng tên ông; số khác đứng tên các doanh nghiệp và một quỹ được biết là do ông kiểm soát. Đến ngày 17 tháng 5 năm 1971, nguyên đơn đã mua được 40.413 cổ phiếu của bị đơn, chiếm hơn 5% tổng số cổ phiếu đang lưu hành. Do đó, ông buộc phải tuân thủ các quy định về công bố thông tin của Đạo luật Williams, bằng cách nộp Bản khai Schedule 13D cho bị đơn và Ủy ban Chứng khoán và Giao dịch (Securities and Exchange Commission) trong vòng 10 ngày. Bản khai đó lẽ ra phải công bố, trong số những thông tin khác, số cổ phiếu mà nguyên đơn sở hữu một cách hưởng lợi, nguồn vốn dùng để mua số cổ phiếu đó, và mục đích của nguyên đơn khi thực hiện các giao dịch mua.</w:t>
      </w:r>
    </w:p>
    <w:p>
      <w:pPr>
        <w:spacing w:after="80"/>
      </w:pPr>
      <w:r>
        <w:rPr>
          <w:b w:val="0"/>
          <w:i w:val="0"/>
        </w:rPr>
        <w:t>Nguyên đơn đã không nộp Bản khai Schedule 13D mà tiếp tục mua những khối lượng lớn cổ phiếu của bị đơn. Đến ngày 30 tháng 7 năm 1971, ông đã mua được hơn 60.000 cổ phiếu.</w:t>
      </w:r>
    </w:p>
    <w:p>
      <w:pPr>
        <w:spacing w:after="80"/>
      </w:pPr>
      <w:r>
        <w:rPr>
          <w:b w:val="0"/>
          <w:i w:val="0"/>
        </w:rPr>
        <w:t>Vào ngày đó, chủ tịch hội đồng quản trị của bị đơn đã thông báo cho ông bằng thư rằng hoạt động của ông đã "làm dấy lên nhiều tin đồn" và "dường như đã tạo ra một số vấn đề theo Luật Chứng khoán Liên bang. . . ." Khi nhận được thư, nguyên đơn ngay lập tức ngừng đặt lệnh mua cổ phiếu của bị đơn và tham khảo ý kiến luật sư của mình. Vào ngày 25 tháng 8 năm 1971, ông đã nộp Bản khai Schedule 13D, trong đó, ngoài các thông tin công bố bắt buộc khác, mô tả "Mục đích Giao dịch" như sau:</w:t>
      </w:r>
    </w:p>
    <w:p>
      <w:pPr>
        <w:spacing w:after="80"/>
      </w:pPr>
      <w:r>
        <w:rPr>
          <w:b w:val="0"/>
          <w:i w:val="0"/>
        </w:rPr>
        <w:t>"Francis A. Rondeau đã xác định vào đầu năm 1971 rằng cổ phiếu phổ thông của Tổ chức phát hành [bị đơn] đang bị định giá thấp trên thị trường phi tập trung và là một phương tiện đầu tư tốt cho thu nhập và tăng giá trong tương lai. Francis A. Rondeau và các cộng sự của ông hiện đề xuất tìm cách mua thêm cổ phiếu phổ thông của Tổ chức phát hành để giành quyền kiểm soát hữu hiệu đối với Tổ chức phát hành, nhưng những khoản đầu tư như đã xác định ban đầu thì không nhất thiết được thực hiện với mục tiêu này. Hiện đang được xem xét việc đưa ra một đề nghị mua công khai bằng tiền mặt (public cash tender offer) gửi đến các cổ đông của Tổ chức phát hành với mức giá phản ánh giá niêm yết hiện hành của cổ phiếu đó cộng thêm một khoản phụ trội."</w:t>
      </w:r>
    </w:p>
    <w:p>
      <w:pPr>
        <w:spacing w:after="80"/>
      </w:pPr>
      <w:r>
        <w:rPr>
          <w:b w:val="0"/>
          <w:i w:val="0"/>
        </w:rPr>
        <w:t>Nguyên đơn cũng tuyên bố rằng, trong trường hợp ông thực sự giành được quyền kiểm soát bị đơn, ông sẽ xem xét thực hiện những thay đổi trong ban quản lý "nhằm nỗ lực cung cấp một Hội đồng Quản trị đại diện hơn cho tất cả các cổ đông, đặc biệt là những người bên ngoài ban quản lý hiện tại. . . ." Một tháng sau, nguyên đơn đã sửa đổi bản khai để phản ánh chính xác hơn việc phân bổ cổ phiếu giữa ông và các công ty của ông.</w:t>
      </w:r>
    </w:p>
    <w:p>
      <w:pPr>
        <w:spacing w:after="80"/>
      </w:pPr>
      <w:r>
        <w:rPr>
          <w:b w:val="0"/>
          <w:i w:val="0"/>
        </w:rPr>
        <w:t>* * *</w:t>
      </w:r>
    </w:p>
    <w:p>
      <w:pPr>
        <w:spacing w:after="80"/>
      </w:pPr>
      <w:r>
        <w:rPr>
          <w:b w:val="0"/>
          <w:i w:val="0"/>
        </w:rPr>
        <w:t>Cũng như tại Tòa án Quận và Tòa án Phúc thẩm, ở đây người ta thừa nhận rằng việc nguyên đơn chậm nộp Bản khai Schedule 13D đã cấu thành hành vi vi phạm Đạo luật Williams. Vấn đề hẹp trước chúng tôi là liệu hồ sơ này có biện minh cho việc ban hành lệnh cấm (injunctive relief) hay không, một biện pháp khắc phục mà cơ sở của nó "tại các tòa án liên bang luôn là thiệt hại không thể khắc phục được và sự không đầy đủ của các biện pháp khắc phục theo luật." Beacon Theatres, Inc. v. Westover, 359 U.S. 500, 506–507 (1959).</w:t>
      </w:r>
    </w:p>
    <w:p>
      <w:pPr>
        <w:spacing w:after="80"/>
      </w:pPr>
      <w:r>
        <w:rPr>
          <w:b w:val="0"/>
          <w:i w:val="0"/>
        </w:rPr>
        <w:t xml:space="preserve">Kết luận của Tòa án Phúc thẩm rằng bị đơn đã chịu "thiệt hại" đủ để đòi hỏi việc vô hiệu hóa cổ phiếu của nguyên đơn không cần giữ chúng tôi lâu. Mục đích của Đạo luật Williams là bảo đảm rằng các cổ đông công chúng, những người đối mặt với một đề nghị mua bằng tiền mặt đối với cổ phiếu của họ, sẽ không bị buộc phải phản hồi mà không có thông tin đầy đủ về tư cách và ý định của bên đưa ra đề nghị. Bằng việc yêu cầu công bố thông tin cho cả công ty mục tiêu lẫn Ủy ban Chứng khoán và Giao dịch, Quốc hội chỉ có ý định trao cho ban quản lý đương nhiệm cơ hội bày tỏ và giải thích lập trường của mình, chứ không hơn. Quốc hội đã tuyên bố rõ ràng rằng không có ý định cung cấp một vũ khí để ban quản lý ngăn cản các đề nghị thâu tóm hoặc ngăn chặn việc tích lũy cổ phiếu lớn có thể tạo ra tiềm năng cho những nỗ lực như vậy. Thật vậy, những người soạn thảo Đạo luật đã bình luận về sự "cực kỳ cẩn trọng" được thực hiện "để tránh làm nghiêng cán cân quản lý theo hướng có lợi cho ban quản lý hoặc có lợi cho người đưa ra đề nghị thâu tóm." S. Rep. No. 550, 90th Cong., 1st Sess., 3 (1967); H.R. Rep. No. 1711, 90th Cong., 2d Sess., 4 (1968). </w:t>
      </w:r>
      <w:r>
        <w:rPr>
          <w:b w:val="0"/>
          <w:i/>
        </w:rPr>
        <w:t>Xem thêm</w:t>
      </w:r>
      <w:r>
        <w:rPr>
          <w:b w:val="0"/>
          <w:i w:val="0"/>
        </w:rPr>
        <w:t xml:space="preserve"> Electronic Specialty Co. v. International Controls Corp., 409 F. 2d 937, 947 (CA2 1969).</w:t>
      </w:r>
    </w:p>
    <w:p>
      <w:pPr>
        <w:spacing w:after="80"/>
      </w:pPr>
      <w:r>
        <w:rPr>
          <w:b w:val="0"/>
          <w:i w:val="0"/>
        </w:rPr>
        <w:t xml:space="preserve">Tóm lại, không có điều tệ hại nào mà Đạo luật Williams nhắm tới đã xảy ra hoặc đang bị đe dọa trong vụ án này. Nguyên đơn đã không cố gắng giành quyền kiểm soát bị đơn, dù bằng một đề nghị mua bằng tiền mặt hay bất kỳ phương thức nào khác. Hơn nữa, ông hiện đã nộp một Bản khai Schedule 13D hợp lệ, và không có dấu hiệu nào cho thấy ông sẽ không tuân thủ yêu cầu của Đạo luật về việc báo cáo mọi thay đổi trọng yếu trong thông tin chứa trong đó. 15 U.S.C. § 78m (d) (2); 17 C.F.R. § 240.13d-2 (1974). Theo hồ sơ này, không có khả năng các cổ đông của bị đơn sẽ bị bất lợi nếu nguyên đơn đưa ra một đề nghị mua, cũng không có khả năng bị đơn sẽ không thể trình bày đầy đủ lập trường của mình trước họ nếu một cuộc tranh giành quyền kiểm soát nổ ra. Do đó, cơ sở thông thường cho biện pháp khắc phục bằng lệnh cấm, "rằng tồn tại một nguy cơ có thể nhận thức được về việc vi phạm tái diễn," không hiện diện ở đây. United States v. W. T. Grant Co., 345 U.S. 629, 633 (1953). </w:t>
      </w:r>
      <w:r>
        <w:rPr>
          <w:b w:val="0"/>
          <w:i/>
        </w:rPr>
        <w:t>Xem thêm</w:t>
      </w:r>
      <w:r>
        <w:rPr>
          <w:b w:val="0"/>
          <w:i w:val="0"/>
        </w:rPr>
        <w:t xml:space="preserve"> Vicksburg Waterworks Co. v. Vicksburg, 185 U.S. 65, 82 (1902).</w:t>
      </w:r>
    </w:p>
    <w:p>
      <w:pPr>
        <w:spacing w:after="80"/>
      </w:pPr>
      <w:r>
        <w:rPr>
          <w:b w:val="0"/>
          <w:i w:val="0"/>
        </w:rPr>
        <w:t xml:space="preserve">Chúng tôi cũng không bị thuyết phục bởi lập luận của bị đơn rằng cần có một lệnh cấm để bảo vệ lợi ích của các cổ đông của mình, những người đã bán cổ phiếu cho nguyên đơn ở mức giá trước khi công bố thông tin, hoặc những người lẽ ra đã không đầu tư nếu họ biết rằng một đề nghị thâu tóm sắp xảy ra. Brief for Respondent 13, 20–21. Như đã nhận xét, mục tiêu chính của Đạo luật Williams là giải quyết tình thế tiến thoái lưỡng nan của các cổ đông muốn phản hồi một đề nghị mua bằng tiền mặt, và hoàn toàn không rõ rằng loại "thiệt hại" mà bị đơn xác định có thể được khắc phục theo các quy định của Đạo luật hay không. Dù sao đi nữa, những người được cho là đã bán ở mức giá bị ép xuống một cách bất công có một biện pháp khắc phục đầy đủ thông qua một vụ kiện đòi bồi thường thiệt hại, do đó phủ định cơ sở cho biện pháp khắc phục theo luật công bằng. </w:t>
      </w:r>
      <w:r>
        <w:rPr>
          <w:b w:val="0"/>
          <w:i/>
        </w:rPr>
        <w:t>Xem</w:t>
      </w:r>
      <w:r>
        <w:rPr>
          <w:b w:val="0"/>
          <w:i w:val="0"/>
        </w:rPr>
        <w:t xml:space="preserve"> Youngstown Sheet &amp; Tube Co. v. Sawyer, 343 U.S. 579, 595 (1952) (Frankfurter, J., đồng ý). Tương tự, việc nhóm cổ đông thứ hai mà bị đơn bày tỏ quan ngại đã giữ được lợi ích từ cổ phiếu của họ và việc không có một cuộc tranh giành quyền kiểm soát sắp xảy ra khiến khả năng họ bị thiệt hại trở nên rất xa vời. </w:t>
      </w:r>
      <w:r>
        <w:rPr>
          <w:b w:val="0"/>
          <w:i/>
        </w:rPr>
        <w:t>Xem</w:t>
      </w:r>
      <w:r>
        <w:rPr>
          <w:b w:val="0"/>
          <w:i w:val="0"/>
        </w:rPr>
        <w:t xml:space="preserve"> Truly v. Wanzer, 5 How. 141, 142–143 (1847).</w:t>
      </w:r>
    </w:p>
    <w:p>
      <w:pPr>
        <w:pStyle w:val="Heading5"/>
      </w:pPr>
      <w:r>
        <w:rPr>
          <w:rFonts w:ascii="Calibri" w:hAnsi="Calibri"/>
          <w:b/>
          <w:i/>
          <w:sz w:val="22"/>
        </w:rPr>
        <w:t>Bình luận và Câu hỏi</w:t>
      </w:r>
    </w:p>
    <w:p>
      <w:pPr>
        <w:spacing w:after="80"/>
      </w:pPr>
      <w:r>
        <w:rPr>
          <w:b w:val="0"/>
          <w:i w:val="0"/>
        </w:rPr>
        <w:t xml:space="preserve">1. Vụ án này cho thấy điều gì về các loại biện pháp khắc phục mà tòa án sẽ áp đặt đối với các hành vi vi phạm Mục 13(d)? Trong phạm vi yêu cầu công bố thông tin khắc phục, tòa án cũng có thể cấm mua thêm cho đến khi thị trường có thời gian tiêu hóa thông tin chính xác. </w:t>
      </w:r>
      <w:r>
        <w:rPr>
          <w:b w:val="0"/>
          <w:i/>
        </w:rPr>
        <w:t>Xem General Aircraft Corp. v. Lampert</w:t>
      </w:r>
      <w:r>
        <w:rPr>
          <w:b w:val="0"/>
          <w:i w:val="0"/>
        </w:rPr>
        <w:t xml:space="preserve"> , 556 F.2d 90, 97 (1st Cir. 1977) (giữ nguyên lệnh cấm của tòa án cấp dưới ngăn cấm việc mua thêm cổ phiếu "cho đến khi Bản khai Schedule 13D được sửa đổi để phản ánh chính xác ý định của họ.").</w:t>
      </w:r>
    </w:p>
    <w:p>
      <w:pPr>
        <w:spacing w:after="80"/>
      </w:pPr>
      <w:r>
        <w:rPr>
          <w:b w:val="0"/>
          <w:i w:val="0"/>
        </w:rPr>
        <w:t xml:space="preserve">2. Một số tòa án đã xác định rằng không có quyền khởi kiện tư nhân để đòi bồi thường thiệt hại theo Mục 13(d). </w:t>
      </w:r>
      <w:r>
        <w:rPr>
          <w:b w:val="0"/>
          <w:i/>
        </w:rPr>
        <w:t>Xem Motient Corp. v. Dondero</w:t>
      </w:r>
      <w:r>
        <w:rPr>
          <w:b w:val="0"/>
          <w:i w:val="0"/>
        </w:rPr>
        <w:t xml:space="preserve"> , 529 F.3d 532, 536 (5th Cir. 2008). Các tòa án như vậy thường xác định rằng chỉ có thể khởi kiện để yêu cầu biện pháp khắc phục theo luật công bằng. Tuy nhiên, SEC có thể yêu cầu truy hoàn lợi nhuận bất chính (disgorgement). </w:t>
      </w:r>
      <w:r>
        <w:rPr>
          <w:b w:val="0"/>
          <w:i/>
        </w:rPr>
        <w:t>Xem</w:t>
      </w:r>
      <w:r>
        <w:rPr>
          <w:b w:val="0"/>
          <w:i w:val="0"/>
        </w:rPr>
        <w:t xml:space="preserve"> SEC v. Teo, 746 F.3d 90 (3rd Cir. 2014) (thu hồi 17.422.054,13 đô la lợi nhuận trong vụ án liên quan đến vi phạm Mục 13d).</w:t>
      </w:r>
    </w:p>
    <w:p>
      <w:pPr>
        <w:spacing w:after="80"/>
      </w:pPr>
      <w:r>
        <w:rPr>
          <w:b w:val="0"/>
          <w:i w:val="0"/>
        </w:rPr>
        <w:t>3. Trong hầu hết các trường hợp, biện pháp khắc phục cho hành vi vi phạm Mục 13(d) là công bố thông tin khắc phục. Điều này có cung cấp đủ "động lực" để bảo đảm việc tuân thủ không? Một cổ đông sẽ đạt được những lợi thế gì khi không tuân thủ yêu cầu? Nếu ban quản lý trong vụ án này đã được cảnh báo kịp thời, liệu họ có thể làm gì để tác động đến các giao dịch mua thêm không?</w:t>
      </w:r>
    </w:p>
    <w:p>
      <w:pPr>
        <w:spacing w:after="80"/>
      </w:pPr>
      <w:r>
        <w:rPr>
          <w:b w:val="0"/>
          <w:i w:val="0"/>
        </w:rPr>
        <w:t xml:space="preserve">4. Ủy ban đã được kiến nghị "đóng" khung thời gian mười ngày trong Mục 13(d), với lập luận rằng "[t]rong thế giới ngày nay, mười ngày là một khoảng thời gian vô tận." </w:t>
      </w:r>
      <w:r>
        <w:rPr>
          <w:b w:val="0"/>
          <w:i/>
        </w:rPr>
        <w:t>Xem</w:t>
      </w:r>
      <w:r>
        <w:rPr>
          <w:b w:val="0"/>
          <w:i w:val="0"/>
        </w:rPr>
        <w:t xml:space="preserve"> Petition for Rulemaking Under Section 13 of the Securities Exchange Act of 1934 from Wachtell Lipton Rosen &amp; Katz, Mar. 7, 2011. Kiến nghị lưu ý rằng đề xuất đóng khung thời gian này đã tạo ra "sự phản đối gay gắt." Khung thời gian mười ngày để nộp Bản khai Schedule 13D là quá dài hay quá ngắn? Điều gì có thể xảy ra trong khoảng thời gian đó? Liệu thay đổi ngưỡng có nên được xem xét cùng với các ngưỡng phần trăm được sử dụng trong các poison pill không?</w:t>
      </w:r>
    </w:p>
    <w:p>
      <w:pPr>
        <w:spacing w:after="80"/>
      </w:pPr>
      <w:r>
        <w:rPr>
          <w:b w:val="0"/>
          <w:i w:val="0"/>
        </w:rPr>
        <w:t xml:space="preserve">5. Việc công bố trên Bản khai Schedule 13D phải được thực hiện bởi các chủ sở hữu hưởng lợi, những người sở hữu hơn 5% cổ phần vốn chủ sở hữu đang lưu hành. </w:t>
      </w:r>
      <w:r>
        <w:rPr>
          <w:b w:val="0"/>
          <w:i/>
        </w:rPr>
        <w:t>Xem</w:t>
      </w:r>
      <w:r>
        <w:rPr>
          <w:b w:val="0"/>
          <w:i w:val="0"/>
        </w:rPr>
        <w:t xml:space="preserve"> Rule 13d-1(a), 17 C.F.R. 240.13d-1(a). Quyền sở hữu hưởng lợi bao gồm bất kỳ ai có quyền biểu quyết hoặc quyền đầu tư đối với cổ phiếu. </w:t>
      </w:r>
      <w:r>
        <w:rPr>
          <w:b w:val="0"/>
          <w:i/>
        </w:rPr>
        <w:t>Xem</w:t>
      </w:r>
      <w:r>
        <w:rPr>
          <w:b w:val="0"/>
          <w:i w:val="0"/>
        </w:rPr>
        <w:t xml:space="preserve"> Rule 13d-3, 17 C.F.R. 240.13d-3. Vào những năm 1980, Ủy ban (và các cơ quan hình sự) đã khởi kiện một số vụ án cáo buộc rằng người mua đã "ký gửi" (parked) cổ phiếu với các nhà đầu tư khác nhằm tránh kích hoạt yêu cầu công bố 5%. </w:t>
      </w:r>
      <w:r>
        <w:rPr>
          <w:b w:val="0"/>
          <w:i/>
        </w:rPr>
        <w:t>Xem SEC v. Bilzerian</w:t>
      </w:r>
      <w:r>
        <w:rPr>
          <w:b w:val="0"/>
          <w:i w:val="0"/>
        </w:rPr>
        <w:t xml:space="preserve"> , Litigation Release No. 2104 (D.C. Cir. July 25, 1994). Người mua thường đồng ý sẽ mua lại số cổ phiếu ký gửi sau đó hoặc, nếu không mua, sẽ giữ cho nhà đầu tư không bị thiệt hại về bất kỳ tổn thất nào.</w:t>
      </w:r>
    </w:p>
    <w:p>
      <w:pPr>
        <w:spacing w:after="80"/>
      </w:pPr>
      <w:r>
        <w:rPr>
          <w:b w:val="0"/>
          <w:i w:val="0"/>
        </w:rPr>
        <w:t xml:space="preserve">6. Một vấn đề khó khăn liên quan đến quyền sở hữu hưởng lợi (beneficial ownership) là các giao dịch hoán đổi cổ phần (equity swaps). Trong </w:t>
      </w:r>
      <w:r>
        <w:rPr>
          <w:b w:val="0"/>
          <w:i/>
        </w:rPr>
        <w:t>CSX Corp. v. The Children's Investment Fund Management</w:t>
      </w:r>
      <w:r>
        <w:rPr>
          <w:b w:val="0"/>
          <w:i w:val="0"/>
        </w:rPr>
        <w:t xml:space="preserve"> , 2011 U.S. App. LEXIS 14653 (2d Cir., July 18, 2011), bị đơn đã mua các hợp đồng hoán đổi từ một số ngân hàng lớn có tham chiếu đến cổ phiếu của CSX. Để tránh mọi rủi ro thua lỗ, các ngân hàng đã mua cổ phiếu CSX, điều mà CSX mô tả trong đơn kiện của mình là "không thể tránh khỏi". Khi Quỹ đóng vị thế hoán đổi, số cổ phiếu đó sẽ được bán ra và sẵn sàng cho Quỹ mua lại. Tòa án cấp quận nhận định rằng các hợp đồng hoán đổi này được thiết kế để lách các yêu cầu công bố thông tin trong Mục 13(d). Ngay cả khi đó là mục đích dự định, một thẩm phán trong hội đồng xét xử không đồng ý rằng điều này dẫn đến việc Quỹ sở hữu hưởng lợi số cổ phiếu đó. Như Thẩm phán Winter kết luận:</w:t>
      </w:r>
    </w:p>
    <w:p>
      <w:pPr>
        <w:spacing w:after="80"/>
      </w:pPr>
      <w:r>
        <w:rPr>
          <w:b w:val="0"/>
          <w:i w:val="0"/>
        </w:rPr>
        <w:t>Khi không có một thỏa thuận nào khác điều chỉnh việc định đoạt số cổ phiếu được mua để phòng ngừa rủi ro cho một vị thế hoán đổi, việc chỉ nắm giữ một vị thế mua (long position) trong một hợp đồng hoán đổi cổ phần theo tổng lợi nhuận thanh toán bằng tiền mặt (cash-settled total-return equity swap) không cấu thành việc có quyền lực, trực tiếp hoặc gián tiếp, để chỉ đạo việc định đoạt số cổ phiếu mà đối tác mua để phòng ngừa rủi ro cho các vị thế hoán đổi của mình, và do đó không cấu thành việc có "quyền lực đầu tư" (investment power) theo nghĩa của Quy tắc 13d-3(a).</w:t>
      </w:r>
    </w:p>
    <w:p>
      <w:pPr>
        <w:spacing w:after="80"/>
      </w:pPr>
      <w:r>
        <w:rPr>
          <w:b w:val="0"/>
          <w:i/>
        </w:rPr>
        <w:t>Id.</w:t>
      </w:r>
      <w:r>
        <w:rPr>
          <w:b w:val="0"/>
          <w:i w:val="0"/>
        </w:rPr>
        <w:t xml:space="preserve"> Bạn nghĩ gì về lập luận này? Phía lập luận ngược lại là gì?</w:t>
      </w:r>
    </w:p>
    <w:p>
      <w:pPr>
        <w:spacing w:after="80"/>
      </w:pPr>
      <w:r>
        <w:rPr>
          <w:b w:val="0"/>
          <w:i w:val="0"/>
        </w:rPr>
        <w:t xml:space="preserve">7. Một khi Schedule 13D đã được nộp, các thay đổi trọng yếu phải được nộp một cách kịp thời. Thuật ngữ này không được định nghĩa rõ nhưng Ủy ban đã kết luận rằng "bất kỳ sự chậm trễ nào vượt quá thời điểm mà bản sửa đổi lẽ ra có thể được nộp một cách hợp lý đều có thể không được coi là kịp thời." </w:t>
      </w:r>
      <w:r>
        <w:rPr>
          <w:b w:val="0"/>
          <w:i/>
        </w:rPr>
        <w:t>In the Matter of Cooper Laboratories, Inc.</w:t>
      </w:r>
      <w:r>
        <w:rPr>
          <w:b w:val="0"/>
          <w:i w:val="0"/>
        </w:rPr>
        <w:t xml:space="preserve"> , Admin. Proc. File No. 3-6535 (June 26, 1985).</w:t>
      </w:r>
    </w:p>
    <w:p>
      <w:pPr>
        <w:pStyle w:val="Heading3"/>
      </w:pPr>
      <w:r>
        <w:rPr>
          <w:rFonts w:ascii="Calibri" w:hAnsi="Calibri"/>
          <w:b/>
          <w:i w:val="0"/>
          <w:sz w:val="26"/>
        </w:rPr>
        <w:t>C. Quy định nội dung đối với các đề nghị chào mua (tender offers)</w:t>
      </w:r>
    </w:p>
    <w:p>
      <w:pPr>
        <w:spacing w:after="80"/>
      </w:pPr>
      <w:r>
        <w:rPr>
          <w:b w:val="0"/>
          <w:i w:val="0"/>
        </w:rPr>
        <w:t xml:space="preserve">Quy định liên bang đối với các đề nghị chào mua được thiết kế để cung cấp cho cổ đông thông tin công bố đầy đủ và thời gian đầy đủ để đưa ra quyết định đầu tư sáng suốt. Một đề nghị chào mua phải mở trong tối thiểu 20 ngày làm việc. </w:t>
      </w:r>
      <w:r>
        <w:rPr>
          <w:b w:val="0"/>
          <w:i/>
        </w:rPr>
        <w:t>Xem</w:t>
      </w:r>
      <w:r>
        <w:rPr>
          <w:b w:val="0"/>
          <w:i w:val="0"/>
        </w:rPr>
        <w:t xml:space="preserve"> Rule 14e-1, 17 C.F.R. 240.14e-1. Trong thời gian chào mua, cổ đông có thể rút lại cổ phiếu đã chào bán bất cứ lúc nào. </w:t>
      </w:r>
      <w:r>
        <w:rPr>
          <w:b w:val="0"/>
          <w:i/>
        </w:rPr>
        <w:t>Xem</w:t>
      </w:r>
      <w:r>
        <w:rPr>
          <w:b w:val="0"/>
          <w:i w:val="0"/>
        </w:rPr>
        <w:t xml:space="preserve"> Rule 14d-7, 17 CFR 240.14d-7. Điều này có thể xảy ra vì cổ đông đổi ý về đề nghị chào mua hoặc vì một thương vụ cạnh tranh tốt hơn xuất hiện. Đối với các đề nghị chào mua chỉ nhắm đến ít hơn toàn bộ số cổ phiếu đang lưu hành, những cổ phiếu được nộp trong thời gian chào mua phải được mua theo tỷ lệ thuận (pro-rata). </w:t>
      </w:r>
      <w:r>
        <w:rPr>
          <w:b w:val="0"/>
          <w:i/>
        </w:rPr>
        <w:t>Xem</w:t>
      </w:r>
      <w:r>
        <w:rPr>
          <w:b w:val="0"/>
          <w:i w:val="0"/>
        </w:rPr>
        <w:t xml:space="preserve"> Rule 14d-8, 17 C.F.R. 240.14d-8. Kết quả là, những cổ phiếu được chào bán vào ngày cuối cùng của thời gian chào mua được đối xử giống như những cổ phiếu được chào bán vào ngày đầu tiên, loại bỏ mọi khả năng thúc ép cổ đông phải chào bán sớm.</w:t>
      </w:r>
    </w:p>
    <w:p>
      <w:pPr>
        <w:spacing w:after="80"/>
      </w:pPr>
      <w:r>
        <w:rPr>
          <w:b w:val="0"/>
          <w:i w:val="0"/>
        </w:rPr>
        <w:t xml:space="preserve">Một trong những khía cạnh gây tranh cãi hơn của các đề nghị chào mua là cái được gọi là quy tắc "tất cả người nắm giữ và giá tốt nhất" (all holders and best price). </w:t>
      </w:r>
      <w:r>
        <w:rPr>
          <w:b w:val="0"/>
          <w:i/>
        </w:rPr>
        <w:t>Xem</w:t>
      </w:r>
      <w:r>
        <w:rPr>
          <w:b w:val="0"/>
          <w:i w:val="0"/>
        </w:rPr>
        <w:t xml:space="preserve"> Rule 14d-10, 17 C.F.R. 240.14d-10. Quy tắc này yêu cầu rằng bất kỳ đề nghị chào mua nào cũng phải mở cho tất cả cổ đông cùng loại và tất cả cổ đông chào bán phải nhận được "giá tốt nhất" được trả trong đề nghị đó. Yêu cầu thứ hai thực chất cấm phân biệt giá giữa các cổ đông chào bán.</w:t>
      </w:r>
    </w:p>
    <w:p>
      <w:pPr>
        <w:spacing w:after="80"/>
      </w:pPr>
      <w:r>
        <w:rPr>
          <w:b w:val="0"/>
          <w:i w:val="0"/>
        </w:rPr>
        <w:t>Khi quy định về các đề nghị chào mua, Quốc hội đã không yêu cầu một cách rõ ràng việc đối xử bình đẳng giữa các cổ đông. Tuy nhiên, Ủy ban đã làm điều đó bằng quy tắc, với lập luận rằng yêu cầu này là cần thiết để thực hiện các mục tiêu của Đạo luật.</w:t>
      </w:r>
    </w:p>
    <w:p>
      <w:pPr>
        <w:spacing w:after="80"/>
      </w:pPr>
      <w:r>
        <w:rPr>
          <w:b w:val="0"/>
          <w:i w:val="0"/>
        </w:rPr>
        <w:t>Nếu không có các yêu cầu về tất cả người nắm giữ và giá tốt nhất, các mục đích bảo vệ nhà đầu tư của Đạo luật Williams sẽ không được thực hiện đầy đủ vì các đề nghị chào mua có thể được mở rộng cho một số người nắm giữ chứng khoán nhưng không cho những người khác. Những đề nghị chào mua mang tính phân biệt đối xử như vậy có thể dẫn đến những lạm dụng vốn có trong các "Saturday Night Specials", các đề nghị "First-Come First Served" và các đề nghị chào mua không theo thông lệ, vì những người nắm giữ chứng khoán bị loại khỏi đề nghị có thể bị ép buộc phải bán cho những người thuộc nhóm được bao gồm để có thể tham gia vào phần giá cao (premium) được chào bán. Những người nắm giữ chứng khoán bị loại này sẽ không nhận được thông tin mà Đạo luật Williams yêu cầu, sẽ bị lấy cổ phiếu theo nguyên tắc ai đến trước được phục vụ trước và sẽ không có quyền rút lại. Không có gì trong Đạo luật Williams hay lịch sử lập pháp của nó cho thấy Quốc hội có ý định cho phép việc bảo vệ có chọn lọc như vậy đối với những người nắm giữ chứng khoán của công ty mục tiêu.</w:t>
      </w:r>
    </w:p>
    <w:p>
      <w:pPr>
        <w:spacing w:after="80"/>
      </w:pPr>
      <w:r>
        <w:rPr>
          <w:b w:val="0"/>
          <w:i w:val="0"/>
        </w:rPr>
        <w:t>Exchange Act Release No. 23421 (July 11, 1986). Bất chấp một số bất định về mặt quy định, các tòa án đã nhất quán khẳng định thẩm quyền của Ủy ban trong việc ban hành quy tắc này.</w:t>
      </w:r>
    </w:p>
    <w:p>
      <w:pPr>
        <w:spacing w:after="80"/>
      </w:pPr>
      <w:r>
        <w:rPr>
          <w:b w:val="0"/>
          <w:i w:val="0"/>
        </w:rPr>
        <w:t>Các quy tắc này cũng bao gồm một lệnh cấm giao dịch nội gián (insider trading) áp dụng riêng cho các đề nghị chào mua. Rule 14e-3 cấm việc sử dụng thông tin trọng yếu không công khai một khi một "bước đi đáng kể" (substantial step) đã được thực hiện hướng tới việc bắt đầu một đề nghị chào mua. 17 CFR 240.14e-3. Ranh giới của yêu cầu đó đã từng bị xem xét kỹ lưỡng về mặt tư pháp.</w:t>
      </w:r>
    </w:p>
    <w:p>
      <w:pPr>
        <w:pStyle w:val="Heading4"/>
      </w:pPr>
      <w:r>
        <w:rPr>
          <w:rFonts w:ascii="Calibri" w:hAnsi="Calibri"/>
          <w:b/>
          <w:i w:val="0"/>
          <w:sz w:val="23"/>
        </w:rPr>
        <w:t>Allergan, Inc. v. Valeant Pharmaceuticals International, Inc.</w:t>
      </w:r>
    </w:p>
    <w:p>
      <w:pPr>
        <w:spacing w:after="80"/>
      </w:pPr>
      <w:r>
        <w:rPr>
          <w:b w:val="0"/>
          <w:i w:val="0"/>
        </w:rPr>
        <w:t>Tòa án Quận Hoa Kỳ, Quận Trung tâm California</w:t>
      </w:r>
      <w:r>
        <w:br/>
      </w:r>
      <w:r>
        <w:rPr>
          <w:b w:val="0"/>
          <w:i w:val="0"/>
        </w:rPr>
        <w:t xml:space="preserve"> No. SACV 14-1214 DOC(ANx) (Nov. 4, 2014)</w:t>
      </w:r>
    </w:p>
    <w:p>
      <w:pPr>
        <w:spacing w:after="80"/>
      </w:pPr>
      <w:r>
        <w:rPr>
          <w:b w:val="0"/>
          <w:i w:val="0"/>
        </w:rPr>
        <w:t>CARTER , THẨM PHÁN QUẬN :</w:t>
      </w:r>
    </w:p>
    <w:p>
      <w:pPr>
        <w:spacing w:after="80"/>
      </w:pPr>
      <w:r>
        <w:rPr>
          <w:b w:val="0"/>
          <w:i w:val="0"/>
        </w:rPr>
        <w:t>Vụ án này bắt nguồn từ một cuộc chiến tranh giành quyền kiểm soát công ty đang diễn ra và đã tràn vào các tòa án. Vào tháng 2 năm 2014, công ty dược phẩm có trụ sở tại Canada là Valeant và công ty quản lý quỹ đầu cơ Pershing Square đã bắt tay hợp tác để giúp Valeant theo đuổi việc sáp nhập với công ty dược phẩm có trụ sở tại Irvine là Allergan. Từ tháng 2 đến tháng 4, Pershing Square đã mua 9.7% cổ phiếu của Allergan. Vào tháng 6 năm 2014, Valeant đã công bố công khai một đề nghị chào mua cổ phiếu Allergan sau khi hội đồng quản trị của Allergan đã từ chối một đề xuất sáp nhập không được mời. Valeant và Pershing Square sau đó đã đi thẳng đến các cổ đông của Allergan để thúc giục họ triệu tập một cuộc họp cổ đông bất thường nhằm thay thế các giám đốc hiện tại của Allergan bằng những giám đốc thân thiện hơn với Valeant. Trước sự thúc giục được công khai rộng rãi của Pershing Square và một số cổ đông khác, và sau khi giải quyết vụ kiện tại Delaware, Allergan đã đồng ý tổ chức một cuộc họp cổ đông bất thường vào ngày 18 tháng 12 năm 2014.</w:t>
      </w:r>
    </w:p>
    <w:p>
      <w:pPr>
        <w:spacing w:after="80"/>
      </w:pPr>
      <w:r>
        <w:rPr>
          <w:b w:val="0"/>
          <w:i w:val="0"/>
        </w:rPr>
        <w:t>* * *</w:t>
      </w:r>
    </w:p>
    <w:p>
      <w:pPr>
        <w:spacing w:after="80"/>
      </w:pPr>
      <w:r>
        <w:rPr>
          <w:b w:val="0"/>
          <w:i w:val="0"/>
        </w:rPr>
        <w:t>Mục 14(e) cấm “các hành vi hoặc thực tiễn gian lận, lừa dối hoặc thao túng, liên quan đến bất kỳ chào mua công khai (tender offer) nào.” Theo Quy tắc 14e-3(a), một khi một “người chào mua” (offering person) “đã thực hiện một bước hoặc các bước quan trọng để bắt đầu . . . một chào mua công khai,” thì “bất kỳ người nào khác đang nắm giữ thông tin trọng yếu liên quan đến chào mua công khai đó” mà người đó biết hoặc có lý do để biết là thông tin chưa công bố và mà người đó nhận được trực tiếp hoặc gián tiếp từ người chào mua phải hoặc là không giao dịch, hoặc là công bố thông tin đó cho công chúng trước khi giao dịch. 17 C.F.R. § 240.14e-3(a). Liên quan đến đó, Quy tắc 14e-3(d) quy định rằng một “người chào mua” truyền đạt “thông tin trọng yếu, chưa công bố liên quan đến một chào mua công khai cho bất kỳ người nào khác trong những hoàn cảnh mà có thể dự đoán một cách hợp lý rằng việc truyền đạt như vậy có khả năng dẫn đến vi phạm mục này” là hành vi bất hợp pháp. 17 C.F.R. 240.14e-3(d).</w:t>
      </w:r>
    </w:p>
    <w:p>
      <w:pPr>
        <w:spacing w:after="80"/>
      </w:pPr>
      <w:r>
        <w:rPr>
          <w:b w:val="0"/>
          <w:i w:val="0"/>
        </w:rPr>
        <w:t>Ở đây, không có tranh chấp rằng Pershing Square sở hữu thông tin chưa công bố và đã không công bố thông tin đó cho công chúng trước khi khiến PS Fund 1 [một thực thể do Pershing thành lập để mua cổ phần Allergan] mua cổ phần Allergan trong khoảng thời gian từ ngày 25 tháng 2 đến ngày 21 tháng 4 năm 2014. Các bên chỉ tranh chấp liệu vào thời điểm đó đã có bất kỳ bước quan trọng nào hướng tới một chào mua công khai được thực hiện hay chưa, tức là liệu thông tin chưa công bố mà Pershing Square nắm giữ có liên quan đến một chào mua công khai vào thời điểm đó hay không. Ngay cả khi các bước quan trọng đã được thực hiện, các bên vẫn tranh chấp liệu việc PS Fund 1 mua cổ phần Allergan có bất hợp pháp hay không vì không rõ liệu PS Fund 1 và các Bị đơn Pershing Square khác có phải là “người chào mua” hay không. Tòa án lần lượt xem xét từng lĩnh vực bất đồng.</w:t>
      </w:r>
    </w:p>
    <w:p>
      <w:pPr>
        <w:spacing w:after="80"/>
      </w:pPr>
      <w:r>
        <w:rPr>
          <w:b/>
          <w:i w:val="0"/>
        </w:rPr>
        <w:t>a. Liệu Các Bước Quan Trọng Để Bắt Đầu Một Chào Mua Công Khai Đã Được Thực Hiện Hay Chưa</w:t>
      </w:r>
    </w:p>
    <w:p>
      <w:pPr>
        <w:spacing w:after="80"/>
      </w:pPr>
      <w:r>
        <w:rPr>
          <w:b w:val="0"/>
          <w:i w:val="0"/>
        </w:rPr>
        <w:t>Để yêu cầu “công bố hoặc không giao dịch” của Quy tắc 14e-3 được kích hoạt, phải có “một bước hoặc các bước quan trọng để bắt đầu . . . một chào mua công khai” trước khi PS Fund 1 bắt đầu mua cổ phần Allergan. Để xác định liệu “một bước hoặc các bước quan trọng” hướng tới một chào mua công khai đã được thực hiện hay chưa, tòa án chủ yếu xem xét hành vi khách quan của người chào mua. SEC đã chọn một tiêu chuẩn khách quan để tránh “khó khăn trong việc xác định khi nào một người thực sự đã quyết định thực hiện một chào mua công khai.” Tender Offers, 45 Fed Reg. 60,410, 60,413 n. 33 (ngày 12 tháng 9 năm 1980) (“SEC Adopting Release”). Khi thông qua tiêu chuẩn “một bước hoặc các bước quan trọng”, SEC tuyên bố:</w:t>
      </w:r>
    </w:p>
    <w:p>
      <w:pPr>
        <w:spacing w:after="80"/>
      </w:pPr>
      <w:r>
        <w:rPr>
          <w:b w:val="0"/>
          <w:i w:val="0"/>
        </w:rPr>
        <w:t>[M]ột bước hoặc các bước quan trọng để bắt đầu một chào mua công khai bao gồm, nhưng không giới hạn ở, việc biểu quyết về một nghị quyết của hội đồng quản trị của người chào mua liên quan đến chào mua công khai; việc xây dựng một kế hoạch hoặc đề xuất thực hiện một chào mua công khai bởi người chào mua hoặc (những) người hành động thay mặt cho người chào mua; hoặc các hoạt động tạo điều kiện thuận lợi đáng kể cho chào mua công khai như: thu xếp tài chính cho một chào mua công khai; chuẩn bị hoặc chỉ đạo hoặc ủy quyền chuẩn bị các tài liệu chào mua công khai; hoặc ủy quyền đàm phán, đàm phán hoặc ký kết thỏa thuận với bất kỳ người nào để làm đại lý quản lý, đại lý chào mua, đại lý chuyển tiếp hoặc tổ chức lưu ký liên quan đến chào mua công khai.</w:t>
      </w:r>
    </w:p>
    <w:p>
      <w:pPr>
        <w:spacing w:after="80"/>
      </w:pPr>
      <w:r>
        <w:rPr>
          <w:b w:val="0"/>
          <w:i/>
        </w:rPr>
        <w:t>Id.</w:t>
      </w:r>
    </w:p>
    <w:p>
      <w:pPr>
        <w:spacing w:after="80"/>
      </w:pPr>
      <w:r>
        <w:rPr>
          <w:b w:val="0"/>
          <w:i w:val="0"/>
        </w:rPr>
        <w:t xml:space="preserve">Các tòa án đã giải thích danh sách này chỉ là một danh sách các ví dụ và đã phát hiện rằng các hành động khác cũng đủ để cấu thành các bước quan trọng. . . . Các tòa án trong </w:t>
      </w:r>
      <w:r>
        <w:rPr>
          <w:b w:val="0"/>
          <w:i/>
        </w:rPr>
        <w:t>Ginsburg</w:t>
      </w:r>
      <w:r>
        <w:rPr>
          <w:b w:val="0"/>
          <w:i w:val="0"/>
        </w:rPr>
        <w:t xml:space="preserve"> và </w:t>
      </w:r>
      <w:r>
        <w:rPr>
          <w:b w:val="0"/>
          <w:i/>
        </w:rPr>
        <w:t>Mayhew</w:t>
      </w:r>
      <w:r>
        <w:rPr>
          <w:b w:val="0"/>
          <w:i w:val="0"/>
        </w:rPr>
        <w:t xml:space="preserve"> đều phát hiện rằng các bước quan trọng hướng tới một chào mua công khai đã diễn ra ngay cả khi bên chào mua vẫn chưa chốt chào mua công khai như là hình thức của việc sáp nhập. . . .</w:t>
      </w:r>
    </w:p>
    <w:p>
      <w:pPr>
        <w:spacing w:after="80"/>
      </w:pPr>
      <w:r>
        <w:rPr>
          <w:b w:val="0"/>
          <w:i w:val="0"/>
        </w:rPr>
        <w:t>Ở đây, Tòa án phải xác định liệu một bước quan trọng hướng tới một chào mua công khai đã được thực hiện trước các giao dịch mua cổ phiếu Allergan của PS Fund 1 trong khoảng thời gian từ ngày 25 tháng 2 đến ngày 21 tháng 4 năm 2014 hay chưa. Trước ngày 25 tháng 2, hội đồng quản trị của Valeant đã họp nhiều lần và thảo luận về một khả năng kết hợp với Allergan. Các tài liệu cuộc họp hội đồng quản trị phản ánh rằng Valeant biết có khả năng cao rằng một thương vụ với Allergan sẽ liên quan đến một “[h]ostile cash and stock merger” (sáp nhập thù địch bằng tiền mặt và cổ phiếu). Valeant đã thuê ba công ty luật và liên hệ với các ngân hàng để bắt đầu thực hiện thẩm định (due diligence) và thu xếp tài chính cho thương vụ Allergan tiềm năng. Đại diện của Valeant đã gặp ông Ackman và những người khác từ Pershing Square, những người nổi tiếng với kinh nghiệm xử lý các đề nghị mua không được mời, và đã ký một thỏa thuận bảo mật với Pershing Square để Valeant tiết lộ tên mục tiêu được đề xuất của mình cho Pershing Square.</w:t>
      </w:r>
    </w:p>
    <w:p>
      <w:pPr>
        <w:spacing w:after="80"/>
      </w:pPr>
      <w:r>
        <w:rPr>
          <w:b w:val="0"/>
          <w:i w:val="0"/>
        </w:rPr>
        <w:t xml:space="preserve">Valeant và Pershing Square cũng đã đàm phán và cuối cùng đồng ý về một kế hoạch theo đó Pershing Square sẽ mua cổ phần Allergan, sẽ cam kết bỏ phiếu ủng hộ bất kỳ đề nghị mua cổ phần Allergan nào của Valeant, và sẽ chấp nhận cổ phiếu thay vì tiền mặt nếu thương vụ Allergan-Valeant được hoàn tất theo cách cho phép các cổ đông Allergan có quyền lựa chọn cổ phiếu hoặc tiền mặt. Thỏa thuận Quan hệ ngày 25 tháng 2 § 2(b). Thỏa thuận Quan hệ ngày 25 tháng 2 quy định cụ thể rằng Valeant và Pershing Square sẽ thành lập một “Co-Bidder Entity” (Thực thể Đồng Chào Mua) và sẽ được nêu tên là “co-bidders” (đồng chào mua) nếu một chào mua công khai được khởi động cho cổ phần của Allergan. </w:t>
      </w:r>
      <w:r>
        <w:rPr>
          <w:b w:val="0"/>
          <w:i/>
        </w:rPr>
        <w:t>Id.</w:t>
      </w:r>
      <w:r>
        <w:rPr>
          <w:b w:val="0"/>
          <w:i w:val="0"/>
        </w:rPr>
        <w:t xml:space="preserve"> § 1(a), 1(d). Các email nội bộ cho thấy rằng luật sư của họ lo ngại về việc các cơ quan quản lý bị xúc phạm bởi một người không phải là đồng chào mua lại đi mua một lượng cổ phần nhỏ (toehold). Smith Decl. Ex. 83.</w:t>
      </w:r>
    </w:p>
    <w:p>
      <w:pPr>
        <w:spacing w:after="80"/>
      </w:pPr>
      <w:r>
        <w:rPr>
          <w:b w:val="0"/>
          <w:i w:val="0"/>
        </w:rPr>
        <w:t>Các Bị đơn lập luận rằng, trước tháng 5, họ đã thực hiện các bước quan trọng hướng tới một thương vụ sáp nhập được đàm phán với Allergan, bao gồm một chiến lược sử dụng các cổ đông của Allergan để gây áp lực buộc hội đồng quản trị Allergan đàm phán, nhưng đã không thực hiện bước nào hướng tới một chào mua công khai đối với các cổ đông của Allergan. Họ lập luận rằng họ chỉ thực hiện các bước quan trọng hướng tới một chào mua công khai sau hội nghị Sanford Bernstein vào ngày 29 tháng 5 năm 2014, nơi các cổ đông Allergan thúc giục Valeant và Pershing Square thực hiện một chào mua công khai. Các Bị đơn chỉ ra các điều khoản trong Thỏa thuận Quan hệ ngày 25 tháng 2 của Valeant và Pershing Square, trong đó cả hai bên thừa nhận rằng chưa có bước nào được thực hiện hướng tới một chào mua công khai và yêu cầu cả hai bên phải đồng ý trước khi khởi động một chào mua công khai. Họ cũng chỉ ra một nghị quyết của hội đồng quản trị Valeant vào ngày 7 tháng 4 năm 2014 quy định rằng “các Cán bộ Được ủy quyền không được ủy quyền [để] bắt đầu một chào mua công khai hoặc một hoạt động vận động ủy quyền (proxy solicitation) mà không có sự chấp thuận của Hội đồng quản trị,” cũng như thực tế rằng họ đã không thu xếp tài chính cho một chào mua công khai hoặc thuê một đại lý trao đổi hoặc đại lý quản lý cho đến cuối tháng 5 và đầu tháng 6. Opp'n at 25–27.</w:t>
      </w:r>
    </w:p>
    <w:p>
      <w:pPr>
        <w:spacing w:after="80"/>
      </w:pPr>
      <w:r>
        <w:rPr>
          <w:b w:val="0"/>
          <w:i w:val="0"/>
        </w:rPr>
        <w:t>Việc các Bị đơn tuyên bố trong một hợp đồng rằng họ đã không thực hiện bất kỳ bước nào hướng tới một chào mua công khai không nhất thiết biến điều đó thành sự thật. Bằng chứng rằng các Bị đơn đã thực hiện các bước rõ ràng hơn hướng tới một chào mua công khai vào tháng 5 không nhất thiết có nghĩa là một “bước quan trọng” đã không xảy ra vào tháng 2. Các Bị đơn đã không giải thích thỏa đáng tại sao Thỏa thuận Quan hệ ngày 25 tháng 2 lại sử dụng thuật ngữ “Co-Bidder Entity” và yêu cầu Pershing Square và Valeant tự nhận mình là “co-bidders” trong trường hợp Valeant khởi động một chào mua công khai nếu vào thời điểm đó không có kế hoạch cho một chào mua công khai, hoặc ít nhất là không có khả năng cao vào thời điểm đó rằng các hành động của họ sẽ dẫn tới và tạo điều kiện thuận lợi cho một chào mua công khai. Với việc khám phá thêm và khi trình bày bằng chứng cho bồi thẩm đoàn, một bồi thẩm đoàn có thể phán quyết có lợi cho các Bị đơn về vấn đề các bước quan trọng. Tuy nhiên, dựa trên hồ sơ này, Tòa án kết luận rằng Nguyên đơn ít nhất đã nêu ra những câu hỏi nghiêm túc về việc liệu các bước quan trọng để bắt đầu một chào mua công khai đã được thực hiện trước khi PS Fund 1 bắt đầu mua cổ phần Allergan hay chưa.</w:t>
      </w:r>
    </w:p>
    <w:p>
      <w:pPr>
        <w:spacing w:after="80"/>
      </w:pPr>
      <w:r>
        <w:rPr>
          <w:b/>
          <w:i w:val="0"/>
        </w:rPr>
        <w:t>b. Liệu Quy tắc 14e-3 Có Chứa Một Ngoại lệ “Người Đồng Chào Mua” Hay Không</w:t>
      </w:r>
    </w:p>
    <w:p>
      <w:pPr>
        <w:spacing w:after="80"/>
      </w:pPr>
      <w:r>
        <w:rPr>
          <w:b w:val="0"/>
          <w:i w:val="0"/>
        </w:rPr>
        <w:t>Ngay cả khi Pershing Square mua cổ phần Allergan dựa trên thông tin mật về một chào mua công khai sắp tới, các Bị đơn lập luận rằng hành vi của họ không bất hợp pháp. Có hai lý thuyết tiềm năng theo đó Pershing Square sẽ được phép giao dịch dựa trên thông tin mật mà nó nhận được từ Valeant: (1) nếu Pershing Square là “broker” (môi giới) hoặc “agent” (đại lý) của Valeant theo nghĩa của Quy tắc 14e-3(c)(1) hoặc thuộc ngoại lệ theo Quy tắc 14e-3(b), hoặc (2) nếu Pershing Square và Valeant cùng nhau là một “người chào mua” và có thể có hai người cùng làm việc với nhau như một “người chào mua” theo nghĩa của Quy tắc 14e-3. Vì các Bị đơn không lập luận rằng Pershing Square thuộc Quy tắc 14e-3(b) hoặc (c), Tòa án xem xét lý thuyết thứ hai, lý thuyết “người đồng chào mua”. Nguyên đơn lập luận dựa trên văn bản và lịch sử lập pháp và quy định của Quy tắc 14e-3 rằng một “người chào mua” không thể là nhiều hơn một người. Mot. at 17–23. Tuy nhiên, Tòa án kết luận từ việc xem xét văn bản luật và quy định liên quan rằng thuật ngữ “người chào mua” có thể bao gồm nhiều người.</w:t>
      </w:r>
    </w:p>
    <w:p>
      <w:pPr>
        <w:spacing w:after="80"/>
      </w:pPr>
      <w:r>
        <w:rPr>
          <w:b w:val="0"/>
          <w:i w:val="0"/>
        </w:rPr>
        <w:t>* * *</w:t>
      </w:r>
    </w:p>
    <w:p>
      <w:pPr>
        <w:spacing w:after="80"/>
      </w:pPr>
      <w:r>
        <w:rPr>
          <w:b/>
          <w:i w:val="0"/>
        </w:rPr>
        <w:t>c. Ai là Người Đồng Chào Mua</w:t>
      </w:r>
    </w:p>
    <w:p>
      <w:pPr>
        <w:spacing w:after="80"/>
      </w:pPr>
      <w:r>
        <w:rPr>
          <w:b w:val="0"/>
          <w:i w:val="0"/>
        </w:rPr>
        <w:t>Kết luận của Tòa án rằng Quy tắc 14e-3 cho phép nhiều người cùng hành động như một “người chào mua” không kết thúc phân tích. Nếu một ngoại lệ người đồng chào mua không nuốt chửng quy tắc chung rằng một người chào mua không thể tiết lộ thông tin cho người khác và những người khác sau đó không thể giao dịch dựa trên thông tin mật được tiết lộ đó, thì phải có những đặc điểm nhất định phân biệt một người đồng chào mua với “bất kỳ người nào khác” cho các mục đích của Quy tắc 14e-3. Các bên đã không viện dẫn và Tòa án cũng không thể tìm thấy bất kỳ cơ sở pháp lý nào trực tiếp giải quyết cách phân biệt giữa một người đồng chào mua và “bất kỳ người nào khác” cho các mục đích của Quy tắc 14e-3. Cả Quốc hội lẫn SEC đều không đưa ra hướng dẫn trực tiếp về điểm này.</w:t>
      </w:r>
    </w:p>
    <w:p>
      <w:pPr>
        <w:spacing w:after="80"/>
      </w:pPr>
      <w:r>
        <w:rPr>
          <w:b w:val="0"/>
          <w:i w:val="0"/>
        </w:rPr>
        <w:t>Bị đơn thúc giục Tòa án đánh đồng “người chào bán” (offering person) với “người đấu giá” (bidder) và “người chào mua” (offeror) như SEC đã định nghĩa cho mục đích công bố thông tin, tức là “bất kỳ người nào thực hiện chào mua công khai hoặc người mà chào mua công khai được thực hiện thay mặt.” SEC Regulation M-A; 17 C.F.R. § 229.1000(d); Rule 14d1 (g)(2); 17 C.F.R. 240.14d1 (g)(2). Khi SEC phân tích tư cách “người đấu giá” cho mục đích của Regulation 14D, nhân viên xem xét các yếu tố như:</w:t>
      </w:r>
    </w:p>
    <w:p>
      <w:pPr>
        <w:spacing w:after="80"/>
      </w:pPr>
      <w:r>
        <w:rPr>
          <w:b w:val="0"/>
          <w:i w:val="0"/>
        </w:rPr>
        <w:t>Người đó có đóng vai trò quan trọng trong việc khởi xướng, cấu trúc và đàm phán chào mua công khai không?</w:t>
      </w:r>
    </w:p>
    <w:p>
      <w:pPr>
        <w:spacing w:after="80"/>
        <w:ind w:left="360"/>
      </w:pPr>
      <w:r>
        <w:t xml:space="preserve">• </w:t>
      </w:r>
      <w:r>
        <w:rPr>
          <w:b w:val="0"/>
          <w:i w:val="0"/>
        </w:rPr>
        <w:t>Người đó có hành động cùng với người đấu giá được nêu tên không?</w:t>
      </w:r>
    </w:p>
    <w:p>
      <w:pPr>
        <w:spacing w:after="80"/>
        <w:ind w:left="360"/>
      </w:pPr>
      <w:r>
        <w:t xml:space="preserve">• </w:t>
      </w:r>
      <w:r>
        <w:rPr>
          <w:b w:val="0"/>
          <w:i w:val="0"/>
        </w:rPr>
        <w:t>Người đó đã hoặc đang kiểm soát các điều khoản của chào bán ở mức độ nào?</w:t>
      </w:r>
    </w:p>
    <w:p>
      <w:pPr>
        <w:spacing w:after="80"/>
        <w:ind w:left="360"/>
      </w:pPr>
      <w:r>
        <w:t xml:space="preserve">• </w:t>
      </w:r>
      <w:r>
        <w:rPr>
          <w:b w:val="0"/>
          <w:i w:val="0"/>
        </w:rPr>
        <w:t>Người đó có đang cung cấp tài chính cho chào mua công khai, hoặc đóng vai trò chính trong việc huy động tài chính không?</w:t>
      </w:r>
    </w:p>
    <w:p>
      <w:pPr>
        <w:spacing w:after="80"/>
        <w:ind w:left="360"/>
      </w:pPr>
      <w:r>
        <w:t xml:space="preserve">• </w:t>
      </w:r>
      <w:r>
        <w:rPr>
          <w:b w:val="0"/>
          <w:i w:val="0"/>
        </w:rPr>
        <w:t>Người đó có kiểm soát người đấu giá được nêu tên, trực tiếp hoặc gián tiếp, không?</w:t>
      </w:r>
    </w:p>
    <w:p>
      <w:pPr>
        <w:spacing w:after="80"/>
        <w:ind w:left="360"/>
      </w:pPr>
      <w:r>
        <w:t xml:space="preserve">• </w:t>
      </w:r>
      <w:r>
        <w:rPr>
          <w:b w:val="0"/>
          <w:i w:val="0"/>
        </w:rPr>
        <w:t>Người đó có thành lập người đấu giá danh nghĩa, hoặc khiến nó được thành lập không?, và</w:t>
      </w:r>
    </w:p>
    <w:p>
      <w:pPr>
        <w:spacing w:after="80"/>
        <w:ind w:left="360"/>
      </w:pPr>
      <w:r>
        <w:t xml:space="preserve">• </w:t>
      </w:r>
      <w:r>
        <w:rPr>
          <w:b w:val="0"/>
          <w:i w:val="0"/>
        </w:rPr>
        <w:t>Người đó có sở hữu hưởng lợi các chứng khoán được người đấu giá được nêu tên mua trong chào mua công khai hoặc tài sản của công ty mục tiêu không?</w:t>
      </w:r>
    </w:p>
    <w:p>
      <w:pPr>
        <w:spacing w:after="80"/>
      </w:pPr>
      <w:r>
        <w:rPr>
          <w:b w:val="0"/>
          <w:i w:val="0"/>
        </w:rPr>
        <w:t>Một hoặc hai yếu tố trong số này có thể quyết định việc xác định, tùy thuộc vào hoàn cảnh. Những yếu tố này không phải là duy nhất.</w:t>
      </w:r>
    </w:p>
    <w:p>
      <w:pPr>
        <w:spacing w:after="80"/>
      </w:pPr>
      <w:r>
        <w:rPr>
          <w:b w:val="0"/>
          <w:i w:val="0"/>
        </w:rPr>
        <w:t>Chúng tôi cũng xem xét liệu việc thêm người đó làm người đấu giá được nêu tên có nghĩa là cổ đông sẽ nhận được thông tin trọng yếu mà nếu không thì không được yêu cầu theo hướng dẫn về người kiểm soát hay không. . . .</w:t>
      </w:r>
    </w:p>
    <w:p>
      <w:pPr>
        <w:spacing w:after="80"/>
      </w:pPr>
      <w:r>
        <w:rPr>
          <w:b w:val="0"/>
          <w:i w:val="0"/>
        </w:rPr>
        <w:t>Ngoài ra, chúng tôi sẽ xem xét mức độ mà bên kia đã hành động với người đấu giá được nêu tên, và mức độ mà bên kia được hưởng lợi từ giao dịch.</w:t>
      </w:r>
    </w:p>
    <w:p>
      <w:pPr>
        <w:spacing w:after="80"/>
      </w:pPr>
      <w:r>
        <w:rPr>
          <w:b w:val="0"/>
          <w:i w:val="0"/>
        </w:rPr>
        <w:t>Trích từ Current Issues and Rulemaking Projects Outline (Nov. 14, 2000), § II.D.2. Mergers &amp; Acquisitions—Identifying the Bidder in a Tender Offer, http://www.sec.gov/divisions/corpfin/guidance/ci111400ex_tor.htm .</w:t>
      </w:r>
    </w:p>
    <w:p>
      <w:pPr>
        <w:spacing w:after="80"/>
      </w:pPr>
      <w:r>
        <w:rPr>
          <w:b w:val="0"/>
          <w:i w:val="0"/>
        </w:rPr>
        <w:t xml:space="preserve">Việc điều tra dựa trên sự kiện cụ thể, theo từng trường hợp này cũng được các tòa án sử dụng. Dựa trên việc Tòa án xem xét án lệ thưa thớt, nếu có bất kỳ nguyên tắc rõ ràng nào từ án lệ, thì đó là các chủ ngân hàng không làm gì hơn ngoài việc cung cấp tiền cho người chào mua công khai để thực hiện chào mua công khai để đổi lấy một khoản phí hoặc để đổi lấy quyền lợi bảo đảm đối với cổ phiếu của công ty sau giao dịch thì không phải là đồng đấu giá. </w:t>
      </w:r>
      <w:r>
        <w:rPr>
          <w:b w:val="0"/>
          <w:i/>
        </w:rPr>
        <w:t>Van Dusen Air, Inc. v. APL Ltd. Partnership,</w:t>
      </w:r>
      <w:r>
        <w:rPr>
          <w:b w:val="0"/>
          <w:i w:val="0"/>
        </w:rPr>
        <w:t xml:space="preserve"> 1985 WL 56596, at *1–3 (D.Minn.1985); </w:t>
      </w:r>
      <w:r>
        <w:rPr>
          <w:b w:val="0"/>
          <w:i/>
        </w:rPr>
        <w:t>Revlon, Inc. v. Pantry Pride, Inc.,</w:t>
      </w:r>
      <w:r>
        <w:rPr>
          <w:b w:val="0"/>
          <w:i w:val="0"/>
        </w:rPr>
        <w:t xml:space="preserve"> 621 F.Supp. 804, 816–17 (D.Del.1985). Ngoài điều đó, “không có phép thử rõ ràng, cứng nhắc” để phân biệt đồng đấu giá với “phần còn lại của nhân loại.” </w:t>
      </w:r>
      <w:r>
        <w:rPr>
          <w:b w:val="0"/>
          <w:i/>
        </w:rPr>
        <w:t>MAI Basic Four, Inc. v. Prime Computer, Inc.,</w:t>
      </w:r>
      <w:r>
        <w:rPr>
          <w:b w:val="0"/>
          <w:i w:val="0"/>
        </w:rPr>
        <w:t xml:space="preserve"> 871 F.2d 212, 221 (1st Cir.1989); </w:t>
      </w:r>
      <w:r>
        <w:rPr>
          <w:b w:val="0"/>
          <w:i/>
        </w:rPr>
        <w:t>Koppers Co., Inc. v. American Exp. Co.,</w:t>
      </w:r>
      <w:r>
        <w:rPr>
          <w:b w:val="0"/>
          <w:i w:val="0"/>
        </w:rPr>
        <w:t xml:space="preserve"> 689 F.Supp. 1371, 1387 (W.D.Pa.1988). Các tòa án đã xem xét nhiều yếu tố khác nhau để xác định liệu người bị cáo buộc là người đấu giá có phải là “người tham gia chính” “trung tâm của chào bán” hay không, </w:t>
      </w:r>
      <w:r>
        <w:rPr>
          <w:b w:val="0"/>
          <w:i/>
        </w:rPr>
        <w:t>Koppers,</w:t>
      </w:r>
      <w:r>
        <w:rPr>
          <w:b w:val="0"/>
          <w:i w:val="0"/>
        </w:rPr>
        <w:t xml:space="preserve"> 689 F.Supp. at 1388, bao gồm vai trò của người đấu giá bị cáo buộc trong việc lập kế hoạch và tài trợ cho chào mua công khai và mức độ lợi ích cũng như mối quan hệ của họ với các thực thể đồng đấu giá. Bị đơn dựa nhiều vào cụm từ “người tham gia chính” để phân biệt vai trò của Pershing Square với vai trò của một chủ ngân hàng đơn thuần và để đưa Pershing Square vào “vùng an toàn” của “đồng đấu giá” bất chấp thực tế rằng Pershing Square dường như không có mối quan hệ dày đặc với Valeant hay lợi ích sâu sắc trong thực thể còn tồn tại như các đồng đấu giá trong </w:t>
      </w:r>
      <w:r>
        <w:rPr>
          <w:b w:val="0"/>
          <w:i/>
        </w:rPr>
        <w:t>MAI Basic Four</w:t>
      </w:r>
      <w:r>
        <w:rPr>
          <w:b w:val="0"/>
          <w:i w:val="0"/>
        </w:rPr>
        <w:t xml:space="preserve"> và </w:t>
      </w:r>
      <w:r>
        <w:rPr>
          <w:b w:val="0"/>
          <w:i/>
        </w:rPr>
        <w:t>Koppers.</w:t>
      </w:r>
    </w:p>
    <w:p>
      <w:pPr>
        <w:spacing w:after="80"/>
      </w:pPr>
      <w:r>
        <w:rPr>
          <w:b w:val="0"/>
          <w:i w:val="0"/>
        </w:rPr>
        <w:t>Nguyên đơn lập luận rằng “người chào bán” không thể được định nghĩa giống hệt như “người đấu giá” hoặc “người chào mua” bởi vì việc thực hiện mục đích của Williams Act—để đảm bảo rằng nhà đầu tư có quyền truy cập vào thông tin trọng yếu họ cần để quyết định cách họ sẽ phản hồi một chào mua công khai—đòi hỏi định nghĩa “người đấu giá” một cách rộng rãi để đảm bảo công bố thông tin rộng rãi theo Mục 13(d) và 14(d) trong khi định nghĩa “người chào bán” một cách hẹp để hạn chế số lượng người được phép giao dịch dựa trên thông tin nội bộ về chào mua công khai. Tòa án thấy lập luận của Nguyên đơn thuyết phục bởi vì, khi ban hành Rule 14e-3, SEC lo ngại về thực tiễn “tích trữ” (warehousing) (thực tiễn người chào mua công khai cố ý rò rỉ thông tin cho các nhà đầu tư tổ chức để cho phép các thực thể khác thực hiện giao dịch sớm trước khi các nhà đầu tư khác nghe về chào mua công khai) bởi vì thực tiễn như vậy là không công bằng đối với các nhà đầu tư đang giao dịch trong tình thế bất lợi về thông tin . . .</w:t>
      </w:r>
    </w:p>
    <w:p>
      <w:pPr>
        <w:spacing w:after="80"/>
      </w:pPr>
      <w:r>
        <w:rPr>
          <w:b w:val="0"/>
          <w:i w:val="0"/>
        </w:rPr>
        <w:t>Mặc dù Nguyên đơn không trình bày rõ ràng như vậy, Tòa án cũng thấy phép thử được đề xuất của họ để phân biệt “người chào bán” với “người đấu giá” hoặc “người chào mua” là thuyết phục. Nguyên đơn lập luận rằng người chào bán nên nhiều hơn một nhà tài chính, và thực sự nên đưa ra chào bán để mua cổ phiếu và nên có một mức độ kiểm soát nào đó đối với các điều khoản của chào mua công khai và đối với thực thể còn tồn tại. Những yếu tố này nằm trong số các yếu tố được SEC sử dụng để xác định liệu ai đó có phải là “người đấu giá” hoặc “người chào mua” cho mục đích công bố thông tin hay không. Do đó, về bản chất, Nguyên đơn sẽ sử dụng cùng phép thử như phép thử được Bị đơn đề xuất. Sự khác biệt duy nhất là, tương tự như cách SEC xem xét liệu việc thêm một người làm người đấu giá được nêu tên cho mục đích của Regulation 14D có dẫn đến việc công bố nhiều thông tin trọng yếu hơn cho cổ đông hay không, khi xác định liệu ai đó có phải là “người chào bán” hay không, Nguyên đơn sẽ thêm việc xem xét liệu việc gán nhãn người đó là “người chào bán” có nhất quán với mục đích của Rule 14e-3 là giới hạn phạm vi những người được phép giao dịch dựa trên thông tin nội bộ chỉ cho người thực hiện chào mua công khai hay không. Điều này có thể liên quan đến việc nhấn mạnh các yếu tố kiểm soát, như kiểm soát các điều khoản của chào bán, kiểm soát thực thể còn tồn tại, và kiểm soát cũng như đồng nhất với người đấu giá được nêu tên.</w:t>
      </w:r>
    </w:p>
    <w:p>
      <w:pPr>
        <w:spacing w:after="80"/>
      </w:pPr>
      <w:r>
        <w:rPr>
          <w:b w:val="0"/>
          <w:i w:val="0"/>
        </w:rPr>
        <w:t>Khi áp dụng phép thử này, Tòa án ý thức rằng SEC có thể một ngày nào đó sẽ đưa ra một giải thích làm rõ hoặc thậm chí ban hành một quy tắc sửa đổi áp đặt một phép thử khác. Tuy nhiên, trong trường hợp không có hành động của SEC và Quốc hội, Tòa án phải cố gắng hết sức để giải thích các luật và quy định hiện hành và áp dụng chúng cho các vụ án trước Tòa án theo cách trung thành với văn bản và mục đích của chúng. Với những cân nhắc này trong đầu, Tòa án phải xác định liệu Pershing Square có phải là đồng người chào bán theo nghĩa của Rule 14e-3 hay không.</w:t>
      </w:r>
    </w:p>
    <w:p>
      <w:pPr>
        <w:spacing w:after="80"/>
      </w:pPr>
      <w:r>
        <w:rPr>
          <w:b/>
          <w:i w:val="0"/>
        </w:rPr>
        <w:t>d. Liệu Pershing Square Có Phải Là Người Chào Mua Đồng Thời</w:t>
      </w:r>
    </w:p>
    <w:p>
      <w:pPr>
        <w:spacing w:after="80"/>
      </w:pPr>
      <w:r>
        <w:rPr>
          <w:b w:val="0"/>
          <w:i w:val="0"/>
        </w:rPr>
        <w:t>Khi soạn thảo Thỏa thuận Quan hệ ngày 25 tháng 2, các Bị đơn dường như đang cố gắng đưa mối quan hệ của họ vào cái mà họ hy vọng sẽ được công nhận là ngoại lệ "người chào mua đồng thời" (co-offering person) hay "người đấu giá đồng thời" (co-bidder) đối với Quy tắc 14e-3. Cả SEC lẫn Quốc hội đều chưa đưa ra hướng dẫn rõ ràng trong lĩnh vực này. Dựa trên các căn cứ pháp lý hiện có và hồ sơ thực tế hiện đang được đưa ra trước Tòa, Tòa kết luận rằng, trong vụ án này, các Nguyên đơn đã nêu ra những câu hỏi nghiêm trọng về việc liệu Pershing Square có phải là người chào mua đồng thời hay không.</w:t>
      </w:r>
    </w:p>
    <w:p>
      <w:pPr>
        <w:spacing w:after="80"/>
      </w:pPr>
      <w:r>
        <w:rPr>
          <w:b w:val="0"/>
          <w:i w:val="0"/>
        </w:rPr>
        <w:t xml:space="preserve">Để đi đến kết luận này, Tòa xem xét các yếu tố sau. Thứ nhất, Tòa công nhận rằng Pershing Square thực sự đã đóng vai trò tích cực ngay từ đầu trong việc giúp Valeant xây dựng chiến lược thâu tóm của mình. Có khả năng là chào mua công khai (tender offer) không thể được khởi động nếu không có sự hỗ trợ của Pershing Square trong việc hoạch định chiến lược đấu giá, tài trợ cho nó bằng cách mua một phần vốn ban đầu (toehold) thông qua PS Fund 1, đồng ý chấp nhận cổ phiếu Valeant nếu thương vụ Allergan-Valeant bao gồm một đề nghị trả bằng tiền mặt và cổ phiếu cho các cổ đông của Allergan, và đồng ý mua 400 triệu đô la cổ phiếu Valeant theo yêu cầu của Valeant. Tòa cũng công nhận rằng, về mặt kỹ thuật, PS Fund 1 là sản phẩm của cả Valeant và Pershing Square vào thời điểm nó vượt qua ngưỡng 5% và kích hoạt nghĩa vụ công bố theo Schedule 13D, bởi vì, theo Thỏa thuận Quan hệ ngày 25 tháng 2, Valeant đã được thêm vào làm thành viên của LLC và đóng góp một khoản nhỏ 75,9 triệu đô la ngay trước thời điểm đó. (Trước thời điểm đó, các thành viên và nhà tài trợ duy nhất của PS Fund 1 là các thực thể thuộc Pershing Square.) Ngoài ra, Pershing Square đã được liệt kê là "người chào mua" (offeror) trên Schedule TO theo yêu cầu của SEC, Defs.' App'x Ex. 37 at 1, và do đó có thể phải chịu trách nhiệm liên đới và riêng rẽ nếu Valeant không thanh toán khoản đối giá được đề nghị cho các cổ đông của Allergan. </w:t>
      </w:r>
      <w:r>
        <w:rPr>
          <w:b w:val="0"/>
          <w:i/>
        </w:rPr>
        <w:t>Xem</w:t>
      </w:r>
      <w:r>
        <w:rPr>
          <w:b w:val="0"/>
          <w:i w:val="0"/>
        </w:rPr>
        <w:t xml:space="preserve"> Quy tắc 14e-1(c); 17 C.F.R. § 240.14e1 (c).</w:t>
      </w:r>
    </w:p>
    <w:p>
      <w:pPr>
        <w:spacing w:after="80"/>
      </w:pPr>
      <w:r>
        <w:rPr>
          <w:b w:val="0"/>
          <w:i w:val="0"/>
        </w:rPr>
        <w:t>Tuy nhiên, mặc dù Pershing Square đã hoạt động như một nhà chiến lược và nhà tài trợ cho Valeant và thậm chí tự liệt kê mình là "người chào mua", Tòa vẫn nghi ngờ rằng Quốc hội và SEC có ý định để những yếu tố này đủ để miễn trừ một thực thể như Pershing Square khỏi quy tắc "công bố hoặc kiềm chế" (disclose or abstain) của Quy tắc 14e-3. Mặc dù Thỏa thuận Quan hệ ngày 25 tháng 2 yêu cầu Pershing Square phải đồng ý trước khi một chào mua công khai có thể được chính thức khởi động, Pershing Square không có quyền kiểm soát mức giá được đề nghị cho các cổ đông của Allergan, liệu chào mua công khai sẽ liên quan đến tiền mặt và/hoặc trao đổi cổ phiếu, hay thậm chí liệu có nên hủy bỏ chào mua công khai vào một thời điểm nào đó hay không. Pershing Square đang giúp tài trợ cho chào mua công khai; tuy nhiên, không có bằng chứng cho thấy nó sẽ thực sự mua bất kỳ cổ phiếu Allergan nào thông qua chào mua công khai. Trên thực tế, Bản đăng ký Form S-4 của các Bị đơn nêu điều ngược lại:</w:t>
      </w:r>
    </w:p>
    <w:p>
      <w:pPr>
        <w:spacing w:after="80"/>
      </w:pPr>
      <w:r>
        <w:rPr>
          <w:b w:val="0"/>
          <w:i w:val="0"/>
        </w:rPr>
        <w:t>Hỏi: AI ĐANG ĐỀ NGHỊ THÂU TÓM CỔ PHIẾU CỔ PHẦN PHỔ THÔNG ALLERGAN CỦA TÔI?</w:t>
      </w:r>
    </w:p>
    <w:p>
      <w:pPr>
        <w:spacing w:after="80"/>
      </w:pPr>
      <w:r>
        <w:rPr>
          <w:b w:val="0"/>
          <w:i w:val="0"/>
        </w:rPr>
        <w:t>Đáp: Đề nghị này được đưa ra bởi Valeant thông qua [AGMS], một công ty con thuộc sở hữu hoàn toàn của Valeant. . . .</w:t>
      </w:r>
    </w:p>
    <w:p>
      <w:pPr>
        <w:spacing w:after="80"/>
      </w:pPr>
      <w:r>
        <w:rPr>
          <w:b w:val="0"/>
          <w:i w:val="0"/>
        </w:rPr>
        <w:t>Hỏi: VIỆC PERSHING SQUARE VÀ PS FUND 1, MỘT CHI NHÁNH CỦA PERSHING SQUARE, LÀ NHỮNG NGƯỜI ĐẤU GIÁ ĐỒNG THỜI CÓ NGHĨA LÀ GÌ?</w:t>
      </w:r>
    </w:p>
    <w:p>
      <w:pPr>
        <w:spacing w:after="80"/>
      </w:pPr>
      <w:r>
        <w:rPr>
          <w:b w:val="0"/>
          <w:i w:val="0"/>
        </w:rPr>
        <w:t>Đáp: . . . . [K]hông ai trong số Pershing Square, PS Fund 1 hay bất kỳ chi nhánh nào của Pershing Square đang đề nghị thâu tóm bất kỳ cổ phiếu cổ phần phổ thông Allergan nào trong đề nghị này. . . .</w:t>
      </w:r>
    </w:p>
    <w:p>
      <w:pPr>
        <w:spacing w:after="80"/>
      </w:pPr>
      <w:r>
        <w:rPr>
          <w:b w:val="0"/>
          <w:i w:val="0"/>
        </w:rPr>
        <w:t xml:space="preserve">Ngoài ra, không có bằng chứng cho thấy Pershing Square có bất kỳ lợi ích hay sự tham gia nào với AGMS, Inc., công ty con thuộc sở hữu hoàn toàn của Valeant được liệt kê là "Người Mua" (Purchaser) trên Schedule TO. Cũng không có yêu cầu nào buộc Pershing Square phải tham gia vào thực thể tồn tại sau thương vụ ngoài yêu cầu rằng Pershing Square phải nắm giữ một phần vốn chủ sở hữu trong thực thể tồn tại sau thương vụ ít nhất một năm. </w:t>
      </w:r>
      <w:r>
        <w:rPr>
          <w:b w:val="0"/>
          <w:i/>
        </w:rPr>
        <w:t>Xem supra</w:t>
      </w:r>
      <w:r>
        <w:rPr>
          <w:b w:val="0"/>
          <w:i w:val="0"/>
        </w:rPr>
        <w:t xml:space="preserve"> chú thích 8; Thỏa thuận Quan hệ ngày 25 tháng 2 § 2(c). Xét việc các Bị đơn đã cẩn thận giải thích trong tài liệu chào mua công khai của mình rằng Pershing Square và PS Fund 1 chỉ là "những người đấu giá đồng thời" "vì mục đích của SEC", Defs. App'x Ex. 44, có vẻ như ngay cả các Bị đơn cũng không thực sự coi Pershing Square và PS Fund 1 là những người thực sự đưa ra đề nghị thanh toán khoản đối giá cho các cổ đông Allergan để đổi lấy cổ phiếu của họ.</w:t>
      </w:r>
    </w:p>
    <w:p>
      <w:pPr>
        <w:spacing w:after="80"/>
      </w:pPr>
      <w:r>
        <w:rPr>
          <w:b w:val="0"/>
          <w:i w:val="0"/>
        </w:rPr>
        <w:t>Dựa trên những cân nhắc này, Tòa nhận thấy rằng các Nguyên đơn, ở mức tối thiểu, đã nêu ra những câu hỏi nghiêm trọng về việc liệu Pershing Square có phải là "người chào mua" hay "người chào mua đồng thời" được miễn trừ khỏi quy tắc "công bố hoặc kiềm chế" của Quy tắc 14e-3 hay không.</w:t>
      </w:r>
    </w:p>
    <w:p>
      <w:pPr>
        <w:spacing w:after="80"/>
      </w:pPr>
      <w:r>
        <w:rPr>
          <w:b/>
          <w:i w:val="0"/>
        </w:rPr>
        <w:t>e. Kết luận</w:t>
      </w:r>
    </w:p>
    <w:p>
      <w:pPr>
        <w:spacing w:after="80"/>
      </w:pPr>
      <w:r>
        <w:rPr>
          <w:b w:val="0"/>
          <w:i w:val="0"/>
        </w:rPr>
        <w:t>Tóm lại, Tòa nhận thấy rằng các Nguyên đơn đã nêu ra những câu hỏi nghiêm trọng liên quan đến nội dung vụ việc trong khiếu nại của họ theo Quy tắc 14e-3.</w:t>
      </w:r>
    </w:p>
    <w:p>
      <w:pPr>
        <w:pStyle w:val="Heading5"/>
      </w:pPr>
      <w:r>
        <w:rPr>
          <w:rFonts w:ascii="Calibri" w:hAnsi="Calibri"/>
          <w:b/>
          <w:i/>
          <w:sz w:val="22"/>
        </w:rPr>
        <w:t>Bình luận và Câu hỏi</w:t>
      </w:r>
    </w:p>
    <w:p>
      <w:pPr>
        <w:spacing w:after="80"/>
      </w:pPr>
      <w:r>
        <w:rPr>
          <w:b w:val="0"/>
          <w:i w:val="0"/>
        </w:rPr>
        <w:t>1. Pershing đã mua gần 10% cổ phần trong Allergan trong khi Valeant thực hiện chào mua công khai. Bạn nghĩ tại sao hai công ty lại cấu trúc thương vụ theo cách này? Kiểu quan hệ này có phải là dấu hiệu báo trước cho các đề nghị trong tương lai không?</w:t>
      </w:r>
    </w:p>
    <w:p>
      <w:pPr>
        <w:spacing w:after="80"/>
      </w:pPr>
      <w:r>
        <w:rPr>
          <w:b w:val="0"/>
          <w:i w:val="0"/>
        </w:rPr>
        <w:t>2. Một số hạn chế của cấu trúc này là gì, cả về mặt thực tiễn lẫn pháp lý?</w:t>
      </w:r>
    </w:p>
    <w:p>
      <w:pPr>
        <w:spacing w:after="80"/>
      </w:pPr>
      <w:r>
        <w:rPr>
          <w:b w:val="0"/>
          <w:i w:val="0"/>
        </w:rPr>
        <w:t>3. Tòa tuyên bố rằng "không có tranh chấp rằng Pershing Square sở hữu thông tin nội bộ và không công bố thông tin đó cho công chúng" trước khi mua cổ phiếu. Tòa đã phân tích hành vi theo Quy tắc 14e-3. Còn Quy tắc 10b-5, quy định truyền thống về giao dịch nội gián thì sao? Liệu có khả năng hành vi bị cáo buộc trong vụ án này đã vi phạm quy định này không?</w:t>
      </w:r>
    </w:p>
    <w:p>
      <w:pPr>
        <w:spacing w:after="80"/>
      </w:pPr>
      <w:r>
        <w:rPr>
          <w:b w:val="0"/>
          <w:i w:val="0"/>
        </w:rPr>
        <w:t>4. Cuối cùng thì Pershing và Valeant đã chứng minh rằng họ không thành công trong nỗ lực thâu tóm. Allergan đã đàm phán thành công một thương vụ sáp nhập với một "hiệp sĩ áo trắng" (white knight), Actavis, bên đã trả mức giá cao hơn. Các báo cáo công khai cho thấy Pershing dự kiến sẽ thu về hơn 2 tỷ đô la từ khoản đầu tư của mình vào Allergan.</w:t>
      </w:r>
    </w:p>
    <w:p>
      <w:pPr>
        <w:spacing w:after="80"/>
      </w:pPr>
      <w:r>
        <w:rPr>
          <w:b w:val="0"/>
          <w:i w:val="0"/>
        </w:rPr>
        <w:t>5. Đề nghị mua lại (tender offer) vẫn bị đình trệ sau khi Allergan áp dụng một "viên thuốc độc" (poison pill). Kết quả là, Pershing tìm cách thay thế phần lớn hội đồng quản trị tại một cuộc họp cổ đông bất thường. Để triệu tập cuộc họp bất thường này, Pershing cần sự ủng hộ của 25% số cổ phần có quyền biểu quyết đang lưu hành. Các điều lệ (bylaws) do hội đồng quản trị Allergan thông qua đã áp đặt những hạn chế đáng kể đối với quyền triệu tập cuộc họp. Ví dụ, các cổ đông bị loại khỏi quyền này nếu họ từ chối cam kết giữ cổ phần của mình cho đến ngày diễn ra cuộc họp. Tuy nhiên, bất chấp những hạn chế đó, Pershing vẫn xoay xở có được sự ủng hộ cần thiết và sau khi làm được điều đó, đã khởi kiện để buộc hội đồng quản trị Allergan phải triệu tập cuộc họp bất thường. Tại một phiên điều trần về vụ kiện, Phó Chánh án (Vice Chancellor) được cho là đã bình luận rằng điều khoản đó là "một điều lệ khiến người ta nghẹn thở" (horse-choker of a bylaw). Cuối cùng, Allergan đồng ý tổ chức cuộc họp và vụ kiện đã được rút lại. Tại sao Pershing lại chọn chiến thuật này và tại sao các cổ đông lại ủng hộ những nỗ lực triệu tập một cuộc họp bất thường?</w:t>
      </w:r>
    </w:p>
    <w:p>
      <w:pPr>
        <w:pStyle w:val="Heading2"/>
      </w:pPr>
      <w:r>
        <w:rPr>
          <w:rFonts w:ascii="Calibri" w:hAnsi="Calibri"/>
          <w:b/>
          <w:i w:val="0"/>
          <w:sz w:val="32"/>
        </w:rPr>
        <w:t>II. Luật Tiểu bang và Việc Điều chỉnh các Chiến thuật Phòng ngự</w:t>
      </w:r>
    </w:p>
    <w:p>
      <w:pPr>
        <w:spacing w:after="80"/>
      </w:pPr>
      <w:r>
        <w:rPr>
          <w:b w:val="0"/>
          <w:i w:val="0"/>
        </w:rPr>
        <w:t>Phần lớn luật tiểu bang áp dụng cho các đề nghị mua lại (tender offer) được phát triển vào những năm 1980 khi một làn sóng thâu tóm thù địch quét qua các thị trường. Các phản ứng diễn ra dưới hai hình thức khác biệt. Một mặt, ban lãnh đạo cố gắng cản trở các thương vụ thâu tóm thông qua việc sử dụng một loạt các chiến thuật phòng ngự, với "viên thuốc độc" (poison pill) cuối cùng nổi lên như là biện pháp phổ biến nhất (và hiệu quả nhất).</w:t>
      </w:r>
    </w:p>
    <w:p>
      <w:pPr>
        <w:spacing w:after="80"/>
      </w:pPr>
      <w:r>
        <w:rPr>
          <w:b w:val="0"/>
          <w:i w:val="0"/>
        </w:rPr>
        <w:t>Khi các tòa án chật vật tìm ra tiêu chuẩn phù hợp để xem xét các chiến thuật phòng ngự, các tiểu bang đã can thiệp trực tiếp hơn. Nhìn chung, họ không mấy thiện cảm với các đề nghị mua lại thù địch. Một thương vụ thâu tóm có thể dẫn đến việc di dời trụ sở công ty hoặc một loạt biện pháp cắt giảm chi phí (bao gồm cả sa thải nhân viên), tất cả đều có thể gây ảnh hưởng bất lợi đến nền kinh tế của tiểu bang. Một số tiểu bang phản ứng bằng cách thông qua các đạo luật được thiết kế để khiến việc thâu tóm trở nên khó khăn hơn.</w:t>
      </w:r>
    </w:p>
    <w:p>
      <w:pPr>
        <w:pStyle w:val="Heading3"/>
      </w:pPr>
      <w:r>
        <w:rPr>
          <w:rFonts w:ascii="Calibri" w:hAnsi="Calibri"/>
          <w:b/>
          <w:i w:val="0"/>
          <w:sz w:val="26"/>
        </w:rPr>
        <w:t>A. Các Đạo luật Chống Thâu tóm</w:t>
      </w:r>
    </w:p>
    <w:p>
      <w:pPr>
        <w:spacing w:after="80"/>
      </w:pPr>
      <w:r>
        <w:rPr>
          <w:b w:val="0"/>
          <w:i w:val="0"/>
        </w:rPr>
        <w:t xml:space="preserve">Thế hệ đạo luật đầu tiên chỉ đơn thuần buộc bên thâu tóm phải thông báo trước cho các công ty mục tiêu về một đề nghị mua lại sắp diễn ra. Theo đó, Đạo luật Thâu tóm Doanh nghiệp Illinois (Illinois Business Take-Over Act) yêu cầu bên chào mua phải cung cấp cho các công ty mục tiêu có mối liên hệ nhất định với tiểu bang thông báo trước hai mươi ngày trước khi đề nghị này có thể có hiệu lực. Trong vụ </w:t>
      </w:r>
      <w:r>
        <w:rPr>
          <w:b w:val="0"/>
          <w:i/>
        </w:rPr>
        <w:t>Edgar v. Mite</w:t>
      </w:r>
      <w:r>
        <w:rPr>
          <w:b w:val="0"/>
          <w:i w:val="0"/>
        </w:rPr>
        <w:t xml:space="preserve"> , 457 U.S. 624 (1982), Tòa án đã bác bỏ đạo luật này, kết luận rằng nó vi phạm Điều khoản Thương mại (Commerce Clause). Một nhóm đa số các Thẩm phán cũng nhận thấy rằng các đạo luật thế hệ đầu tiên này đã bị luật liên bang chi phối (preempted) theo Đạo luật Williams (Williams Act).</w:t>
      </w:r>
    </w:p>
    <w:p>
      <w:pPr>
        <w:spacing w:after="80"/>
      </w:pPr>
      <w:r>
        <w:rPr>
          <w:b w:val="0"/>
          <w:i w:val="0"/>
        </w:rPr>
        <w:t xml:space="preserve">Các tiểu bang không bỏ cuộc. Sau vụ </w:t>
      </w:r>
      <w:r>
        <w:rPr>
          <w:b w:val="0"/>
          <w:i/>
        </w:rPr>
        <w:t>Edgar v. Mite</w:t>
      </w:r>
      <w:r>
        <w:rPr>
          <w:b w:val="0"/>
          <w:i w:val="0"/>
        </w:rPr>
        <w:t xml:space="preserve"> , một thế hệ đạo luật thứ hai ra đời. Được gọi là các đạo luật thâu tóm cổ phần kiểm soát (control share acquisition statutes), chúng được soạn thảo theo cách gần giống với các điều khoản quản trị truyền thống hơn. Các đạo luật này chỉ áp dụng cho các công ty được thành lập tại tiểu bang đã ban hành chúng. Hơn nữa, chúng thực chất yêu cầu các cổ đông lớn đang tìm cách giành quyền kiểm soát trước tiên phải có được sự chấp thuận của các giám đốc không có lợi ích liên quan (disinterested directors) hoặc các cổ đông không có lợi ích liên quan (disinterested shareholders). Hầu hết các nhà bình luận và người hành nghề có lẽ đều kỳ vọng rằng các đạo luật này sẽ chịu chung số phận với các đạo luật chống thâu tóm đã bị bác bỏ trong vụ </w:t>
      </w:r>
      <w:r>
        <w:rPr>
          <w:b w:val="0"/>
          <w:i/>
        </w:rPr>
        <w:t>Edgar v. Mite.</w:t>
      </w:r>
      <w:r>
        <w:rPr>
          <w:b w:val="0"/>
          <w:i w:val="0"/>
        </w:rPr>
        <w:t xml:space="preserve"> Tuy nhiên, Tòa án Tối cao lại có ý tưởng khác.</w:t>
      </w:r>
    </w:p>
    <w:p>
      <w:pPr>
        <w:pStyle w:val="Heading4"/>
      </w:pPr>
      <w:r>
        <w:rPr>
          <w:rFonts w:ascii="Calibri" w:hAnsi="Calibri"/>
          <w:b/>
          <w:i w:val="0"/>
          <w:sz w:val="23"/>
        </w:rPr>
        <w:t>CTS Corp. v. Dynamics Corp. of America</w:t>
      </w:r>
    </w:p>
    <w:p>
      <w:pPr>
        <w:spacing w:after="80"/>
      </w:pPr>
      <w:r>
        <w:rPr>
          <w:b w:val="0"/>
          <w:i w:val="0"/>
        </w:rPr>
        <w:t>Tòa án Tối cao Hoa Kỳ</w:t>
      </w:r>
      <w:r>
        <w:br/>
      </w:r>
      <w:r>
        <w:rPr>
          <w:b w:val="0"/>
          <w:i w:val="0"/>
        </w:rPr>
        <w:t xml:space="preserve"> 481 U.S. 69 (1987)</w:t>
      </w:r>
    </w:p>
    <w:p>
      <w:pPr>
        <w:spacing w:after="80"/>
      </w:pPr>
      <w:r>
        <w:rPr>
          <w:b w:val="0"/>
          <w:i w:val="0"/>
        </w:rPr>
        <w:t>THẨM PHÁN POWELL :</w:t>
      </w:r>
    </w:p>
    <w:p>
      <w:pPr>
        <w:spacing w:after="80"/>
      </w:pPr>
      <w:r>
        <w:rPr>
          <w:b w:val="0"/>
          <w:i w:val="0"/>
        </w:rPr>
        <w:t xml:space="preserve">Các vụ án này đặt ra câu hỏi liệu Chương Thâu tóm Cổ phần Kiểm soát thuộc Luật Doanh nghiệp Indiana (Indiana Business Corporation Law), Ind. Code § 23-1-42-1 </w:t>
      </w:r>
      <w:r>
        <w:rPr>
          <w:b w:val="0"/>
          <w:i/>
        </w:rPr>
        <w:t>et seq.</w:t>
      </w:r>
      <w:r>
        <w:rPr>
          <w:b w:val="0"/>
          <w:i w:val="0"/>
        </w:rPr>
        <w:t xml:space="preserve"> (Supp.1986), có bị Đạo luật Williams, 82 Stat. 454, như đã được sửa đổi, 15 U.S.C. §§ 78m(d)-(e) và 78n(d)-(f) (1982 ed. và Supp. III), chi phối (pre-empted) hay không, hoặc liệu nó có vi phạm Điều khoản Thương mại của Hiến pháp Liên bang, Art. I, § 8, cl. 3, hay không.</w:t>
      </w:r>
    </w:p>
    <w:p>
      <w:pPr>
        <w:spacing w:after="80"/>
      </w:pPr>
      <w:r>
        <w:rPr>
          <w:b w:val="0"/>
          <w:i w:val="0"/>
        </w:rPr>
        <w:t>I</w:t>
      </w:r>
      <w:r>
        <w:br/>
      </w:r>
      <w:r>
        <w:rPr>
          <w:b w:val="0"/>
          <w:i w:val="0"/>
        </w:rPr>
        <w:t xml:space="preserve"> A</w:t>
      </w:r>
    </w:p>
    <w:p>
      <w:pPr>
        <w:spacing w:after="80"/>
      </w:pPr>
      <w:r>
        <w:rPr>
          <w:b w:val="0"/>
          <w:i w:val="0"/>
        </w:rPr>
        <w:t xml:space="preserve">Vào ngày 4 tháng 3 năm 1986, Thống đốc bang Indiana đã ký ban hành Luật Doanh nghiệp Indiana sửa đổi, Ind. Code § 23-1-17-1 et seq. (Supp. 1986). Luật đó bao gồm Chương Thâu tóm Cổ phần Kiểm soát (Đạo luật Indiana hay Đạo luật). Bắt đầu từ ngày 1 tháng 8 năm 1987, Đạo luật sẽ áp dụng cho bất kỳ công ty nào được thành lập tại Indiana, § 23-1-17-3(a), trừ khi công ty đó sửa đổi điều lệ thành lập (articles of incorporation) hoặc điều lệ (bylaws) của mình để chọn không tham gia Đạo luật, § 23-1-42-5. Trước ngày đó, bất kỳ công ty Indiana nào cũng có thể chọn tham gia Đạo luật bằng nghị quyết của hội đồng quản trị, § 23-1-17-3(b). Đạo luật chỉ áp dụng cho các "công ty đại chúng phát hành cổ phần" (issuing public corporations). Thuật ngữ "công ty" (corporation) chỉ bao gồm các doanh nghiệp được thành lập tại Indiana. </w:t>
      </w:r>
      <w:r>
        <w:rPr>
          <w:b w:val="0"/>
          <w:i/>
        </w:rPr>
        <w:t>Xem</w:t>
      </w:r>
      <w:r>
        <w:rPr>
          <w:b w:val="0"/>
          <w:i w:val="0"/>
        </w:rPr>
        <w:t xml:space="preserve"> § 23-1-20-5. Một "công ty đại chúng phát hành cổ phần" được định nghĩa là:</w:t>
      </w:r>
    </w:p>
    <w:p>
      <w:pPr>
        <w:spacing w:after="80"/>
      </w:pPr>
      <w:r>
        <w:rPr>
          <w:b w:val="0"/>
          <w:i w:val="0"/>
        </w:rPr>
        <w:t>"một công ty có:</w:t>
      </w:r>
    </w:p>
    <w:p>
      <w:pPr>
        <w:spacing w:after="80"/>
      </w:pPr>
      <w:r>
        <w:rPr>
          <w:b w:val="0"/>
          <w:i w:val="0"/>
        </w:rPr>
        <w:t>"(1) một trăm (100) cổ đông trở lên;</w:t>
      </w:r>
    </w:p>
    <w:p>
      <w:pPr>
        <w:spacing w:after="80"/>
      </w:pPr>
      <w:r>
        <w:rPr>
          <w:b w:val="0"/>
          <w:i w:val="0"/>
        </w:rPr>
        <w:t>“(2) trụ sở chính của nó, văn phòng chính của nó, hoặc tài sản đáng kể trong Indiana; và</w:t>
      </w:r>
    </w:p>
    <w:p>
      <w:pPr>
        <w:spacing w:after="80"/>
      </w:pPr>
      <w:r>
        <w:rPr>
          <w:b w:val="0"/>
          <w:i w:val="0"/>
        </w:rPr>
        <w:t>“(3) một trong hai:</w:t>
      </w:r>
    </w:p>
    <w:p>
      <w:pPr>
        <w:spacing w:after="80"/>
      </w:pPr>
      <w:r>
        <w:rPr>
          <w:b w:val="0"/>
          <w:i w:val="0"/>
        </w:rPr>
        <w:t>“(A) hơn mười phần trăm (10%) cổ đông của nó cư trú tại Indiana;</w:t>
      </w:r>
    </w:p>
    <w:p>
      <w:pPr>
        <w:spacing w:after="80"/>
      </w:pPr>
      <w:r>
        <w:rPr>
          <w:b w:val="0"/>
          <w:i w:val="0"/>
        </w:rPr>
        <w:t>“(B) hơn mười phần trăm (10%) cổ phần của nó thuộc sở hữu của cư dân Indiana; hoặc</w:t>
      </w:r>
    </w:p>
    <w:p>
      <w:pPr>
        <w:spacing w:after="80"/>
      </w:pPr>
      <w:r>
        <w:rPr>
          <w:b w:val="0"/>
          <w:i w:val="0"/>
        </w:rPr>
        <w:t>“(C) mười nghìn (10.000) cổ đông cư trú tại Indiana.”</w:t>
      </w:r>
    </w:p>
    <w:p>
      <w:pPr>
        <w:spacing w:after="80"/>
      </w:pPr>
      <w:r>
        <w:rPr>
          <w:b w:val="0"/>
          <w:i w:val="0"/>
        </w:rPr>
        <w:t>§ 23-1-42-4(a).</w:t>
      </w:r>
    </w:p>
    <w:p>
      <w:pPr>
        <w:spacing w:after="80"/>
      </w:pPr>
      <w:r>
        <w:rPr>
          <w:b w:val="0"/>
          <w:i w:val="0"/>
        </w:rPr>
        <w:t>Đạo luật tập trung vào việc thâu tóm “cổ phần kiểm soát” (control shares) trong một công ty đại chúng phát hành. Theo Đạo luật, một thực thể thâu tóm “cổ phần kiểm soát” bất cứ khi nào nó thâu tóm cổ phần mà, nếu không có sự vận hành của Đạo luật, sẽ đưa quyền biểu quyết của nó trong công ty lên tới hoặc vượt qua bất kỳ ngưỡng nào trong ba ngưỡng: 20%, 33 1/3%, hoặc 50%. § 23-1-42-1. Một thực thể thâu tóm cổ phần kiểm soát không nhất thiết có được quyền biểu quyết. Thay vào đó, nó chỉ có được những quyền đó “trong phạm vi được cấp bởi nghị quyết được cổ đông của công ty đại chúng phát hành thông qua.” § 23-1-42-(a). Mục 23-1-42-9(b) yêu cầu đa số phiếu của tất cả cổ đông không có quyền lợi liên quan nắm giữ mỗi loại cổ phiếu để thông qua nghị quyết như vậy. Hiệu quả thực tế của yêu cầu này là đặt điều kiện cho việc thâu tóm quyền kiểm soát một công ty phải được đa số cổ đông không có quyền lợi liên quan hiện hữu trước đó chấp thuận.</w:t>
      </w:r>
    </w:p>
    <w:p>
      <w:pPr>
        <w:spacing w:after="80"/>
      </w:pPr>
      <w:r>
        <w:rPr>
          <w:b w:val="0"/>
          <w:i w:val="0"/>
        </w:rPr>
        <w:t xml:space="preserve">Các cổ đông quyết định có trao quyền cho cổ phần kiểm soát hay không tại cuộc họp cổ đông thường kỳ tiếp theo, hoặc tại một cuộc họp được triệu tập đặc biệt. Bên thâu tóm có thể yêu cầu ban điều hành công ty tổ chức cuộc họp đặc biệt như vậy trong vòng 50 ngày nếu nó nộp một “tuyên bố của người thâu tóm” (acquiring person statement), yêu cầu cuộc họp, và đồng ý chi trả các chi phí của cuộc họp. </w:t>
      </w:r>
      <w:r>
        <w:rPr>
          <w:b w:val="0"/>
          <w:i/>
        </w:rPr>
        <w:t>Xem</w:t>
      </w:r>
      <w:r>
        <w:rPr>
          <w:b w:val="0"/>
          <w:i w:val="0"/>
        </w:rPr>
        <w:t xml:space="preserve"> § 23-1-42-7. Nếu các cổ đông không bỏ phiếu để khôi phục quyền biểu quyết cho cổ phần đó, công ty có thể mua lại cổ phần kiểm soát từ bên thâu tóm theo giá thị trường hợp lý, nhưng không bắt buộc phải làm vậy. § 23-1-42-10(b). Tương tự, nếu bên thâu tóm không nộp tuyên bố của người thâu tóm cho công ty, công ty có thể, nếu điều lệ hoặc quy chế thành lập của nó quy định như vậy, mua lại cổ phần vào bất kỳ thời điểm nào sau 60 ngày kể từ lần thâu tóm cuối cùng của bên thâu tóm. § 23-1-42-10(a).</w:t>
      </w:r>
    </w:p>
    <w:p>
      <w:pPr>
        <w:spacing w:after="80"/>
      </w:pPr>
      <w:r>
        <w:rPr>
          <w:b w:val="0"/>
          <w:i w:val="0"/>
        </w:rPr>
        <w:t>B.</w:t>
      </w:r>
    </w:p>
    <w:p>
      <w:pPr>
        <w:spacing w:after="80"/>
      </w:pPr>
      <w:r>
        <w:rPr>
          <w:b w:val="0"/>
          <w:i w:val="0"/>
        </w:rPr>
        <w:t xml:space="preserve">Vào ngày 10 tháng 3 năm 1986, bị đơn Dynamics Corporate of America (Dynamics) sở hữu 9,6% cổ phần phổ thông của nguyên đơn CTS Corporation, một công ty Indiana. Vào ngày đó, sáu ngày sau khi Đạo luật có hiệu lực, Dynamics công bố một đề nghị chào mua (tender offer) thêm một triệu cổ phần nữa trong CTS; việc mua những cổ phần đó sẽ đưa tỷ lệ sở hữu của Dynamics trong CTS lên 27,5%. Cũng vào ngày 10 tháng 3, Dynamics đệ đơn kiện tại Tòa án Quận Liên bang cho Quận Bắc Illinois, cáo buộc rằng CTS đã vi phạm luật chứng khoán liên bang ở một số khía cạnh không còn liên quan đến thủ tục tố tụng này. Vào ngày 27 tháng 3, hội đồng quản trị của CTS, một công ty Indiana, đã bỏ phiếu chọn chịu sự điều chỉnh bởi các quy định của Đạo luật, </w:t>
      </w:r>
      <w:r>
        <w:rPr>
          <w:b w:val="0"/>
          <w:i/>
        </w:rPr>
        <w:t>Xem</w:t>
      </w:r>
      <w:r>
        <w:rPr>
          <w:b w:val="0"/>
          <w:i w:val="0"/>
        </w:rPr>
        <w:t xml:space="preserve"> § 23-1-17-3.</w:t>
      </w:r>
    </w:p>
    <w:p>
      <w:pPr>
        <w:spacing w:after="80"/>
      </w:pPr>
      <w:r>
        <w:rPr>
          <w:b w:val="0"/>
          <w:i w:val="0"/>
        </w:rPr>
        <w:t>* * *</w:t>
      </w:r>
    </w:p>
    <w:p>
      <w:pPr>
        <w:spacing w:after="80"/>
      </w:pPr>
      <w:r>
        <w:rPr>
          <w:b w:val="0"/>
          <w:i w:val="0"/>
        </w:rPr>
        <w:t>Đạo luật không áp đặt sự trì hoãn tuyệt đối 50 ngày đối với các đề nghị chào mua, cũng không ngăn cản bên chào mua mua cổ phần ngay khi luật liên bang cho phép. Nếu bên chào mua lo ngại một cuộc bỏ phiếu bất lợi của cổ đông theo Đạo luật, nó có thể thực hiện một đề nghị chào mua có điều kiện, đề nghị chấp nhận cổ phần với điều kiện là cổ phần đó nhận được quyền biểu quyết trong một khoảng thời gian nhất định. Đạo luật Williams cho phép các đề nghị chào mua được đặt điều kiện dựa trên việc bên chào mua sau đó đạt được sự chấp thuận của cơ quan quản lý. Ví dụ, Interpretive Release Relating to Tender Offer Rules, SEC Exchange Act Rel. No. 34-16623 (Mar. 5, 1980), 3CCH Fed. Sec. L. Rep. para. 24,284I, p. 17,758, được trích dẫn trong MacFadden Holdings, Inc. v. JB Acquisition Corp., 802 F.2d 62, 70 (CA2 1986). Không có lý do gì để nghi ngờ rằng loại đề nghị chào mua có điều kiện này cũng sẽ là hợp pháp.</w:t>
      </w:r>
    </w:p>
    <w:p>
      <w:pPr>
        <w:spacing w:after="80"/>
      </w:pPr>
      <w:r>
        <w:rPr>
          <w:b w:val="0"/>
          <w:i w:val="0"/>
        </w:rPr>
        <w:t xml:space="preserve">Ngay cả khi giả định rằng Đạo luật Indiana áp đặt một số sự trì hoãn bổ sung, không có gì trong </w:t>
      </w:r>
      <w:r>
        <w:rPr>
          <w:b w:val="0"/>
          <w:i/>
        </w:rPr>
        <w:t>MITE</w:t>
      </w:r>
      <w:r>
        <w:rPr>
          <w:b w:val="0"/>
          <w:i w:val="0"/>
        </w:rPr>
        <w:t xml:space="preserve"> gợi ý rằng </w:t>
      </w:r>
      <w:r>
        <w:rPr>
          <w:b w:val="0"/>
          <w:i/>
        </w:rPr>
        <w:t>bất kỳ</w:t>
      </w:r>
      <w:r>
        <w:rPr>
          <w:b w:val="0"/>
          <w:i w:val="0"/>
        </w:rPr>
        <w:t xml:space="preserve"> sự trì hoãn nào do quy định của tiểu bang áp đặt, dù ngắn đến đâu, sẽ tạo ra xung đột với Đạo luật Williams. Nhóm đa số chỉ lập luận rằng bên chào mua nên “được tự do tiến hành mà không bị trì hoãn </w:t>
      </w:r>
      <w:r>
        <w:rPr>
          <w:b w:val="0"/>
          <w:i/>
        </w:rPr>
        <w:t>không hợp lý</w:t>
      </w:r>
      <w:r>
        <w:rPr>
          <w:b w:val="0"/>
          <w:i w:val="0"/>
        </w:rPr>
        <w:t>.” 457 U.S. at 639 (nhấn mạnh được thêm vào). Trong vụ án đó, Tòa án đối mặt với khả năng trì hoãn vô thời hạn và không được đưa ra lý do thuyết phục nào cho việc tại sao không thể thiết lập một thời hạn nào đó. Ngược lại, Đạo luật Indiana quy định rằng toàn bộ quyền biểu quyết sẽ được trao—nếu điều này cuối cùng xảy ra—trong vòng 50 ngày sau khi bắt đầu đề nghị chào mua. Khoảng thời gian này nằm trong khoảng thời gian 60 ngày mà Quốc hội đã thiết lập để khôi phục quyền rút lại theo 15 U. S. C. § 78n(d) (5). Chúng tôi không thể nói rằng sự trì hoãn trong khoảng thời gian do Quốc hội xác định đó là không hợp lý.</w:t>
      </w:r>
    </w:p>
    <w:p>
      <w:pPr>
        <w:spacing w:after="80"/>
      </w:pPr>
      <w:r>
        <w:rPr>
          <w:b w:val="0"/>
          <w:i w:val="0"/>
        </w:rPr>
        <w:t xml:space="preserve">Cuối cùng, chúng tôi lưu ý rằng Đạo luật Williams sẽ thay thế (pre-empt) nhiều loại luật công ty của tiểu bang vốn có hiệu lực chưa từng bị nghi ngờ nếu nó được giải thích là thay thế bất kỳ đạo luật tiểu bang nào có thể hạn chế hoặc trì hoãn việc thực thi tự do quyền lực sau một đề nghị chào mua thành công. Luật công ty của tiểu bang thường cho phép các công ty phân kỳ nhiệm kỳ của các giám đốc. </w:t>
      </w:r>
      <w:r>
        <w:rPr>
          <w:b w:val="0"/>
          <w:i/>
        </w:rPr>
        <w:t>Xem</w:t>
      </w:r>
      <w:r>
        <w:rPr>
          <w:b w:val="0"/>
          <w:i w:val="0"/>
        </w:rPr>
        <w:t xml:space="preserve"> Model Business Corp. Act § 37 (bản dự thảo 1969) trong 3 Model Business Corp. Act Ann. (ấn bản 2, 1971) (sau đây gọi là MBCA); American Bar Foundation, Revised Model Business Corp. Act § 8.06 (bản dự thảo 1984) (1985) (sau đây gọi là RMBCA). Bằng cách phân kỳ nhiệm kỳ của các giám đốc, và do đó chỉ tổ chức bầu cử hàng năm cho một nhóm giám đốc mỗi năm, các công ty có thể trì hoãn thời điểm mà một bên chào mua thành công giành được quyền kiểm soát hội đồng quản trị. Tương tự, luật công ty của tiểu bang thường quy định việc bỏ phiếu tích lũy (cumulative voting). </w:t>
      </w:r>
      <w:r>
        <w:rPr>
          <w:b w:val="0"/>
          <w:i/>
        </w:rPr>
        <w:t>Xem</w:t>
      </w:r>
      <w:r>
        <w:rPr>
          <w:b w:val="0"/>
          <w:i w:val="0"/>
        </w:rPr>
        <w:t xml:space="preserve"> 1 MBCA § 33, para. 4; RMBCA § 7.28. Bằng cách cho phép các cổ đông thiểu số tự đảm bảo quyền đại diện trong mỗi nhóm giám đốc, các quy định bỏ phiếu tích lũy có thể trì hoãn thêm khả năng của các bên chào mua trong việc giành được quyền lực không bị cản trở đối với các công việc của công ty mục tiêu. </w:t>
      </w:r>
      <w:r>
        <w:rPr>
          <w:b w:val="0"/>
          <w:i/>
        </w:rPr>
        <w:t>Xem</w:t>
      </w:r>
      <w:r>
        <w:rPr>
          <w:b w:val="0"/>
          <w:i w:val="0"/>
        </w:rPr>
        <w:t xml:space="preserve"> Hochman &amp; Folger, Deflecting Takeovers: Charter and By-Law Techniques, 34 Bus. Law. 537, 538–539 (1979).</w:t>
      </w:r>
    </w:p>
    <w:p>
      <w:pPr>
        <w:spacing w:after="80"/>
      </w:pPr>
      <w:r>
        <w:rPr>
          <w:b w:val="0"/>
          <w:i w:val="0"/>
        </w:rPr>
        <w:t>Theo quan điểm của chúng tôi, khả năng rằng Đạo luật Indiana sẽ trì hoãn một số đề nghị chào mua là không đủ để đòi hỏi một kết luận rằng Đạo luật Williams thay thế Đạo luật này. Sự phổ biến lâu dài của quy định tiểu bang trong lĩnh vực này cho thấy rằng, nếu Quốc hội có ý định thay thế tất cả các luật tiểu bang vốn trì hoãn việc thâu tóm quyền kiểm soát biểu quyết sau một đề nghị chào mua, thì Quốc hội đã nói rõ điều đó. Các điều kiện quy định mà Đạo luật đặt ra đối với các đề nghị chào mua phù hợp với văn bản và mục đích của Đạo luật Williams. Theo đó, chúng tôi phán quyết rằng Đạo luật Williams không thay thế Đạo luật Indiana.</w:t>
      </w:r>
    </w:p>
    <w:p>
      <w:pPr>
        <w:spacing w:after="80"/>
      </w:pPr>
      <w:r>
        <w:rPr>
          <w:b w:val="0"/>
          <w:i w:val="0"/>
        </w:rPr>
        <w:t>* * *</w:t>
      </w:r>
    </w:p>
    <w:p>
      <w:pPr>
        <w:spacing w:after="80"/>
      </w:pPr>
      <w:r>
        <w:rPr>
          <w:b w:val="0"/>
          <w:i w:val="0"/>
        </w:rPr>
        <w:t xml:space="preserve">Các đối tượng chính mà Điều khoản Thương mại (Commerce Clause) ở trạng thái "ngủ yên" (dormant) xem xét kỹ lưỡng là những đạo luật phân biệt đối xử chống lại thương mại liên bang. </w:t>
      </w:r>
      <w:r>
        <w:rPr>
          <w:b w:val="0"/>
          <w:i/>
        </w:rPr>
        <w:t>Xem</w:t>
      </w:r>
      <w:r>
        <w:rPr>
          <w:b w:val="0"/>
          <w:i w:val="0"/>
        </w:rPr>
        <w:t xml:space="preserve">, ví dụ, Lewis v. BT Investment Managers, Inc., 447 U.S. 27, 36–37 (1980); Philadelphia v. New Jersey, 437 U.S. 617, 624 (1978). </w:t>
      </w:r>
      <w:r>
        <w:rPr>
          <w:b w:val="0"/>
          <w:i/>
        </w:rPr>
        <w:t>Xem</w:t>
      </w:r>
      <w:r>
        <w:rPr>
          <w:b w:val="0"/>
          <w:i w:val="0"/>
        </w:rPr>
        <w:t xml:space="preserve"> tổng quát Regan, The Supreme Court and State Protectionism: Making Sense of the Dormant Commerce Clause, 84 Mich. L. Rev. 1091 (1986). Đạo luật Indiana không phải là một đạo luật như vậy. Nó có cùng tác động lên các đề nghị mua lại (tender offer) bất kể bên chào mua là cư dân hay thường trú nhân của Indiana. Do đó, nó "gây tác động như nhau lên cả doanh nghiệp liên bang lẫn doanh nghiệp địa phương," Lewis v. BT Investment Managers, Inc., như trên, tại 36.</w:t>
      </w:r>
    </w:p>
    <w:p>
      <w:pPr>
        <w:spacing w:after="80"/>
      </w:pPr>
      <w:r>
        <w:rPr>
          <w:b w:val="0"/>
          <w:i w:val="0"/>
        </w:rPr>
        <w:t>. . . Bởi vì không có điều khoản nào trong Đạo luật Indiana đặt gánh nặng lớn hơn lên các bên chào mua ngoài bang so với các bên chào mua Indiana trong hoàn cảnh tương tự, chúng tôi bác bỏ lập luận rằng Đạo luật phân biệt đối xử chống lại thương mại liên bang.</w:t>
      </w:r>
    </w:p>
    <w:p>
      <w:pPr>
        <w:spacing w:after="80"/>
      </w:pPr>
      <w:r>
        <w:rPr>
          <w:b w:val="0"/>
          <w:i w:val="0"/>
        </w:rPr>
        <w:t>* * *</w:t>
      </w:r>
    </w:p>
    <w:p>
      <w:pPr>
        <w:spacing w:after="80"/>
      </w:pPr>
      <w:r>
        <w:rPr>
          <w:b w:val="0"/>
          <w:i w:val="0"/>
        </w:rPr>
        <w:t>Tòa án Phúc thẩm (Court of Appeals) không phát hiện Đạo luật vi hiến vì một trong hai lý do ngưỡng này. Thay vào đó, phán quyết của tòa dựa trên quan điểm của tòa về khả năng Đạo luật cản trở các đề nghị mua lại. Chúng tôi cho rằng Tòa án Phúc thẩm đã không đánh giá đúng tầm quan trọng đối với việc phân tích Điều khoản Thương mại của một thực tế rằng quy định của bang đối với quản trị doanh nghiệp chính là quy định đối với các thực thể mà sự tồn tại và các thuộc tính của chúng là sản phẩm của luật bang. . . . Mọi bang ở đất nước này đều đã ban hành luật điều chỉnh quản trị doanh nghiệp. Bằng cách cấm một số giao dịch và điều chỉnh những giao dịch khác, những đạo luật như vậy tất yếu ảnh hưởng đến một số khía cạnh của thương mại liên bang. Điều này tất yếu đúng đối với các công ty có cổ đông ở các bang khác ngoài bang thành lập. Các công ty lớn được niêm yết trên các sàn giao dịch quốc gia, hoặc thậm chí sàn khu vực, sẽ có cổ đông ở nhiều bang và cổ phiếu được giao dịch thường xuyên. Các thị trường tạo điều kiện cho sự tham gia quốc gia và quốc tế này vào quyền sở hữu công ty là thiết yếu để cung cấp vốn không chỉ cho các doanh nghiệp mới mà còn cho các công ty đã thành lập cần mở rộng hoạt động kinh doanh. Hệ thống thị trường tự do mang lại lợi ích này phụ thuộc vào cốt lõi của nó ở một thực tế rằng một công ty—trừ những trường hợp cực kỳ hiếm hoi—được tổ chức theo và chịu sự điều chỉnh của luật của một thẩm quyền duy nhất, theo truyền thống là luật doanh nghiệp của bang nơi công ty được thành lập.</w:t>
      </w:r>
    </w:p>
    <w:p>
      <w:pPr>
        <w:spacing w:after="80"/>
      </w:pPr>
      <w:r>
        <w:rPr>
          <w:b w:val="0"/>
          <w:i w:val="0"/>
        </w:rPr>
        <w:t xml:space="preserve">Những đạo luật quy định này có thể ảnh hưởng trực tiếp đến nhiều loại giao dịch doanh nghiệp. Sáp nhập là một ví dụ điển hình. Xét đến tác động đáng kể mà một vụ sáp nhập có thể gây ra đối với lợi ích của cổ đông trong một công ty, nhiều bang yêu cầu số phiếu đa số tuyệt đối (supermajority) để phê duyệt sáp nhập. </w:t>
      </w:r>
      <w:r>
        <w:rPr>
          <w:b w:val="0"/>
          <w:i/>
        </w:rPr>
        <w:t>Xem</w:t>
      </w:r>
      <w:r>
        <w:rPr>
          <w:b w:val="0"/>
          <w:i w:val="0"/>
        </w:rPr>
        <w:t xml:space="preserve">, </w:t>
      </w:r>
      <w:r>
        <w:rPr>
          <w:b w:val="0"/>
          <w:i/>
        </w:rPr>
        <w:t>ví dụ</w:t>
      </w:r>
      <w:r>
        <w:rPr>
          <w:b w:val="0"/>
          <w:i w:val="0"/>
        </w:rPr>
        <w:t xml:space="preserve">, 2 MBCA § 73 (yêu cầu phê duyệt sáp nhập bằng đa số của tất cả cổ phần, thay vì chỉ đa số phiếu được bỏ); RMBCA § 11.03 (tương tự). Bằng cách yêu cầu số phiếu cao hơn cho sáp nhập so với các giao dịch khác, những đạo luật này khiến các công ty khó sáp nhập hơn. Luật bang cũng có thể quy định "quyền của cổ đông phản đối" (dissenters' rights), theo đó các cổ đông thiểu số không đồng ý với các quyết định của công ty về việc thực hiện những hành động cụ thể được quyền bán cổ phần của mình cho công ty theo giá thị trường hợp lý. </w:t>
      </w:r>
      <w:r>
        <w:rPr>
          <w:b w:val="0"/>
          <w:i/>
        </w:rPr>
        <w:t>Xem</w:t>
      </w:r>
      <w:r>
        <w:rPr>
          <w:b w:val="0"/>
          <w:i w:val="0"/>
        </w:rPr>
        <w:t xml:space="preserve">, </w:t>
      </w:r>
      <w:r>
        <w:rPr>
          <w:b w:val="0"/>
          <w:i/>
        </w:rPr>
        <w:t>ví dụ</w:t>
      </w:r>
      <w:r>
        <w:rPr>
          <w:b w:val="0"/>
          <w:i w:val="0"/>
        </w:rPr>
        <w:t>, 2 MBCA §§ 80, 81; RMBCA § 13.02. Bằng cách yêu cầu công ty mua lại cổ phần của các cổ đông phản đối, những đạo luật này có thể ngăn cản một công ty thực hiện các giao dịch được chỉ định.</w:t>
      </w:r>
    </w:p>
    <w:p>
      <w:pPr>
        <w:spacing w:after="80"/>
      </w:pPr>
      <w:r>
        <w:rPr>
          <w:b w:val="0"/>
          <w:i w:val="0"/>
        </w:rPr>
        <w:t>Do đó, việc các bang tạo ra công ty, quy định quyền hạn của chúng và xác định các quyền có được khi mua cổ phần của chúng là một phần được chấp nhận trong bối cảnh kinh doanh ở đất nước này. Một bang có lợi ích trong việc thúc đẩy các mối quan hệ ổn định giữa các bên liên quan trong các công ty mà bang cấp phép, cũng như trong việc đảm bảo rằng các nhà đầu tư vào những công ty như vậy có tiếng nói hiệu quả trong các vấn đề doanh nghiệp.</w:t>
      </w:r>
    </w:p>
    <w:p>
      <w:pPr>
        <w:spacing w:after="80"/>
      </w:pPr>
      <w:r>
        <w:rPr>
          <w:b w:val="0"/>
          <w:i w:val="0"/>
        </w:rPr>
        <w:t>Không thể nghi ngờ rằng Đạo luật phản ánh những mối quan tâm này. Mục đích chính của Đạo luật là bảo vệ các cổ đông của các công ty Indiana. Nó làm điều này bằng cách trao cho các cổ đông, khi có đề nghị thâu tóm (takeover offer), cơ hội quyết định tập thể liệu sự thay đổi quyền kiểm soát biểu quyết của công ty, theo cách họ nhận thức, có mong muốn hay không. Sự thay đổi ban quản lý có thể có những tác động quan trọng đến lợi ích của cổ đông; việc trao cơ hội này hoàn toàn nằm trong vai trò của bang với tư cách là người giám sát quản trị doanh nghiệp. Quyền tự chủ được cung cấp bằng cách cho phép các cổ đông cùng nhau xác định liệu việc thâu tóm có lợi cho lợi ích của họ hay không có thể đặc biệt có lợi trong trường hợp một đề nghị mua lại thù địch có thể ép buộc cổ đông phải chào bán cổ phần của mình.</w:t>
      </w:r>
    </w:p>
    <w:p>
      <w:pPr>
        <w:spacing w:after="80"/>
      </w:pPr>
      <w:r>
        <w:rPr>
          <w:b w:val="0"/>
          <w:i w:val="0"/>
        </w:rPr>
        <w:t>* * *</w:t>
      </w:r>
    </w:p>
    <w:p>
      <w:pPr>
        <w:spacing w:after="80"/>
      </w:pPr>
      <w:r>
        <w:rPr>
          <w:b w:val="0"/>
          <w:i w:val="0"/>
        </w:rPr>
        <w:t>Lập luận của Dynamics rằng Đạo luật là vi hiến cuối cùng dựa trên khẳng định của nó rằng Đạo luật sẽ hạn chế số lượng các đề nghị mua lại thành công. Có rất ít bằng chứng cho thấy điều này sẽ xảy ra. Nhưng ngay cả nếu đúng, kết quả này cũng sẽ không ảnh hưởng đáng kể đến việc phân tích Điều khoản Thương mại của chúng tôi. Chúng tôi nhắc lại rằng Đạo luật này không cấm bất kỳ thực thể nào—cư dân hay không cư dân—chào mua, hoặc mua, cổ phần trong các công ty Indiana, hoặc cố gắng qua đó giành quyền kiểm soát. Nó chỉ cung cấp các thủ tục quy định được thiết kế để bảo vệ tốt hơn các cổ đông của công ty. Chúng tôi đã bác bỏ "quan niệm rằng Điều khoản Thương mại bảo vệ cấu trúc hoặc phương thức hoạt động cụ thể trong một thị trường . . ." Exxon Corp. v. Governor of Maryland, 437 U.S. tại 127. Chính loại hàng hóa được giao dịch trên thị trường chứng khoán là loại mà các đặc tính của nó được xác định bởi luật bang. Tương tự, chính loại hàng hóa được giao dịch trên "thị trường kiểm soát doanh nghiệp"—công ty—là loại mà sự tồn tại và các thuộc tính của nó thuộc về luật bang. Indiana không cần định nghĩa những loại hàng hóa này như các bang khác làm; bang chỉ cần đảm bảo rằng cư dân và không cư dân có quyền tiếp cận bình đẳng với chúng. Điều này Indiana đã làm. Theo đó, ngay cả nếu Đạo luật làm giảm số lượng các đề nghị mua lại thành công đối với các công ty Indiana, điều này cũng không vi phạm Điều khoản Thương mại.</w:t>
      </w:r>
    </w:p>
    <w:p>
      <w:pPr>
        <w:pStyle w:val="Heading5"/>
      </w:pPr>
      <w:r>
        <w:rPr>
          <w:rFonts w:ascii="Calibri" w:hAnsi="Calibri"/>
          <w:b/>
          <w:i/>
          <w:sz w:val="22"/>
        </w:rPr>
        <w:t>Bình luận và Câu hỏi</w:t>
      </w:r>
    </w:p>
    <w:p>
      <w:pPr>
        <w:spacing w:after="80"/>
      </w:pPr>
      <w:r>
        <w:rPr>
          <w:b w:val="0"/>
          <w:i w:val="0"/>
        </w:rPr>
        <w:t xml:space="preserve">1. Phân tích trong </w:t>
      </w:r>
      <w:r>
        <w:rPr>
          <w:b w:val="0"/>
          <w:i/>
        </w:rPr>
        <w:t>CTS</w:t>
      </w:r>
      <w:r>
        <w:rPr>
          <w:b w:val="0"/>
          <w:i w:val="0"/>
        </w:rPr>
        <w:t xml:space="preserve"> có thể đã bị ảnh hưởng bởi sự bất đồng giữa Ủy ban Chứng khoán và Giao dịch (Securities and Exchange Commission) và Bộ Tư pháp về phân tích quyền ưu tiên (preemption) được trình lên Tòa án Tối cao. </w:t>
      </w:r>
      <w:r>
        <w:rPr>
          <w:b w:val="0"/>
          <w:i/>
        </w:rPr>
        <w:t>Xem</w:t>
      </w:r>
      <w:r>
        <w:rPr>
          <w:b w:val="0"/>
          <w:i w:val="0"/>
        </w:rPr>
        <w:t xml:space="preserve"> Neal Devins, </w:t>
      </w:r>
      <w:r>
        <w:rPr>
          <w:b w:val="0"/>
          <w:i/>
        </w:rPr>
        <w:t>Unitariness and Independence: Solicitor General Control over Independent Agency Litigation</w:t>
      </w:r>
      <w:r>
        <w:rPr>
          <w:b w:val="0"/>
          <w:i w:val="0"/>
        </w:rPr>
        <w:t>, 82 Cal. L. Rev. 255, 292 (1994) ("Trong vụ kiện CTS v. Dynamics năm 1987, Tổng Biện lý (Solicitor General) đồng ý với SEC rằng Đạo luật Thâu tóm Cổ phần Kiểm soát của Indiana vi phạm Điều khoản Thương mại nhưng không đồng ý với khẳng định của SEC rằng đạo luật cũng thất bại theo học thuyết quyền ưu tiên liên bang."). Mặc dù là một cơ quan liên bang độc lập, SEC không có thẩm quyền trực tiếp kiện tụng trước Tòa án Tối cao.</w:t>
      </w:r>
    </w:p>
    <w:p>
      <w:pPr>
        <w:spacing w:after="80"/>
      </w:pPr>
      <w:r>
        <w:rPr>
          <w:b w:val="0"/>
          <w:i w:val="0"/>
        </w:rPr>
        <w:t xml:space="preserve">2. Đạo luật Illinois được đề cập trong </w:t>
      </w:r>
      <w:r>
        <w:rPr>
          <w:b w:val="0"/>
          <w:i/>
        </w:rPr>
        <w:t>Edgar v. Mite</w:t>
      </w:r>
      <w:r>
        <w:rPr>
          <w:b w:val="0"/>
          <w:i w:val="0"/>
        </w:rPr>
        <w:t xml:space="preserve"> áp dụng cho các công ty không được thành lập trong bang miễn là chúng có văn phòng điều hành chính trong bang hoặc cổ đông trong bang sở hữu ít nhất 10% cổ phần của công ty. Đạo luật được đề cập trong </w:t>
      </w:r>
      <w:r>
        <w:rPr>
          <w:b w:val="0"/>
          <w:i/>
        </w:rPr>
        <w:t>CTS</w:t>
      </w:r>
      <w:r>
        <w:rPr>
          <w:b w:val="0"/>
          <w:i w:val="0"/>
        </w:rPr>
        <w:t xml:space="preserve"> khác như thế nào? Sự khác biệt này ảnh hưởng đến quyết định của Tòa án như thế nào?</w:t>
      </w:r>
    </w:p>
    <w:p>
      <w:pPr>
        <w:spacing w:after="80"/>
      </w:pPr>
      <w:r>
        <w:rPr>
          <w:b w:val="0"/>
          <w:i w:val="0"/>
        </w:rPr>
        <w:t xml:space="preserve">3. Ohio thường được ghi nhận công lao phát triển đạo luật thâu tóm cổ phần kiểm soát đầu tiên. </w:t>
      </w:r>
      <w:r>
        <w:rPr>
          <w:b w:val="0"/>
          <w:i/>
        </w:rPr>
        <w:t>Xem</w:t>
      </w:r>
      <w:r>
        <w:rPr>
          <w:b w:val="0"/>
          <w:i w:val="0"/>
        </w:rPr>
        <w:t xml:space="preserve"> Robert A. Prentice, </w:t>
      </w:r>
      <w:r>
        <w:rPr>
          <w:b w:val="0"/>
          <w:i/>
        </w:rPr>
        <w:t>The Role of States in Tender Offers: An Analysis of CTS</w:t>
      </w:r>
      <w:r>
        <w:rPr>
          <w:b w:val="0"/>
          <w:i w:val="0"/>
        </w:rPr>
        <w:t>, 1988 Colum. Bus. L. Rev. 1, 27. Tuy nhiên, đây không phải là mô hình duy nhất được các bang áp dụng. Một số bang đã thông qua các quy định "giá công bằng" (fair price) về cơ bản được thiết kế để đảm bảo sự đền bù thỏa đáng trong bước thứ hai của một vụ thâu tóm. Đạo luật chủ yếu bảo vệ chống lại các đề nghị mua lại hai tầng (two-tier tender offer) bằng cách đảm bảo rằng các cổ đông không chào bán ở giao dịch giai đoạn đầu vẫn nhận được sự đền bù tương tự ở giai đoạn sau. Các đạo luật mua lại cổ phần của cổ đông (shareholder redemption, hay cash out) yêu cầu bên thâu tóm có được hơn một tỷ lệ cổ phần nhất định phải đưa ra đề nghị với các cổ đông còn lại.</w:t>
      </w:r>
    </w:p>
    <w:p>
      <w:pPr>
        <w:spacing w:after="80"/>
      </w:pPr>
      <w:r>
        <w:rPr>
          <w:b w:val="0"/>
          <w:i w:val="0"/>
        </w:rPr>
        <w:t xml:space="preserve">4. Một số bang, bao gồm New York và Delaware, đã thông qua đạo luật kết hợp kinh doanh (business combination statute). </w:t>
      </w:r>
      <w:r>
        <w:rPr>
          <w:b w:val="0"/>
          <w:i/>
        </w:rPr>
        <w:t>Xem</w:t>
      </w:r>
      <w:r>
        <w:rPr>
          <w:b w:val="0"/>
          <w:i w:val="0"/>
        </w:rPr>
        <w:t xml:space="preserve"> Del. Code Ann. tit. 8, § 203. Những đạo luật này, đôi khi được gọi là đạo luật tạm hoãn sáp nhập (merger moratorium statute), cấm "kết hợp kinh doanh" với các cổ đông có lợi ích liên quan (những người sở hữu một tỷ lệ cổ phần nhất định, thường là 20%) nếu không có sự phê duyệt của hội đồng quản trị hoặc cổ đông trong một số năm nhất định. Những đạo luật này có thể ngăn cản các vụ thâu tóm như thế nào?</w:t>
      </w:r>
    </w:p>
    <w:p>
      <w:pPr>
        <w:spacing w:after="80"/>
      </w:pPr>
      <w:r>
        <w:rPr>
          <w:b w:val="0"/>
          <w:i w:val="0"/>
        </w:rPr>
        <w:t xml:space="preserve">5. Các đạo luật chống thâu tóm (anti-takeover statute) đã trở nên phổ biến. </w:t>
      </w:r>
      <w:r>
        <w:rPr>
          <w:b w:val="0"/>
          <w:i/>
        </w:rPr>
        <w:t>Xem</w:t>
      </w:r>
      <w:r>
        <w:rPr>
          <w:b w:val="0"/>
          <w:i w:val="0"/>
        </w:rPr>
        <w:t xml:space="preserve"> Roberta Romano, </w:t>
      </w:r>
      <w:r>
        <w:rPr>
          <w:b w:val="0"/>
          <w:i/>
        </w:rPr>
        <w:t>The States as a Laboratory: Legal Innovation and State Competition for Corporate Charters</w:t>
      </w:r>
      <w:r>
        <w:rPr>
          <w:b w:val="0"/>
          <w:i w:val="0"/>
        </w:rPr>
        <w:t>, 23 Yale J. on Reg. 209, 215 (2006) (xác định rằng 43 bang đã có các đạo luật chống thâu tóm "thế hệ thứ hai"). Với việc sử dụng rộng rãi các viên thuốc độc (poison pill) và các chiến thuật chống thâu tóm khác, liệu những đạo luật này có cần thiết không?</w:t>
      </w:r>
    </w:p>
    <w:p>
      <w:pPr>
        <w:pStyle w:val="Heading3"/>
      </w:pPr>
      <w:r>
        <w:rPr>
          <w:rFonts w:ascii="Calibri" w:hAnsi="Calibri"/>
          <w:b/>
          <w:i w:val="0"/>
          <w:sz w:val="26"/>
        </w:rPr>
        <w:t>B. Vai trò của Hội đồng quản trị công ty mục tiêu trong các vụ thâu tóm thù địch</w:t>
      </w:r>
    </w:p>
    <w:p>
      <w:pPr>
        <w:spacing w:after="80"/>
      </w:pPr>
      <w:r>
        <w:rPr>
          <w:b w:val="0"/>
          <w:i w:val="0"/>
        </w:rPr>
        <w:t>Hầu hết sự phản kháng đối với các đề nghị mua lại thù địch, tuy nhiên, lại diễn ra ở cấp hội đồng quản trị. Các hội đồng quản trị có vô số cách phản ứng khác nhau đến chóng mặt trước những nỗ lực thâu tóm ngoài ý muốn. Chúng trải dài từ các quyền chọn khóa (lock-up options) cho những tài sản quý giá nhất, đến chiến thuật tiêu thổ (scorched earth), cho tới các viên thuốc độc (poison pills). Những chiến thuật này được thiết kế để khiến bên thâu tóm bỏ cuộc, qua đó tước đi quyền bán cổ phần của cổ đông, thường là với mức giá cao hơn đáng kể.</w:t>
      </w:r>
    </w:p>
    <w:p>
      <w:pPr>
        <w:spacing w:after="80"/>
      </w:pPr>
      <w:r>
        <w:rPr>
          <w:b w:val="0"/>
          <w:i w:val="0"/>
        </w:rPr>
        <w:t>Sự phản kháng của hội đồng quản trị có thời điểm đã làm dấy lên một cuộc tranh luận học thuật nghiêm túc về vai trò thích hợp của các giám đốc trong quá trình mua lại. Cuộc tranh luận đưa ra hai quan điểm cực đoan: những người lập luận rằng hội đồng quản trị nên giữ vai trò thụ động và cấm mọi biện pháp phòng vệ, và những người lập luận rằng hội đồng quản trị nên có quyền tùy nghi gần như vô hạn trong khả năng phản kháng.</w:t>
      </w:r>
    </w:p>
    <w:p>
      <w:pPr>
        <w:pStyle w:val="Heading4"/>
      </w:pPr>
      <w:r>
        <w:rPr>
          <w:rFonts w:ascii="Calibri" w:hAnsi="Calibri"/>
          <w:b/>
          <w:i w:val="0"/>
          <w:sz w:val="23"/>
        </w:rPr>
        <w:t xml:space="preserve">Frank H. Easterbrook &amp; Daniel R. Fischel, </w:t>
      </w:r>
      <w:r>
        <w:rPr>
          <w:rFonts w:ascii="Calibri" w:hAnsi="Calibri"/>
          <w:b/>
          <w:i/>
          <w:sz w:val="23"/>
        </w:rPr>
        <w:t>The Proper Role of a</w:t>
      </w:r>
      <w:r>
        <w:br/>
      </w:r>
      <w:r>
        <w:rPr>
          <w:rFonts w:ascii="Calibri" w:hAnsi="Calibri"/>
          <w:b/>
          <w:i/>
          <w:sz w:val="23"/>
        </w:rPr>
        <w:t xml:space="preserve"> Target's Management in Responding to a Tender Offer</w:t>
      </w:r>
    </w:p>
    <w:p>
      <w:pPr>
        <w:spacing w:after="80"/>
      </w:pPr>
      <w:r>
        <w:rPr>
          <w:b w:val="0"/>
          <w:i w:val="0"/>
        </w:rPr>
        <w:t>94 Harv. L. Rev. 1161, 1173–75 (1981)</w:t>
      </w:r>
    </w:p>
    <w:p>
      <w:pPr>
        <w:spacing w:after="80"/>
      </w:pPr>
      <w:r>
        <w:rPr>
          <w:b w:val="0"/>
          <w:i w:val="0"/>
        </w:rPr>
        <w:t>Các đề nghị mua lại (tender offers) là một phương thức giám sát công việc của các đội ngũ quản lý. Những người có ý định mua lại tiềm năng giám sát hiệu quả hoạt động của các đội ngũ quản lý bằng cách so sánh giá trị tiềm năng của một công ty với giá trị của nó (thể hiện qua giá cổ phiếu) dưới sự quản lý hiện tại. Khi khoảng cách giữa giá thị trường cổ phiếu của một công ty và mức giá mà cổ phiếu đó có thể đạt được trong những hoàn cảnh khác trở nên quá lớn, một người ngoài có thể thu lợi bằng cách mua lại công ty và cải thiện bộ máy quản lý của nó. Người ngoài này giảm bớt vấn đề ăn theo (free riding problem) vì họ sở hữu phần lớn cổ phần. Nguồn gốc của khoản phụ trội (premium) chính là việc cắt giảm chi phí đại diện (agency costs), khiến tài sản của công ty trở nên có giá trị hơn trong tay bên thâu tóm so với khi nằm trong tay các nhà quản lý của công ty.</w:t>
      </w:r>
    </w:p>
    <w:p>
      <w:pPr>
        <w:spacing w:after="80"/>
      </w:pPr>
      <w:r>
        <w:rPr>
          <w:b w:val="0"/>
          <w:i w:val="0"/>
        </w:rPr>
        <w:t>Tất cả các bên đều hưởng lợi trong quá trình này. Cổ đông của công ty mục tiêu được lợi vì họ nhận được mức giá cao hơn giá thị trường. Bên chào mua thu được phần chênh lệch giữa giá trị mới của công ty và khoản thanh toán cho các cổ đông cũ. Các cổ đông không chào bán cổ phần cũng nhận được một phần giá trị gia tăng của cổ phiếu.</w:t>
      </w:r>
    </w:p>
    <w:p>
      <w:pPr>
        <w:spacing w:after="80"/>
      </w:pPr>
      <w:r>
        <w:rPr>
          <w:b w:val="0"/>
          <w:i w:val="0"/>
        </w:rPr>
        <w:t>Điều đáng chú ý hơn đối với mục đích của chúng ta là cổ đông được hưởng lợi ngay cả khi công ty của họ không bao giờ trở thành đối tượng của một đề nghị mua lại. Quá trình giám sát bởi những người ngoài tạo ra mối đe dọa thường trực về việc bị thâu tóm nếu hiệu quả hoạt động sa sút. Các nhà quản lý sẽ cố gắng cắt giảm chi phí đại diện để giảm khả năng bị thâu tóm, và quá trình cắt giảm chi phí đại diện này dẫn đến giá cổ phiếu cao hơn. Giờ chúng ta sẽ khám phá xem những cách phản ứng khác nhau trước các đề nghị thâu tóm ảnh hưởng như thế nào đến mức lợi ích thu được từ việc giám sát bởi người ngoài trước khi có bất kỳ đề nghị nào.</w:t>
      </w:r>
    </w:p>
    <w:p>
      <w:pPr>
        <w:spacing w:after="80"/>
      </w:pPr>
      <w:r>
        <w:rPr>
          <w:b w:val="0"/>
          <w:i/>
        </w:rPr>
        <w:t>B. Hệ quả của các chiến thuật phòng vệ từ phía ban quản lý</w:t>
      </w:r>
    </w:p>
    <w:p>
      <w:pPr>
        <w:spacing w:after="80"/>
      </w:pPr>
      <w:r>
        <w:rPr>
          <w:b w:val="0"/>
          <w:i/>
        </w:rPr>
        <w:t>i. Sự phản kháng và chi phí đại diện.</w:t>
      </w:r>
      <w:r>
        <w:rPr>
          <w:b w:val="0"/>
          <w:i w:val="0"/>
        </w:rPr>
        <w:t xml:space="preserve"> —Lập luận trình bày ở trên đã chứng minh rằng các vụ thâu tóm mang lại lợi ích cho cả cổ đông lẫn xã hội. Từ đó suy ra rằng bất kỳ chiến lược nào nhằm ngăn chặn các đề nghị mua lại đều làm giảm phúc lợi. Nếu công ty áp dụng chính sách phản kháng cứng rắn và thành công trong việc duy trì sự độc lập của mình, cổ đông sẽ mất đi khoản phụ trội so với giá trị thị trường mà bên chào mua đã đề nghị, hoặc lẽ ra đã đề nghị nếu không có sự phản kháng hay triển vọng về sự phản kháng. Khoản phụ trội bị mất này phản ánh một lợi ích xã hội bị bỏ lỡ từ việc sử dụng tài sản của công ty một cách hiệu quả hơn.</w:t>
      </w:r>
    </w:p>
    <w:p>
      <w:pPr>
        <w:spacing w:after="80"/>
      </w:pPr>
      <w:r>
        <w:rPr>
          <w:b w:val="0"/>
          <w:i w:val="0"/>
        </w:rPr>
        <w:t>Tuy nhiên, các nhà quản lý của công ty mục tiêu lại có lợi ích đáng kể trong việc duy trì sự độc lập của công ty, qua đó bảo toàn mức lương và địa vị của họ; họ càng quản lý kém hiệu quả bao nhiêu thì lợi ích của họ trong việc ngăn chặn một vụ thâu tóm càng lớn bấy nhiêu. Họ có thể ngụy trang một chính sách phản kháng mọi đề nghị thành một chính sách tìm kiếm đề nghị tốt hơn bất kỳ đề nghị nào đã đưa ra. Nhiều cẩm nang chi tiết mô tả cả các mưu kế phản kháng lẫn các phương pháp ngụy trang. Không có dấu hiệu nào phân biệt được sự phản kháng cứng rắn với những nỗ lực chân thành nhằm tổ chức một cuộc đấu giá vì lợi ích của cổ đông. Việc đề nghị mua lại đầu tiên hay bất kỳ đề nghị nào sau đó bị đánh bại cũng cung cấp rất ít thông tin, bởi vì bất kỳ người đấu giá nào cũng hiểu rằng những nỗ lực quyết tâm nhằm thu được mức giá cao nhất có thể dẫn đến việc không bán được gì cả trong ngắn hạn.</w:t>
      </w:r>
    </w:p>
    <w:p>
      <w:pPr>
        <w:spacing w:after="80"/>
      </w:pPr>
      <w:r>
        <w:rPr>
          <w:b w:val="0"/>
          <w:i w:val="0"/>
        </w:rPr>
        <w:t>Ngay cả sự phản kháng cuối cùng dẫn đến một đề nghị cao hơn cũng gây lãng phí cho xã hội. Mặc dù cổ đông của công ty mục tiêu có thể nhận được mức giá cao hơn, nhưng những khoản lợi này lại được bù trừ chính xác bằng khoản thanh toán của bên chào mua, và do đó là một tổn thất đối với cổ đông của bên chào mua. Xét trên tổng thể, cổ đông không thu được gì; phần tăng giá chỉ đơn thuần là một khoản thanh toán chuyển giao từ cổ đông của bên chào mua sang cổ đông của công ty mục tiêu. Thật vậy, vì quá trình phản kháng tiêu tốn nguồn lực thực, nên toàn bộ cổ đông nói chung bị thiệt đúng bằng số tiền mà các công ty mục tiêu chi cho việc phản kháng cộng với số tiền mà bên chào mua và bất kỳ đối thủ nào chi để vượt qua sự phản kháng. Những chi phí phát sinh thêm này có thể rất lớn.</w:t>
      </w:r>
    </w:p>
    <w:p>
      <w:pPr>
        <w:pStyle w:val="Heading4"/>
      </w:pPr>
      <w:r>
        <w:rPr>
          <w:rFonts w:ascii="Calibri" w:hAnsi="Calibri"/>
          <w:b/>
          <w:i w:val="0"/>
          <w:sz w:val="23"/>
        </w:rPr>
        <w:t xml:space="preserve">Martin Lipton, </w:t>
      </w:r>
      <w:r>
        <w:rPr>
          <w:rFonts w:ascii="Calibri" w:hAnsi="Calibri"/>
          <w:b/>
          <w:i/>
          <w:sz w:val="23"/>
        </w:rPr>
        <w:t>Takeover Bids in the Target's Boardroom</w:t>
      </w:r>
    </w:p>
    <w:p>
      <w:pPr>
        <w:spacing w:after="80"/>
      </w:pPr>
      <w:r>
        <w:rPr>
          <w:b w:val="0"/>
          <w:i w:val="0"/>
        </w:rPr>
        <w:t>35 Bus. Law. 101 (1979)</w:t>
      </w:r>
    </w:p>
    <w:p>
      <w:pPr>
        <w:spacing w:after="80"/>
      </w:pPr>
      <w:r>
        <w:rPr>
          <w:b w:val="0"/>
          <w:i w:val="0"/>
        </w:rPr>
        <w:t>Giả sử rằng một kẻ thâu tóm đưa ra một đề nghị thâu tóm chắc chắn với mức phụ trội đáng kể, liệu các giám đốc có phải bỏ qua những câu hỏi về tính hợp lý của mức giá, tính hợp pháp của việc thâu tóm, tác động đến nhân viên, khách hàng, nhà cung cấp, cộng đồng và chính sách quốc gia, để mặc cổ đông tự quyết định hay không?</w:t>
      </w:r>
    </w:p>
    <w:p>
      <w:pPr>
        <w:spacing w:after="80"/>
      </w:pPr>
      <w:r>
        <w:rPr>
          <w:b w:val="0"/>
          <w:i w:val="0"/>
        </w:rPr>
        <w:t xml:space="preserve">Trong phần thảo luận này, sẽ giả định rằng những người nắm giữ phần lớn cổ phần của công ty mục tiêu sẽ chấp nhận đề nghị. Đây là điều đã xảy ra trong gần như mọi đề nghị mua lại trong 5 năm qua. . . . Việc ban quản lý không thuyết phục được cổ đông từ chối chấp nhận một đề nghị mua lại là kết quả của nhiều yếu tố. Thứ nhất, động lực đặc biệt của một đề nghị mua lại khiến cho quyết định của cổ đông gần như luôn là điều đã được định sẵn—họ sẽ chào bán cổ phần, do đó nói về một sự lựa chọn tự do của cổ đông là hoàn toàn gây nhầm lẫn. Sự tồn tại của một đề nghị thâu tóm quyền kiểm soát một công ty khiến cho cổ đông của công ty mục tiêu gần như không thể giữ lại cổ phần của mình một cách khôn ngoan, trừ khi họ làm vậy nhằm mục đích đổi chúng trong một cuộc trao đổi miễn thuế được hứa hẹn sau đó. Một khi kẻ thâu tóm đã giành được quyền kiểm soát—và cổ đông công ty mục tiêu phải giả định rằng kẻ thâu tóm sẽ giành được quyền kiểm soát—thì rất khó có khả năng cổ đông sẽ nhận được mức giá cao hơn mức giá được đề nghị ban đầu: vì không có khả năng có một đề nghị cạnh tranh với giá cao hơn, thị trường giao dịch công khai (nếu vẫn còn tồn tại) sẽ bị giới hạn ở mức giá được đề nghị trong đợt chào mua, và kẻ thâu tóm khó có thể đề nghị trả nhiều hơn cho cổ phần của công ty mục tiêu một khi đã đạt được quyền kiểm soát. Việc giữ lại cổ phần của công ty mục tiêu khi đối mặt với một đề nghị mua lại sẽ không mang lại lợi ích gì cho cổ đông. Anh ta có khả năng bị buộc phải rút lui thông qua một vụ sáp nhập vào một thời điểm sau đó với cùng mức giá mà anh ta lẽ ra có thể thực hiện được ngay từ đề nghị ban đầu. Kết quả của một cuộc trưng cầu ý kiến cổ đông được tiến hành dưới hình thức một đề nghị mua lại không thể được nói một cách thực tế là phản ánh sự đánh giá cẩn thận về những ưu điểm hay nhược điểm của đề nghị. Mỗi cổ đông cá nhân phải nhìn vào lợi ích của chính mình và phải thực dụng mà giả định rằng hầu hết các cổ đông khác sẽ chào bán cổ phần, dẫn đến việc cổ đông không chào bán sẽ bị bỏ lại trong tình thế nắm giữ một khoản đầu tư thiểu số, kém thanh khoản. Do đó, bất kỳ quyết định nào không bị ép buộc </w:t>
      </w:r>
      <w:r>
        <w:rPr>
          <w:b w:val="0"/>
          <w:i/>
        </w:rPr>
        <w:t>chống lại</w:t>
      </w:r>
      <w:r>
        <w:rPr>
          <w:b w:val="0"/>
          <w:i w:val="0"/>
        </w:rPr>
        <w:t xml:space="preserve"> việc chấp nhận một đề nghị mua lại </w:t>
      </w:r>
      <w:r>
        <w:rPr>
          <w:b w:val="0"/>
          <w:i/>
        </w:rPr>
        <w:t>chỉ có thể</w:t>
      </w:r>
      <w:r>
        <w:rPr>
          <w:b w:val="0"/>
          <w:i w:val="0"/>
        </w:rPr>
        <w:t xml:space="preserve"> được đưa ra ở cấp hội đồng quản trị.</w:t>
      </w:r>
    </w:p>
    <w:p>
      <w:pPr>
        <w:spacing w:after="80"/>
      </w:pPr>
      <w:r>
        <w:rPr>
          <w:b w:val="0"/>
          <w:i w:val="0"/>
        </w:rPr>
        <w:t xml:space="preserve">Yếu tố thứ hai giải thích cho việc cổ đông chấp nhận các đề nghị mua lại là sự dịch chuyển cổ phần từ các cá nhân sang các nhà quản lý đầu tư chuyên nghiệp trong 30 năm qua; một sự dịch chuyển song hành chặt chẽ với sự phát triển của các tổ chức như quỹ hưu trí, quỹ tư nhân và quỹ tương hỗ. Ngày nay, quyền kiểm soát thực tế, </w:t>
      </w:r>
      <w:r>
        <w:rPr>
          <w:b w:val="0"/>
          <w:i/>
        </w:rPr>
        <w:t>tức là</w:t>
      </w:r>
      <w:r>
        <w:rPr>
          <w:b w:val="0"/>
          <w:i w:val="0"/>
        </w:rPr>
        <w:t xml:space="preserve"> , 20 phần trăm đến 50 phần trăm cổ phần của một số lượng lớn các tập đoàn lớn, nằm trong tay các nhà đầu tư chuyên nghiệp. Đúng như A.A. Berle đã dự đoán, chúng ta giờ đây đã đạt đến giai đoạn cấp ba của chủ nghĩa tư bản. Quyền kiểm soát nền kinh doanh Mỹ đã chuyển từ các cổ đông sáng lập sang các nhà quản lý chuyên nghiệp, những người nắm quyền thống trị cho đến những năm 1970, và giờ đây, ít nhất là theo nghĩa khả năng kiểm soát trong trường hợp có một đề nghị mua lại hoặc một cuộc tranh giành quyền đại diện, lại chuyển sang tay các nhà quản lý chuyên nghiệp của các quỹ hưu trí, quỹ tư nhân và quỹ tương hỗ. Ngoài lượng cổ phần do các nhà đầu tư tổ chức nắm giữ, các nhà kinh doanh chênh lệch giá chuyên nghiệp và nghiệp dư cũng thường xuyên mua 10 phần trăm đến 50 phần trăm cổ phần của một công ty mục tiêu. Trong khi một phần cổ phiếu kinh doanh chênh lệch giá đến từ các tổ chức, thì không hiếm khi các tổ chức và nhà kinh doanh chênh lệch giá cùng nhau nhanh chóng nắm giữ quyền lợi lớn hơn 50 phần trăm trong một công ty mục tiêu, và do đó có khả năng quyết định vận mệnh của nó. Rất hiếm khi một công ty mục tiêu tồn tại được với tư cách một công ty độc lập sau khi tình huống như vậy phát triển.</w:t>
      </w:r>
    </w:p>
    <w:p>
      <w:pPr>
        <w:spacing w:after="80"/>
      </w:pPr>
      <w:r>
        <w:rPr>
          <w:b w:val="0"/>
          <w:i w:val="0"/>
        </w:rPr>
        <w:t>Mối quan tâm duy nhất của kẻ kinh doanh chênh lệch giá là bán nhanh để kiếm lời. Một số tổ chức có thể có tầm nhìn đầu tư dài hạn hơn, nhưng trong cuộc cạnh tranh thể hiện hiệu suất giữa các nhà quản lý đầu tư chuyên nghiệp, sức hút của việc cải thiện hiệu suất và khả năng của các quỹ được miễn thuế trong việc hiện thực hóa lợi nhuận mà không phải chịu bất kỳ khoản thuế nào hầu như luôn dẫn đến quyết định bán ngay cả khi không có khoản đầu tư dài hạn nào hấp dẫn hơn. Thường thì quyết định bán này được thúc đẩy một phần bởi mong muốn tránh trở thành người nắm giữ thiểu số—thường đi kèm với việc mất tính thanh khoản thị trường—trong một mục tiêu sẽ bị kẻ thâu tóm kiểm soát. Điều này đúng ngay cả khi quyền kiểm soát dưới 50%.</w:t>
      </w:r>
    </w:p>
    <w:p>
      <w:pPr>
        <w:spacing w:after="80"/>
      </w:pPr>
      <w:r>
        <w:rPr>
          <w:b w:val="0"/>
          <w:i w:val="0"/>
        </w:rPr>
        <w:t>* * *</w:t>
      </w:r>
    </w:p>
    <w:p>
      <w:pPr>
        <w:spacing w:after="80"/>
      </w:pPr>
      <w:r>
        <w:rPr>
          <w:b w:val="0"/>
          <w:i w:val="0"/>
        </w:rPr>
        <w:t xml:space="preserve">Ngay cả khi đối mặt với một tập đoàn </w:t>
      </w:r>
      <w:r>
        <w:rPr>
          <w:b w:val="0"/>
          <w:i/>
        </w:rPr>
        <w:t>ad hoc</w:t>
      </w:r>
      <w:r>
        <w:rPr>
          <w:b w:val="0"/>
          <w:i w:val="0"/>
        </w:rPr>
        <w:t xml:space="preserve"> như vậy, sự cần thiết từ các quan điểm công nghệ, xã hội và kinh tế đối với việc lập kế hoạch dài hạn của doanh nghiệp đòi hỏi một quyết định chính sách ủng hộ việc không bắt buộc các quyết định bỏ qua hoặc trừng phạt việc lập kế hoạch dài hạn. Thay vì buộc các giám đốc chỉ xem xét lợi ích ngắn hạn của một số cổ đông nhất định, chính sách quốc gia yêu cầu các giám đốc cũng phải xem xét lợi ích dài hạn của các cổ đông và của công ty như một thực thể kinh doanh với tất cả các bên liên quan, bên cạnh các cổ đông ngắn hạn và tổ chức. Sẽ có một lập luận thuyết phục cho kết quả này ngay cả khi kinh nghiệm đã chứng minh rằng tất cả các thương vụ thâu tóm đều tốt hơn cho các cổ đông của mục tiêu nếu họ bán ở mức giá thâu tóm. Vì kinh nghiệm chứng minh rằng quyết định bán hay duy trì độc lập là không rõ ràng, và ngay cả khi đo lường bằng cách so sánh giá chào bán bị từ chối với giá thị trường, trong hơn 50 phần trăm các thương vụ thâu tóm bị từ chối, các cổ đông đã làm tốt hơn nhờ mục tiêu duy trì độc lập. Không có lý do gì để loại bỏ quyết định về một thương vụ thâu tóm khỏi phán đoán kinh doanh hợp lý của các giám đốc. Ngược lại, các cân nhắc chính sách áp đảo ủng hộ việc công nhận cụ thể rằng các giám đốc không chỉ có quyền đưa ra quyết định thâu tóm dựa trên phán đoán kinh doanh hợp lý của họ, mà còn phải xem xét các vấn đề kinh tế-xã hội vĩ mô cùng với lợi ích dài hạn của các cổ đông và của công ty như một thực thể kinh doanh.</w:t>
      </w:r>
    </w:p>
    <w:p>
      <w:pPr>
        <w:spacing w:after="80"/>
      </w:pPr>
      <w:r>
        <w:rPr>
          <w:b w:val="0"/>
          <w:i w:val="0"/>
        </w:rPr>
        <w:t>Nếu các cổ đông không hài lòng với việc các giám đốc từ chối một đề nghị thâu tóm, họ có quyền, thông qua bộ máy ủy quyền thông thường, thay thế các giám đốc hoặc chỉ thị cho các giám đốc chấp nhận một đề nghị thâu tóm. Tuy nhiên, quyền này không nên được chuyển hóa thành một yêu cầu tuyệt đối rằng các giám đốc phải chuyển giao cho các cổ đông quyền trực tiếp chấp nhận hoặc từ chối bất kỳ đề nghị thâu tóm nào. Làm như vậy sẽ tương đương với việc bắt buộc bán bất cứ khi nào có một đề nghị thâu tóm không được mời gọi.</w:t>
      </w:r>
    </w:p>
    <w:p>
      <w:pPr>
        <w:pStyle w:val="Heading5"/>
      </w:pPr>
      <w:r>
        <w:rPr>
          <w:rFonts w:ascii="Calibri" w:hAnsi="Calibri"/>
          <w:b/>
          <w:i/>
          <w:sz w:val="22"/>
        </w:rPr>
        <w:t>Bình luận và Câu hỏi</w:t>
      </w:r>
    </w:p>
    <w:p>
      <w:pPr>
        <w:spacing w:after="80"/>
      </w:pPr>
      <w:r>
        <w:rPr>
          <w:b w:val="0"/>
          <w:i w:val="0"/>
        </w:rPr>
        <w:t>1. Giáo sư Fischel và hiện nay là Thẩm phán Easterbrook nổi tiếng với vai trò của họ trong phong trào luật và kinh tế học cũng như trong việc áp dụng phân tích kinh tế vào luật công ty. Bạn nghĩ gì về việc áp dụng các nguyên tắc này vào thị trường kiểm soát công ty?</w:t>
      </w:r>
    </w:p>
    <w:p>
      <w:pPr>
        <w:spacing w:after="80"/>
      </w:pPr>
      <w:r>
        <w:rPr>
          <w:b w:val="0"/>
          <w:i w:val="0"/>
        </w:rPr>
        <w:t>2. Khẳng định rằng các thương vụ thâu tóm thù địch là cần thiết để kỷ luật ban quản lý kém hiệu quả là một quan điểm được lặp đi lặp lại rộng rãi và được chấp nhận nhiều trong giới học thuật. Bạn có đồng ý với quan điểm này không? Bạn có thể đưa ra phê bình gì?</w:t>
      </w:r>
    </w:p>
    <w:p>
      <w:pPr>
        <w:spacing w:after="80"/>
      </w:pPr>
      <w:r>
        <w:rPr>
          <w:b w:val="0"/>
          <w:i w:val="0"/>
        </w:rPr>
        <w:t xml:space="preserve">3. Các số liệu thống kê về lợi ích kinh tế của các thương vụ mua lại thù địch là hỗn hợp. Chúng rõ ràng mang lại lợi ích cho các cổ đông của công ty mục tiêu. </w:t>
      </w:r>
      <w:r>
        <w:rPr>
          <w:b w:val="0"/>
          <w:i/>
        </w:rPr>
        <w:t>Xem</w:t>
      </w:r>
      <w:r>
        <w:rPr>
          <w:b w:val="0"/>
          <w:i w:val="0"/>
        </w:rPr>
        <w:t xml:space="preserve"> Gregg A. Jarrell et al., </w:t>
      </w:r>
      <w:r>
        <w:rPr>
          <w:b w:val="0"/>
          <w:i/>
        </w:rPr>
        <w:t>The Market for Corporate Control: The Empirical Evidence Since 1980</w:t>
      </w:r>
      <w:r>
        <w:rPr>
          <w:b w:val="0"/>
          <w:i w:val="0"/>
        </w:rPr>
        <w:t xml:space="preserve"> , 2 J. Econ. Persp. 49, 51 (1988) (lưu ý rằng “từ 1980 đến 1985 mức phí bảo hiểm trung bình là 30 phần trăm.”). </w:t>
      </w:r>
      <w:r>
        <w:rPr>
          <w:b w:val="0"/>
          <w:i/>
        </w:rPr>
        <w:t>Xem thêm</w:t>
      </w:r>
      <w:r>
        <w:rPr>
          <w:b w:val="0"/>
          <w:i w:val="0"/>
        </w:rPr>
        <w:t xml:space="preserve"> Jensen &amp; Ruback, </w:t>
      </w:r>
      <w:r>
        <w:rPr>
          <w:b w:val="0"/>
          <w:i/>
        </w:rPr>
        <w:t>The Market for Corporate Control</w:t>
      </w:r>
      <w:r>
        <w:rPr>
          <w:b w:val="0"/>
          <w:i w:val="0"/>
        </w:rPr>
        <w:t xml:space="preserve"> , 11 J. Fin. Econ. 5, 10 (1983) (“Mười ba nghiên cứu [được thảo luận trong bài báo] chỉ ra rằng các mục tiêu của những nỗ lực thâu tóm thành công đã giải phóng sự gia tăng đáng kể và có ý nghĩa thống kê trong giá cổ phiếu của họ.”). Tuy nhiên, bằng chứng liên quan đến các cổ đông của bên chào mua lại ít rõ ràng hơn. Chẳng hạn, Jensen và Ruback kết luận rằng “lợi nhuận đối với các công ty </w:t>
      </w:r>
      <w:r>
        <w:rPr>
          <w:b w:val="0"/>
          <w:i/>
        </w:rPr>
        <w:t>chào mua thành công</w:t>
      </w:r>
      <w:r>
        <w:rPr>
          <w:b w:val="0"/>
          <w:i w:val="0"/>
        </w:rPr>
        <w:t xml:space="preserve"> trong các </w:t>
      </w:r>
      <w:r>
        <w:rPr>
          <w:b w:val="0"/>
          <w:i/>
        </w:rPr>
        <w:t>thương vụ sáp nhập</w:t>
      </w:r>
      <w:r>
        <w:rPr>
          <w:b w:val="0"/>
          <w:i w:val="0"/>
        </w:rPr>
        <w:t xml:space="preserve"> là bằng không.” </w:t>
      </w:r>
      <w:r>
        <w:rPr>
          <w:b w:val="0"/>
          <w:i/>
        </w:rPr>
        <w:t>Id.</w:t>
      </w:r>
      <w:r>
        <w:rPr>
          <w:b w:val="0"/>
          <w:i w:val="0"/>
        </w:rPr>
        <w:t xml:space="preserve"> at 22 (nhấn mạnh trong bản gốc) (mặc dù lưu ý một “lợi nhuận bất thường dương nhỏ” đối với các công ty chào mua thành công trong các đề nghị mua lại). Tại sao cổ phiếu của bên chào mua lại có thể không tăng?</w:t>
      </w:r>
    </w:p>
    <w:p>
      <w:pPr>
        <w:spacing w:after="80"/>
      </w:pPr>
      <w:r>
        <w:rPr>
          <w:b w:val="0"/>
          <w:i w:val="0"/>
        </w:rPr>
        <w:t>4. Bạn có đồng ý với ông Lipton rằng các cổ đông cần sự bảo vệ của ban quản lý khỏi các thương vụ thâu tóm thù địch không? Có phải đó là một “kết luận đã định trước” rằng họ sẽ luôn chào bán, bất kể giá trị của đề nghị? Có thể đưa ra phê bình gì đối với quan điểm thay thế rằng các chiến thuật phòng thủ nên hoàn toàn thuộc quyền quyết định của hội đồng quản trị?</w:t>
      </w:r>
    </w:p>
    <w:p>
      <w:pPr>
        <w:spacing w:after="80"/>
      </w:pPr>
      <w:r>
        <w:rPr>
          <w:b w:val="0"/>
          <w:i w:val="0"/>
        </w:rPr>
        <w:t>5. Ông Lipton dường như lập luận rằng ban quản lý nên được phép “chỉ nói không” với một đề nghị theo lý thuyết rằng ban quản lý có nghĩa vụ bảo vệ lợi ích dài hạn của công ty. Bạn có đồng ý với lập luận này không? Trong phạm vi các cổ đông phản đối, ông Lipton khẳng định rằng bộ máy ủy quyền cung cấp một con đường hiệu quả cho các cổ đông. Ông ấy có đúng về điểm này không?</w:t>
      </w:r>
    </w:p>
    <w:p>
      <w:pPr>
        <w:spacing w:after="80"/>
      </w:pPr>
      <w:r>
        <w:rPr>
          <w:b w:val="0"/>
          <w:i w:val="0"/>
        </w:rPr>
        <w:t xml:space="preserve">6. Rất nhiều điều đã thay đổi kể từ khi cuộc tranh luận này diễn ra. Bạn có nghĩ rằng hoàn cảnh trong những năm xen giữa đã cung cấp bằng chứng thực nghiệm để ủng hộ quan điểm này hơn quan điểm kia không? So sánh các ý kiến được viết bởi Thẩm phán Posner và Easterbrook trong </w:t>
      </w:r>
      <w:r>
        <w:rPr>
          <w:b w:val="0"/>
          <w:i/>
        </w:rPr>
        <w:t>Jones v. Harris</w:t>
      </w:r>
      <w:r>
        <w:rPr>
          <w:b w:val="0"/>
          <w:i w:val="0"/>
        </w:rPr>
        <w:t xml:space="preserve"> được trích dẫn trong Chương 6 . Bạn nghĩ gì về những ý kiến này?</w:t>
      </w:r>
    </w:p>
    <w:p>
      <w:pPr>
        <w:spacing w:after="80"/>
      </w:pPr>
      <w:r>
        <w:rPr>
          <w:b w:val="0"/>
          <w:i w:val="0"/>
        </w:rPr>
        <w:t>7. Trong một bài báo được viết một phần tư thế kỷ sau bài viết mang tính bước ngoặt được trích dẫn ở đây, ông Lipton một lần nữa nêu lên những lo ngại về khả năng suy yếu vai trò của các hội đồng quản trị trong quá trình quản trị, mặc dù không phải do các thương vụ thâu tóm thù địch. Như ông đã tuyên bố:</w:t>
      </w:r>
    </w:p>
    <w:p>
      <w:pPr>
        <w:spacing w:after="80"/>
      </w:pPr>
      <w:r>
        <w:rPr>
          <w:b w:val="0"/>
          <w:i w:val="0"/>
        </w:rPr>
        <w:t>Các đề xuất thiết kế quá mức thành phần hội đồng quản trị, áp dụng các định nghĩa chặt chẽ hơn về tính độc lập của giám đốc, giới hạn số lượng và hình thức thù lao điều hành và tăng “quyền lực cổ đông,” cùng với việc gia tăng các biểu hiện ảnh hưởng của các cổ đông có lợi ích đặc biệt (thông qua, ví dụ, các chiến dịch giữ lại phiếu bầu và sự khăng khăng đòi đóng góp cá nhân của các giám đốc vào việc giải quyết các vụ kiện phái sinh), một lần nữa đe dọa làm xói mòn các nguyên tắc cơ bản làm nền tảng cho quy tắc phán đoán kinh doanh và cho phép hội đồng quản trị hoạt động theo cách thức doanh nhân.</w:t>
      </w:r>
    </w:p>
    <w:p>
      <w:pPr>
        <w:spacing w:after="80"/>
      </w:pPr>
      <w:r>
        <w:rPr>
          <w:b w:val="0"/>
          <w:i w:val="0"/>
        </w:rPr>
        <w:t xml:space="preserve">Martin Lipton, </w:t>
      </w:r>
      <w:r>
        <w:rPr>
          <w:b w:val="0"/>
          <w:i/>
        </w:rPr>
        <w:t>Twenty-Five Years After Takeover Bids in the Target's Boardroom: Old Battles, New Attacks and the Continuing War</w:t>
      </w:r>
      <w:r>
        <w:rPr>
          <w:b w:val="0"/>
          <w:i w:val="0"/>
        </w:rPr>
        <w:t xml:space="preserve"> , 60 Bus. Law. 1369, 1370 (2005). Bạn có đồng ý không? Điều này gợi ý gì về động lực diễn ra trong cuộc tranh luận về quản trị công ty?</w:t>
      </w:r>
    </w:p>
    <w:p>
      <w:pPr>
        <w:spacing w:after="80"/>
      </w:pPr>
      <w:r>
        <w:rPr>
          <w:b w:val="0"/>
          <w:i w:val="0"/>
        </w:rPr>
        <w:t>—————</w:t>
      </w:r>
    </w:p>
    <w:p>
      <w:pPr>
        <w:spacing w:after="80"/>
      </w:pPr>
      <w:r>
        <w:rPr>
          <w:b w:val="0"/>
          <w:i w:val="0"/>
        </w:rPr>
        <w:t xml:space="preserve">Cuối cùng, cuộc tranh luận được giao cho các tòa án Delaware giải quyết. Tòa án Tối cao Delaware đã làm điều đó trong </w:t>
      </w:r>
      <w:r>
        <w:rPr>
          <w:b w:val="0"/>
          <w:i/>
        </w:rPr>
        <w:t>Unocal.</w:t>
      </w:r>
    </w:p>
    <w:p>
      <w:pPr>
        <w:pStyle w:val="Heading4"/>
      </w:pPr>
      <w:r>
        <w:rPr>
          <w:rFonts w:ascii="Calibri" w:hAnsi="Calibri"/>
          <w:b/>
          <w:i w:val="0"/>
          <w:sz w:val="23"/>
        </w:rPr>
        <w:t>Unocal Corp. v. Mesa Petroleum Co.</w:t>
      </w:r>
    </w:p>
    <w:p>
      <w:pPr>
        <w:spacing w:after="80"/>
      </w:pPr>
      <w:r>
        <w:rPr>
          <w:b w:val="0"/>
          <w:i w:val="0"/>
        </w:rPr>
        <w:t>Tòa án Tối cao Delaware</w:t>
      </w:r>
      <w:r>
        <w:br/>
      </w:r>
      <w:r>
        <w:rPr>
          <w:b w:val="0"/>
          <w:i w:val="0"/>
        </w:rPr>
        <w:t xml:space="preserve"> 493 A.2d 946 (1985)</w:t>
      </w:r>
    </w:p>
    <w:p>
      <w:pPr>
        <w:spacing w:after="80"/>
      </w:pPr>
      <w:r>
        <w:rPr>
          <w:b w:val="0"/>
          <w:i w:val="0"/>
        </w:rPr>
        <w:t>MOORE, THẨM PHÁN:</w:t>
      </w:r>
    </w:p>
    <w:p>
      <w:pPr>
        <w:spacing w:after="80"/>
      </w:pPr>
      <w:r>
        <w:rPr>
          <w:b w:val="0"/>
          <w:i w:val="0"/>
        </w:rPr>
        <w:t>Vào ngày 8 tháng 4 năm 1985, Mesa, chủ sở hữu khoảng 13% cổ phần của Unocal, đã khởi động một đề nghị mua bằng tiền mặt theo cấu trúc hai tầng "tầng trước nặng" (front loaded) cho 64 triệu cổ phần, tương đương khoảng 37% cổ phần đang lưu hành của Unocal, với giá $54 mỗi cổ phần. "Tầng sau" (back-end) được thiết kế để loại bỏ số cổ phần còn lại do công chúng nắm giữ thông qua việc trao đổi chứng khoán được cho là trị giá $54 mỗi cổ phần. Tuy nhiên, theo lệnh của Tòa án Quận Liên bang Hoa Kỳ cho Quận Trung tâm California ban hành ngày 26 tháng 4 năm 1985, Mesa đã phát hành một bản tuyên bố ủy quyền bổ sung gửi đến các cổ đông của Unocal, tiết lộ rằng các chứng khoán được đề nghị trong sáp nhập bước hai sẽ có mức độ thứ cấp cao (highly subordinated), và cơ cấu vốn của Unocal sẽ khác biệt đáng kể so với cấu trúc hiện tại. Unocal đã khá chính xác khi gọi những chứng khoán như vậy là "trái phiếu rác" (junk bonds).</w:t>
      </w:r>
    </w:p>
    <w:p>
      <w:pPr>
        <w:spacing w:after="80"/>
      </w:pPr>
      <w:r>
        <w:rPr>
          <w:b w:val="0"/>
          <w:i w:val="0"/>
        </w:rPr>
        <w:t>Hội đồng quản trị của Unocal bao gồm tám giám đốc bên ngoài độc lập và sáu giám đốc nội bộ. Hội đồng đã họp vào ngày 13 tháng 4 năm 1985 để xem xét đề nghị mua của Mesa. Mười ba giám đốc đã có mặt, và cuộc họp kéo dài chín tiếng rưỡi. . . . Mặc dù cuộc họp kéo dài chín tiếng rưỡi, không có quyết định chính thức nào được đưa ra về đề nghị tự mua lại phòng vệ (defensive self-tender) được đề xuất.</w:t>
      </w:r>
    </w:p>
    <w:p>
      <w:pPr>
        <w:spacing w:after="80"/>
      </w:pPr>
      <w:r>
        <w:rPr>
          <w:b w:val="0"/>
          <w:i w:val="0"/>
        </w:rPr>
        <w:t>Vào ngày 15 tháng 4, hội đồng quản trị họp lại với bốn giám đốc có mặt qua điện thoại và một thành viên vẫn vắng mặt. . . . Dựa trên lời khuyên này, và các cuộc thảo luận của chính hội đồng quản trị, các giám đốc đã nhất trí thông qua đề nghị trao đổi. Nghị quyết của họ quy định rằng nếu Mesa mua được 64 triệu cổ phần của Unocal thông qua đề nghị của chính mình (Điều kiện Mua của Mesa), Unocal sẽ mua 49% cổ phần còn lại đang lưu hành để trao đổi lấy chứng khoán nợ có tổng mệnh giá $72 mỗi cổ phần. Nghị quyết của hội đồng quản trị cũng tuyên bố rằng đề nghị này sẽ phụ thuộc vào các điều kiện khác đã được trình bày với hội đồng quản trị tại cuộc họp, hoặc được các cán bộ của Unocal cho là cần thiết, bao gồm việc loại trừ Mesa khỏi đề xuất (loại trừ Mesa). Bất kỳ điều kiện nào như vậy đều phải phù hợp với "mục đích và ý định" (purport and intent) của đề nghị.</w:t>
      </w:r>
    </w:p>
    <w:p>
      <w:pPr>
        <w:spacing w:after="80"/>
      </w:pPr>
      <w:r>
        <w:rPr>
          <w:b w:val="0"/>
          <w:i w:val="0"/>
        </w:rPr>
        <w:t>* * *</w:t>
      </w:r>
    </w:p>
    <w:p>
      <w:pPr>
        <w:spacing w:after="80"/>
      </w:pPr>
      <w:r>
        <w:rPr>
          <w:b w:val="0"/>
          <w:i w:val="0"/>
        </w:rPr>
        <w:t>Chúng tôi bắt đầu với vấn đề cơ bản về quyền hạn của hội đồng quản trị của một công ty Delaware trong việc áp dụng một biện pháp phòng vệ loại này. Nếu không có thẩm quyền đó, tất cả các câu hỏi khác đều trở nên vô nghĩa. Cả vấn đề công bằng lẫn phán đoán kinh doanh đều không liên quan nếu thiếu nền tảng cơ bản là quyền hạn pháp lý của hội đồng quản trị để hành động.</w:t>
      </w:r>
    </w:p>
    <w:p>
      <w:pPr>
        <w:spacing w:after="80"/>
      </w:pPr>
      <w:r>
        <w:rPr>
          <w:b w:val="0"/>
          <w:i w:val="0"/>
        </w:rPr>
        <w:t>Hội đồng quản trị có một nguồn quyền hạn dồi dào để khai thác. Các nhiệm vụ và trách nhiệm của hội đồng xuất phát từ các quyền hạn cố hữu được trao bởi 8 Del. C. § 141(a), liên quan đến việc quản lý "hoạt động kinh doanh và các vấn đề" của công ty. Ngoài ra, các quyền hạn được thực thi ở đây bắt nguồn từ 8 Del. C. § 160(a), trao quyền hạn rộng rãi cho một công ty trong việc giao dịch cổ phiếu của chính mình. Từ đó, hiện nay đã được xác lập rõ ràng rằng khi mua lại cổ phần của mình, một công ty Delaware có thể giao dịch một cách chọn lọc với các cổ đông của mình, miễn là các giám đốc không hành động với mục đích duy nhất hoặc chính yếu là để củng cố vị trí của mình trong bộ máy lãnh đạo. . . . Cuối cùng, quyền hạn hành động của hội đồng quản trị bắt nguồn từ nhiệm vụ và nghĩa vụ cơ bản của hội đồng là bảo vệ doanh nghiệp, bao gồm cả các cổ đông, khỏi những tổn hại được nhận thức một cách hợp lý, bất kể nguồn gốc của nó. . . . Do đó, chúng tôi hài lòng rằng trong bối cảnh rộng lớn của quản trị công ty, bao gồm các vấn đề về thay đổi cơ bản của công ty, hội đồng quản trị không phải là một công cụ thụ động.</w:t>
      </w:r>
    </w:p>
    <w:p>
      <w:pPr>
        <w:spacing w:after="80"/>
      </w:pPr>
      <w:r>
        <w:rPr>
          <w:b w:val="0"/>
          <w:i w:val="0"/>
        </w:rPr>
        <w:t>* * *</w:t>
      </w:r>
    </w:p>
    <w:p>
      <w:pPr>
        <w:spacing w:after="80"/>
      </w:pPr>
      <w:r>
        <w:rPr>
          <w:b w:val="0"/>
          <w:i w:val="0"/>
        </w:rPr>
        <w:t xml:space="preserve">Khi hội đồng quản trị đối mặt với một đề nghị thâu tóm đang chờ xử lý, hội đồng có nghĩa vụ xác định liệu đề nghị đó có vì lợi ích tốt nhất của công ty và các cổ đông hay không. Về phương diện đó, nhiệm vụ của hội đồng quản trị không khác gì bất kỳ trách nhiệm nào khác mà hội đồng đảm nhận, và các quyết định của hội đồng cũng phải được hưởng sự tôn trọng không kém gì những gì chúng vốn được hưởng trong lĩnh vực phán đoán kinh doanh. </w:t>
      </w:r>
      <w:r>
        <w:rPr>
          <w:b w:val="0"/>
          <w:i/>
        </w:rPr>
        <w:t>Xem thêm</w:t>
      </w:r>
      <w:r>
        <w:rPr>
          <w:b w:val="0"/>
          <w:i w:val="0"/>
        </w:rPr>
        <w:t xml:space="preserve"> Johnson v. Trueblood, 629 F.2d 287, 292–293 (3d Cir. 1980). Tuy nhiên, có một số lưu ý đối với việc thực hiện đúng đắn chức năng này. Bởi vì luôn hiện hữu mối lo ngại rằng hội đồng quản trị có thể đang hành động chủ yếu vì lợi ích của chính mình, thay vì vì lợi ích của công ty và các cổ đông, nên có một nghĩa vụ cao hơn đòi hỏi sự xem xét tư pháp ở ngưỡng ban đầu trước khi các biện pháp bảo vệ của quy tắc phán đoán kinh doanh (business judgment rule) có thể được áp dụng.</w:t>
      </w:r>
    </w:p>
    <w:p>
      <w:pPr>
        <w:spacing w:after="80"/>
      </w:pPr>
      <w:r>
        <w:rPr>
          <w:b w:val="0"/>
          <w:i w:val="0"/>
        </w:rPr>
        <w:t>. . . Đối mặt với xung đột cố hữu này, các giám đốc phải chứng minh rằng họ có cơ sở hợp lý để tin rằng có một mối nguy hiểm đối với chính sách và hiệu quả của công ty vì quyền sở hữu cổ phần của một người khác. Cheff v. Mathes, 199 A.2d tại 554–55. Tuy nhiên, họ thỏa mãn gánh nặng đó "bằng cách chứng minh thiện chí và điều tra hợp lý. . . ." Id. tại 555. Hơn nữa, bằng chứng như vậy được củng cố đáng kể, như trong trường hợp này, bởi sự chấp thuận của một hội đồng quản trị bao gồm đa số là các giám đốc bên ngoài độc lập, những người đã hành động phù hợp với các tiêu chuẩn nêu trên.</w:t>
      </w:r>
    </w:p>
    <w:p>
      <w:pPr>
        <w:spacing w:after="80"/>
      </w:pPr>
      <w:r>
        <w:rPr>
          <w:b w:val="0"/>
          <w:i w:val="0"/>
        </w:rPr>
        <w:t>* * *</w:t>
      </w:r>
    </w:p>
    <w:p>
      <w:pPr>
        <w:spacing w:after="80"/>
      </w:pPr>
      <w:r>
        <w:rPr>
          <w:b w:val="0"/>
          <w:i w:val="0"/>
        </w:rPr>
        <w:t>A.</w:t>
      </w:r>
    </w:p>
    <w:p>
      <w:pPr>
        <w:spacing w:after="80"/>
      </w:pPr>
      <w:r>
        <w:rPr>
          <w:b w:val="0"/>
          <w:i w:val="0"/>
        </w:rPr>
        <w:t>Trong việc hội đồng quản trị thực thi quyền hạn của công ty để ngăn chặn một đề nghị thâu tóm, phân tích của chúng tôi bắt đầu với nguyên tắc cơ bản rằng các giám đốc công ty có nghĩa vụ ủy thác (fiduciary duty) phải hành động vì lợi ích tốt nhất của các cổ đông công ty. Guth v. Loft, Inc., Del. Supr., 23 Del. Ch. 255, 5 A.2d 503, 510 (1939). Như chúng tôi đã lưu ý, nghĩa vụ cẩn trọng của họ mở rộng đến việc bảo vệ công ty và các chủ sở hữu của nó khỏi những tổn hại được nhận thức, bất kể mối đe dọa bắt nguồn từ bên thứ ba hay từ các cổ đông khác. Nhưng những quyền hạn như vậy không phải là tuyệt đối. Một công ty không có quyền tùy tiện không giới hạn để đánh bại bất kỳ mối đe dọa được nhận thức nào bằng bất kỳ phương tiện tàn khốc nào có sẵn.</w:t>
      </w:r>
    </w:p>
    <w:p>
      <w:pPr>
        <w:spacing w:after="80"/>
      </w:pPr>
      <w:r>
        <w:rPr>
          <w:b w:val="0"/>
          <w:i w:val="0"/>
        </w:rPr>
        <w:t>Hạn chế được đặt ra đối với việc mua lại cổ phần một cách chọn lọc là các giám đốc không được hành động chỉ vì hoặc chủ yếu vì mong muốn duy trì vị trí của mình trong bộ máy lãnh đạo. Xem Cheff v. Mathes, 199 A.2d tại 556; Kors v. Carey, 158 A.2d tại 140. Tất nhiên, thêm vào đó là lưu ý bổ sung rằng không được thực hiện hành động bất công dưới vỏ bọc pháp luật. Schnell v. Chris-Craft Industries, Inc., Del. Supr., 285 A.2d 437, 439 (1971). Tiêu chuẩn chứng minh được thiết lập trong Cheff v. Mathes và đã thảo luận ở trên tại trang 16, được thiết kế để đảm bảo rằng một biện pháp phòng vệ nhằm ngăn chặn hoặc cản trở một vụ thâu tóm thực sự được thúc đẩy bởi mối quan tâm thiện chí đối với phúc lợi của công ty và các cổ đông, điều mà trong mọi hoàn cảnh phải không có bất kỳ gian lận hay hành vi sai trái nào khác. Cheff v. Mathes, 199 A.2d tại 554–55. Tuy nhiên, điều này không kết thúc cuộc điều tra.</w:t>
      </w:r>
    </w:p>
    <w:p>
      <w:pPr>
        <w:spacing w:after="80"/>
      </w:pPr>
      <w:r>
        <w:rPr>
          <w:b w:val="0"/>
          <w:i w:val="0"/>
        </w:rPr>
        <w:t>B.</w:t>
      </w:r>
    </w:p>
    <w:p>
      <w:pPr>
        <w:spacing w:after="80"/>
      </w:pPr>
      <w:r>
        <w:rPr>
          <w:b w:val="0"/>
          <w:i w:val="0"/>
        </w:rPr>
        <w:t xml:space="preserve">Một khía cạnh khác nữa là yếu tố cân bằng. Nếu một biện pháp phòng vệ muốn nằm trong phạm vi của quy tắc phán đoán kinh doanh (business judgment rule), thì nó phải hợp lý tương xứng với mối đe dọa đặt ra. Điều này đòi hỏi các giám đốc phải phân tích bản chất của đề nghị thâu tóm (takeover bid) và tác động của nó đối với doanh nghiệp. Ví dụ về những mối quan ngại như vậy có thể bao gồm: giá chào mua không thỏa đáng, bản chất và thời điểm của đề nghị, các vấn đề về tính hợp pháp, tác động lên các “nhóm lợi ích” (constituencies) khác ngoài cổ đông (tức là chủ nợ, khách hàng, nhân viên, và có lẽ cả cộng đồng nói chung), rủi ro giao dịch không thành, và chất lượng chứng khoán được đưa ra trao đổi. </w:t>
      </w:r>
      <w:r>
        <w:rPr>
          <w:b w:val="0"/>
          <w:i/>
        </w:rPr>
        <w:t>Xem</w:t>
      </w:r>
      <w:r>
        <w:rPr>
          <w:b w:val="0"/>
          <w:i w:val="0"/>
        </w:rPr>
        <w:t xml:space="preserve"> Lipton và Brownstein, </w:t>
      </w:r>
      <w:r>
        <w:rPr>
          <w:b w:val="0"/>
          <w:i/>
        </w:rPr>
        <w:t>Takeover Responses and Directors' Responsibilities: An Update</w:t>
      </w:r>
      <w:r>
        <w:rPr>
          <w:b w:val="0"/>
          <w:i w:val="0"/>
        </w:rPr>
        <w:t xml:space="preserve"> , tr.7, ABA National Institute on the Dynamics of Corporate Control (ngày 8 tháng 12 năm 1983). Dù không phải là yếu tố quyết định, chúng tôi cũng cho rằng hội đồng quản trị có thể xem xét một cách hợp lý những lợi ích cơ bản của cổ đông đang bị ảnh hưởng, bao gồm cả lợi ích của những nhà đầu cơ ngắn hạn, những người mà hành động của họ có thể đã làm gia tăng tính cưỡng chế của đề nghị, gây thiệt hại cho nhà đầu tư dài hạn. Ở đây, hội đồng quản trị Unocal nhìn nhận mối đe dọa là một đề nghị chào mua cưỡng chế hai tầng (two-tier coercive tender offer) với giá cực kỳ không thỏa đáng, kèm theo nguy cơ bị tống tiền cổ phiếu (greenmail).</w:t>
      </w:r>
    </w:p>
    <w:p>
      <w:pPr>
        <w:spacing w:after="80"/>
      </w:pPr>
      <w:r>
        <w:rPr>
          <w:b w:val="0"/>
          <w:i w:val="0"/>
        </w:rPr>
        <w:t>Cụ thể, các giám đốc Unocal đã kết luận rằng giá trị của Unocal cao hơn đáng kể so với mức 54 đô la mỗi cổ phần được trả bằng tiền mặt ở giai đoạn đầu. Hơn nữa, họ xác định rằng các chứng khoán thứ cấp sẽ được trao đổi trong thương vụ sáp nhập “giai đoạn sau” (back-end merger) mà Mesa công bố nhằm loại bỏ các cổ đông còn lại là “trái phiếu rác” (junk bonds) có giá trị thấp hơn nhiều so với 54 đô la. Ngày nay ai cũng biết rõ rằng những đề nghị như vậy là một biện pháp cưỡng chế kinh điển, được thiết kế để thúc ép cổ đông ùn ùn chấp nhận bán ở tầng đầu tiên, ngay cả khi giá không thỏa đáng, vì sợ phải nhận được gì đó ở giai đoạn sau của giao dịch. Vượt xa khía cạnh cưỡng chế của một đề nghị chào mua hai tầng không thỏa đáng, mối đe dọa ở đây còn đến từ một kẻ thâu tóm doanh nghiệp (corporate raider) nổi tiếng toàn quốc với danh tiếng là “kẻ tống tiền cổ phiếu” (greenmailer).</w:t>
      </w:r>
    </w:p>
    <w:p>
      <w:pPr>
        <w:spacing w:after="80"/>
      </w:pPr>
      <w:r>
        <w:rPr>
          <w:b w:val="0"/>
          <w:i w:val="0"/>
        </w:rPr>
        <w:t>Khi thông qua đề nghị trao đổi có chọn lọc (selective exchange offer), hội đồng quản trị tuyên bố rằng mục tiêu của họ hoặc là đánh bại đề nghị không thỏa đáng của Mesa, hoặc nếu đề nghị đó vẫn thành công, thì cung cấp cho 49% cổ đông của mình — những người nếu không sẽ bị buộc phải chấp nhận “trái phiếu rác” — khoản nợ cao cấp trị giá 72 đô la. Chúng tôi thấy rằng cả hai mục đích này đều chính đáng.</w:t>
      </w:r>
    </w:p>
    <w:p>
      <w:pPr>
        <w:spacing w:after="80"/>
      </w:pPr>
      <w:r>
        <w:rPr>
          <w:b w:val="0"/>
          <w:i w:val="0"/>
        </w:rPr>
        <w:t>Tuy nhiên, những nỗ lực như vậy sẽ bị cản trở bởi việc Mesa tham gia vào đề nghị trao đổi. Thứ nhất, nếu Mesa có thể bán cổ phần của mình, thì Unocal sẽ thực chất đang trợ cấp cho nỗ lực tiếp tục mua cổ phiếu Unocal ở mức 54 đô la mỗi cổ phần của chính Mesa. Thứ hai, theo định nghĩa, Mesa không thể nằm trong nhóm cổ đông đang được bảo vệ khỏi chính đề nghị chào mua cưỡng chế và không thỏa đáng của mình.</w:t>
      </w:r>
    </w:p>
    <w:p>
      <w:pPr>
        <w:spacing w:after="80"/>
      </w:pPr>
      <w:r>
        <w:rPr>
          <w:b w:val="0"/>
          <w:i w:val="0"/>
        </w:rPr>
        <w:t xml:space="preserve">Vì vậy, chúng tôi hài lòng rằng đề nghị trao đổi có chọn lọc có liên quan hợp lý đến các mối đe dọa đặt ra. Nó phù hợp với nguyên tắc rằng “cổ đông thiểu số phải nhận được giá trị tương đương đáng kể so với những gì họ có trước đó.” Sterling v. Mayflower Hotel Corp., Del. Supr., 33 Del. Ch. 293, 93 A.2d 107, 114 (1952). </w:t>
      </w:r>
      <w:r>
        <w:rPr>
          <w:b w:val="0"/>
          <w:i/>
        </w:rPr>
        <w:t>Xem thêm</w:t>
      </w:r>
      <w:r>
        <w:rPr>
          <w:b w:val="0"/>
          <w:i w:val="0"/>
        </w:rPr>
        <w:t xml:space="preserve"> Rosenblatt v. Getty Oil Co., Del.Supr., 493 A.2d 929, 940 (1985). Khái niệm công bằng này, dù được nêu trong bối cảnh sáp nhập, cũng có liên quan trong lĩnh vực luật về đề nghị chào mua. Do đó, quyết định của hội đồng quản trị khi đưa ra mức mà họ xác định là giá trị hợp lý của công ty cho 49% cổ đông của mình — những người nếu không sẽ bị buộc phải chấp nhận “trái phiếu rác” có thứ tự ưu tiên rất thấp — là hợp lý và phù hợp với nghĩa vụ của các giám đốc trong việc đảm bảo rằng cổ đông thiểu số nhận được giá trị tương xứng cho cổ phần của họ.</w:t>
      </w:r>
    </w:p>
    <w:p>
      <w:pPr>
        <w:pStyle w:val="Heading5"/>
      </w:pPr>
      <w:r>
        <w:rPr>
          <w:rFonts w:ascii="Calibri" w:hAnsi="Calibri"/>
          <w:b/>
          <w:i/>
          <w:sz w:val="22"/>
        </w:rPr>
        <w:t>Bình luận và Câu hỏi</w:t>
      </w:r>
    </w:p>
    <w:p>
      <w:pPr>
        <w:spacing w:after="80"/>
      </w:pPr>
      <w:r>
        <w:rPr>
          <w:b w:val="0"/>
          <w:i w:val="0"/>
        </w:rPr>
        <w:t xml:space="preserve">1. Tòa án đã giải quyết cuộc tranh luận giữa ông Lipton và các giáo sư (khi đó) Easterbrook và Fischel như thế nào? Liệu một bên có kết quả tốt hơn bên kia không? Một nhà bình luận kết luận rằng “Tòa án Tối cao Delaware đã chọn con đường trung dung mà không bên nào ủng hộ.” Ronald J. Gilson, </w:t>
      </w:r>
      <w:r>
        <w:rPr>
          <w:b w:val="0"/>
          <w:i/>
        </w:rPr>
        <w:t>Unocal Fifteen Years Later (and What We Can Do About It)</w:t>
      </w:r>
      <w:r>
        <w:rPr>
          <w:b w:val="0"/>
          <w:i w:val="0"/>
        </w:rPr>
        <w:t xml:space="preserve"> , 26 Del. J. Corp. L. 491, 496 (2001). Bạn có đồng ý không?</w:t>
      </w:r>
    </w:p>
    <w:p>
      <w:pPr>
        <w:spacing w:after="80"/>
      </w:pPr>
      <w:r>
        <w:rPr>
          <w:b w:val="0"/>
          <w:i w:val="0"/>
        </w:rPr>
        <w:t xml:space="preserve">2. Tòa án đã bình luận cụ thể về quan điểm của các Giáo sư Easterbrook và Fischel. </w:t>
      </w:r>
      <w:r>
        <w:rPr>
          <w:b w:val="0"/>
          <w:i/>
        </w:rPr>
        <w:t>Xem</w:t>
      </w:r>
      <w:r>
        <w:rPr>
          <w:b w:val="0"/>
          <w:i w:val="0"/>
        </w:rPr>
        <w:t xml:space="preserve"> 493 A.2d tại 955 chú thích 10 (“Người ta đã gợi ý rằng phản ứng của hội đồng quản trị trước một mối đe dọa thâu tóm nên là thụ động. Easterbrook &amp; Fischel, </w:t>
      </w:r>
      <w:r>
        <w:rPr>
          <w:b w:val="0"/>
          <w:i/>
        </w:rPr>
        <w:t>supra</w:t>
      </w:r>
      <w:r>
        <w:rPr>
          <w:b w:val="0"/>
          <w:i w:val="0"/>
        </w:rPr>
        <w:t xml:space="preserve"> , tại 1750. Tuy nhiên, điều đó rõ ràng không phải là luật của Delaware, và như chính những người ủng hộ quy tắc thụ động này thừa nhận, nó cũng chưa được các tòa án hay cơ quan lập pháp tiểu bang thông qua.”).</w:t>
      </w:r>
    </w:p>
    <w:p>
      <w:pPr>
        <w:spacing w:after="80"/>
      </w:pPr>
      <w:r>
        <w:rPr>
          <w:b w:val="0"/>
          <w:i w:val="0"/>
        </w:rPr>
        <w:t>3. Chiến thuật phòng vệ trong vụ này là một đề nghị tự chào mua (self tender offer). Nó đã hoạt động như thế nào để đẩy lùi Mesa?</w:t>
      </w:r>
    </w:p>
    <w:p>
      <w:pPr>
        <w:spacing w:after="80"/>
      </w:pPr>
      <w:r>
        <w:rPr>
          <w:b w:val="0"/>
          <w:i w:val="0"/>
        </w:rPr>
        <w:t xml:space="preserve">4. Tòa án đã đặt gánh nặng ban đầu lên hội đồng quản trị của công ty mục tiêu. Các chiến thuật phòng vệ chỉ được phép nếu trước tiên các giám đốc xác định được một mối đe dọa đối với công ty. Mối đe dọa trong vụ này là gì? Mesa có thể làm gì để giảm bớt “mối đe dọa” đó không? Những loại mối đe dọa nào khác có thể biện minh cho việc áp dụng các chiến thuật phòng vệ theo tiêu chuẩn được nêu trong </w:t>
      </w:r>
      <w:r>
        <w:rPr>
          <w:b w:val="0"/>
          <w:i/>
        </w:rPr>
        <w:t>Unocal</w:t>
      </w:r>
      <w:r>
        <w:rPr>
          <w:b w:val="0"/>
          <w:i w:val="0"/>
        </w:rPr>
        <w:t xml:space="preserve"> ?</w:t>
      </w:r>
    </w:p>
    <w:p>
      <w:pPr>
        <w:spacing w:after="80"/>
      </w:pPr>
      <w:r>
        <w:rPr>
          <w:b w:val="0"/>
          <w:i w:val="0"/>
        </w:rPr>
        <w:t>5. Chiến thuật cũng phải “hợp lý tương xứng với mối đe dọa đặt ra.” Đây có phải là một phép thử cân bằng không? Điều này có thể diễn ra như thế nào trong thực tế?</w:t>
      </w:r>
    </w:p>
    <w:p>
      <w:pPr>
        <w:spacing w:after="80"/>
      </w:pPr>
      <w:r>
        <w:rPr>
          <w:b w:val="0"/>
          <w:i w:val="0"/>
        </w:rPr>
        <w:t xml:space="preserve">6. Phán quyết lâu đời này vẫn có thể gây ra những phản ứng mạnh mẽ. Như một tác giả đã viết hai thập kỷ sau phán quyết: “Trong hai mươi năm qua, giới học thuật và những người khác đã liên tục chỉ trích </w:t>
      </w:r>
      <w:r>
        <w:rPr>
          <w:b w:val="0"/>
          <w:i/>
        </w:rPr>
        <w:t>Unocal</w:t>
      </w:r>
      <w:r>
        <w:rPr>
          <w:b w:val="0"/>
          <w:i w:val="0"/>
        </w:rPr>
        <w:t xml:space="preserve"> không ngừng nghỉ.” Stephen M. Bainbridge, </w:t>
      </w:r>
      <w:r>
        <w:rPr>
          <w:b w:val="0"/>
          <w:i/>
        </w:rPr>
        <w:t>Unocal at 20: Director Primacy in Corporate Takeovers</w:t>
      </w:r>
      <w:r>
        <w:rPr>
          <w:b w:val="0"/>
          <w:i w:val="0"/>
        </w:rPr>
        <w:t xml:space="preserve"> , 31 Del. J. Corp. L. 769, 772 (2006). Bạn nghĩ tại sao lại như vậy?</w:t>
      </w:r>
    </w:p>
    <w:p>
      <w:pPr>
        <w:spacing w:after="80"/>
      </w:pPr>
      <w:r>
        <w:rPr>
          <w:b w:val="0"/>
          <w:i w:val="0"/>
        </w:rPr>
        <w:t>—————</w:t>
      </w:r>
    </w:p>
    <w:p>
      <w:pPr>
        <w:spacing w:after="80"/>
      </w:pPr>
      <w:r>
        <w:rPr>
          <w:b w:val="0"/>
          <w:i w:val="0"/>
        </w:rPr>
        <w:t xml:space="preserve">Sau </w:t>
      </w:r>
      <w:r>
        <w:rPr>
          <w:b w:val="0"/>
          <w:i/>
        </w:rPr>
        <w:t>Unocal</w:t>
      </w:r>
      <w:r>
        <w:rPr>
          <w:b w:val="0"/>
          <w:i w:val="0"/>
        </w:rPr>
        <w:t xml:space="preserve"> , đã xuất hiện suy đoán rằng các tòa án Delaware sẽ tiến xa hơn nữa và cho phép hội đồng quản trị “chỉ cần nói không” với một đề nghị chào mua thù địch.</w:t>
      </w:r>
    </w:p>
    <w:p>
      <w:pPr>
        <w:pStyle w:val="Heading4"/>
      </w:pPr>
      <w:r>
        <w:rPr>
          <w:rFonts w:ascii="Calibri" w:hAnsi="Calibri"/>
          <w:b/>
          <w:i w:val="0"/>
          <w:sz w:val="23"/>
        </w:rPr>
        <w:t>Paramount Communications, Inc. v. Time Inc.</w:t>
      </w:r>
    </w:p>
    <w:p>
      <w:pPr>
        <w:spacing w:after="80"/>
      </w:pPr>
      <w:r>
        <w:rPr>
          <w:b w:val="0"/>
          <w:i w:val="0"/>
        </w:rPr>
        <w:t>Tòa án Tối cao Delaware</w:t>
      </w:r>
      <w:r>
        <w:br/>
      </w:r>
      <w:r>
        <w:rPr>
          <w:b w:val="0"/>
          <w:i w:val="0"/>
        </w:rPr>
        <w:t xml:space="preserve"> 571 A.2d 1140 (1989)</w:t>
      </w:r>
    </w:p>
    <w:p>
      <w:pPr>
        <w:spacing w:after="80"/>
      </w:pPr>
      <w:r>
        <w:rPr>
          <w:b w:val="0"/>
          <w:i w:val="0"/>
        </w:rPr>
        <w:t>HORSEY, THẨM PHÁN:</w:t>
      </w:r>
    </w:p>
    <w:p>
      <w:pPr>
        <w:spacing w:after="80"/>
      </w:pPr>
      <w:r>
        <w:rPr>
          <w:b w:val="0"/>
          <w:i w:val="0"/>
        </w:rPr>
        <w:t>Ngay từ năm 1983 và 1984, ban điều hành của Time đã bắt đầu cân nhắc việc mở rộng hoạt động của Time sang ngành công nghiệp giải trí. . . .</w:t>
      </w:r>
    </w:p>
    <w:p>
      <w:pPr>
        <w:spacing w:after="80"/>
      </w:pPr>
      <w:r>
        <w:rPr>
          <w:b w:val="0"/>
          <w:i w:val="0"/>
        </w:rPr>
        <w:t>* * *</w:t>
      </w:r>
    </w:p>
    <w:p>
      <w:pPr>
        <w:spacing w:after="80"/>
      </w:pPr>
      <w:r>
        <w:rPr>
          <w:b w:val="0"/>
          <w:i w:val="0"/>
        </w:rPr>
        <w:t>Vào ngày 3 tháng 3 năm 1989, hội đồng quản trị của Time, với sự tham dự của tất cả các giám đốc trừ một người, đã họp và nhất trí thông qua việc sáp nhập theo hình thức đổi cổ phiếu lấy cổ phiếu với Warner. Hội đồng quản trị của Warner cũng phê duyệt việc sáp nhập tương tự. Thỏa thuận yêu cầu Warner được sáp nhập vào một công ty con do Time sở hữu toàn phần, với Warner trở thành công ty còn tồn tại. Cổ phiếu phổ thông của Warner sau đó sẽ được chuyển đổi thành cổ phiếu phổ thông của Time theo tỷ lệ đã thỏa thuận. Sau đó, tên của Time sẽ được đổi thành Time-Warner, Inc.</w:t>
      </w:r>
    </w:p>
    <w:p>
      <w:pPr>
        <w:spacing w:after="80"/>
      </w:pPr>
      <w:r>
        <w:rPr>
          <w:b w:val="0"/>
          <w:i w:val="0"/>
        </w:rPr>
        <w:t>* * *</w:t>
      </w:r>
    </w:p>
    <w:p>
      <w:pPr>
        <w:spacing w:after="80"/>
      </w:pPr>
      <w:r>
        <w:rPr>
          <w:b w:val="0"/>
          <w:i w:val="0"/>
        </w:rPr>
        <w:t>Tại cuộc họp ngày 3 tháng 3 năm 1989, hội đồng quản trị của Time đã thông qua một số chiến thuật phòng vệ. Time đã ký kết một thỏa thuận trao đổi cổ phiếu tự động với Warner. Time sẽ nhận 17.292.747 cổ phiếu phổ thông đang lưu hành của Warner (9,4%) và Warner sẽ nhận 7.080.016 cổ phiếu phổ thông đang lưu hành của Time (11,1%). Một trong hai bên đều có thể kích hoạt việc trao đổi. Time đã tìm kiếm và trả tiền cho các thư "tín nhiệm" từ nhiều ngân hàng khác nhau mà mình có quan hệ làm ăn. . . . Time cũng đồng ý với một điều khoản "không tìm kiếm" (no-shop), ngăn Time xem xét bất kỳ đề xuất hợp nhất nào khác, qua đó từ bỏ quyền xem xét các đề xuất khác, bất kể giá trị của chúng. Time làm vậy theo sự khăng khăng của Warner. Warner không muốn bị bỏ "trên sàn đấu giá" cho một kẻ thâu tóm không thân thiện, nếu Time rút khỏi thương vụ.</w:t>
      </w:r>
    </w:p>
    <w:p>
      <w:pPr>
        <w:spacing w:after="80"/>
      </w:pPr>
      <w:r>
        <w:rPr>
          <w:b w:val="0"/>
          <w:i w:val="0"/>
        </w:rPr>
        <w:t>* * *</w:t>
      </w:r>
    </w:p>
    <w:p>
      <w:pPr>
        <w:spacing w:after="80"/>
      </w:pPr>
      <w:r>
        <w:rPr>
          <w:b w:val="0"/>
          <w:i w:val="0"/>
        </w:rPr>
        <w:t>[Vào ngày 7 tháng 6 năm 1989, Paramount đưa ra đề nghị mua toàn bộ bằng tiền mặt đối với cổ phiếu của Time với giá $175 và nói rằng đề nghị này "hoàn toàn có thể thương lượng." Hội đồng quản trị đã họp ba lần trong tám ngày để thảo luận về đề nghị này.] . . . Niềm tin chủ đạo của hội đồng quản trị là đề nghị của Paramount đặt ra mối đe dọa đối với quyền kiểm soát vận mệnh của chính Time và việc duy trì "Văn hóa Time." Ngay cả sau khi các cố vấn tài chính của Time trình bày thêm một lần nữa về Paramount và các thuộc tính kinh doanh của nó, hội đồng quản trị của Time vẫn giữ quan điểm rằng việc kết hợp với Warner mang lại tiềm năng lớn hơn cho Time. . . . Cuối cùng, [vào ngày 16 tháng 6,] hội đồng quản trị của Time chính thức từ chối đề nghị của Paramount.</w:t>
      </w:r>
    </w:p>
    <w:p>
      <w:pPr>
        <w:spacing w:after="80"/>
      </w:pPr>
      <w:r>
        <w:rPr>
          <w:b w:val="0"/>
          <w:i w:val="0"/>
        </w:rPr>
        <w:t>* * *</w:t>
      </w:r>
    </w:p>
    <w:p>
      <w:pPr>
        <w:spacing w:after="80"/>
      </w:pPr>
      <w:r>
        <w:rPr>
          <w:b w:val="0"/>
          <w:i w:val="0"/>
        </w:rPr>
        <w:t>Tại cùng cuộc họp đó, hội đồng quản trị của Time quyết định chuyển đổi việc hợp nhất với Warner thành việc Time mua lại Warner hoàn toàn bằng tiền mặt và chứng khoán; và Time đã thông báo điều này cho Warner. Time theo đó đã tái cấu trúc đề xuất mua lại Warner của mình như sau: Time sẽ đưa ra đề nghị mua ngay toàn bộ bằng tiền mặt đối với 51% cổ phiếu đang lưu hành của Warner với giá $70 mỗi cổ phiếu. 49% còn lại sẽ được mua vào một thời điểm nào đó sau này bằng hỗn hợp tiền mặt và chứng khoán trị giá $70 mỗi cổ phiếu. Để cung cấp nguồn vốn cần thiết cho việc mua lại hoàn toàn Warner, Time sẽ gánh khoản nợ trị giá 7–10 tỷ đô la, qua đó loại bỏ một trong những lợi ích chính liên quan đến giao dịch của thỏa thuận sáp nhập ban đầu. Chín tỷ đô la trong tổng giá mua sẽ được phân bổ cho việc mua lợi thế thương mại (goodwill) của Warner.</w:t>
      </w:r>
    </w:p>
    <w:p>
      <w:pPr>
        <w:spacing w:after="80"/>
      </w:pPr>
      <w:r>
        <w:rPr>
          <w:b w:val="0"/>
          <w:i w:val="0"/>
        </w:rPr>
        <w:t>Warner đồng ý nhưng khăng khăng đòi một số điều khoản nhất định. Warner tìm kiếm một khoản phí bồi thường kiểm soát (control premium) và các bảo đảm rằng các điều khoản quản trị trong thỏa thuận sáp nhập ban đầu sẽ được giữ nguyên. Warner còn yêu cầu các thỏa thuận rằng Time sẽ không sử dụng chiến lược "viên thuốc độc" (poison pill) của mình chống lại Warner và rằng, trừ khi bị lệnh tòa cấm, Time sẽ bị ràng buộc về mặt pháp lý để hoàn tất giao dịch. Hội đồng quản trị của Time chỉ đồng ý với những biện pháp cuối cùng này theo sự khăng khăng của Warner. Về phần mình, Time được đảm bảo khả năng mở rộng nỗ lực của mình sang các lĩnh vực sản xuất và thị trường quốc tế, trong khi vẫn duy trì bản sắc và văn hóa của Time. Thẩm phán Chancellor đã xác định rằng giao dịch Time-Warner ban đầu được đàm phán trên cơ sở bình đẳng (arms length) và giao dịch Time-Warner được tái cấu trúc là kết quả từ đề nghị của Paramount và tác động dự kiến của nó đối với việc bỏ phiếu của cổ đông Time.</w:t>
      </w:r>
    </w:p>
    <w:p>
      <w:pPr>
        <w:spacing w:after="80"/>
      </w:pPr>
      <w:r>
        <w:rPr>
          <w:b w:val="0"/>
          <w:i w:val="0"/>
        </w:rPr>
        <w:t>Vào ngày 23 tháng 6 năm 1989, Paramount nâng đề nghị mua toàn bộ bằng tiền mặt đối với cổ phiếu đang lưu hành của Time lên $200 mỗi cổ phiếu. Paramount vẫn tuyên bố rằng mọi khía cạnh của đề nghị đều có thể thương lượng. Hội đồng quản trị của Time đã họp vào ngày 26 tháng 6 năm 1989 và chính thức từ chối đề nghị thứ hai với giá $200 mỗi cổ phiếu của Paramount. Hội đồng quản trị nhắc lại niềm tin của mình rằng, bất chấp mức tăng $25, đề nghị này vẫn chưa thỏa đáng. Hội đồng quản trị Time khẳng định rằng giao dịch Warner mang lại giá trị dài hạn lớn hơn cho các cổ đông và, không giống như đề nghị của Paramount, không đặt ra mối đe dọa đối với sự tồn vong và "văn hóa" của Time. Paramount sau đó đã đệ đơn kiện này lên Tòa án Chancery.</w:t>
      </w:r>
    </w:p>
    <w:p>
      <w:pPr>
        <w:spacing w:after="80"/>
      </w:pPr>
      <w:r>
        <w:rPr>
          <w:b w:val="0"/>
          <w:i w:val="0"/>
        </w:rPr>
        <w:t>* * *</w:t>
      </w:r>
    </w:p>
    <w:p>
      <w:pPr>
        <w:spacing w:after="80"/>
      </w:pPr>
      <w:r>
        <w:rPr>
          <w:b w:val="0"/>
          <w:i w:val="0"/>
        </w:rPr>
        <w:t xml:space="preserve">Giờ chúng ta chuyển sang khiếu nại </w:t>
      </w:r>
      <w:r>
        <w:rPr>
          <w:b w:val="0"/>
          <w:i/>
        </w:rPr>
        <w:t>Unocal</w:t>
      </w:r>
      <w:r>
        <w:rPr>
          <w:b w:val="0"/>
          <w:i w:val="0"/>
        </w:rPr>
        <w:t xml:space="preserve"> của các nguyên đơn. Chúng ta bắt đầu bằng việc lưu ý, như Thẩm phán Chancellor đã làm, rằng phán quyết của chúng ta không đòi hỏi chúng ta phải đánh giá tính khôn ngoan trong quyết định của hội đồng quản trị khi tham gia vào thỏa thuận Time-Warner ban đầu. Đó không phải là nhiệm vụ của tòa án. Nhiệm vụ của chúng ta chỉ đơn giản là xem xét hồ sơ để xác định liệu có đủ bằng chứng để hỗ trợ kết luận của Thẩm phán Chancellor rằng thỏa thuận Time-Warner ban đầu là sản phẩm của việc thực thi đúng đắn quyền phán đoán kinh doanh (business judgment) hay không. Macmillan, 559 A.2d at 1288.</w:t>
      </w:r>
    </w:p>
    <w:p>
      <w:pPr>
        <w:spacing w:after="80"/>
      </w:pPr>
      <w:r>
        <w:rPr>
          <w:b w:val="0"/>
          <w:i w:val="0"/>
        </w:rPr>
        <w:t>* * *</w:t>
      </w:r>
    </w:p>
    <w:p>
      <w:pPr>
        <w:spacing w:after="80"/>
      </w:pPr>
      <w:r>
        <w:rPr>
          <w:b w:val="0"/>
          <w:i w:val="0"/>
        </w:rPr>
        <w:t xml:space="preserve">Trong </w:t>
      </w:r>
      <w:r>
        <w:rPr>
          <w:b w:val="0"/>
          <w:i/>
        </w:rPr>
        <w:t>Unocal</w:t>
      </w:r>
      <w:r>
        <w:rPr>
          <w:b w:val="0"/>
          <w:i w:val="0"/>
        </w:rPr>
        <w:t>, chúng tôi đã phán quyết rằng trước khi quy tắc phán đoán kinh doanh (business judgment rule) được áp dụng cho việc hội đồng quản trị thông qua một biện pháp phòng vệ, nghĩa vụ chứng minh sẽ thuộc về hội đồng quản trị để chứng minh (a) có căn cứ hợp lý để tin rằng tồn tại một mối nguy hiểm đối với chính sách và hiệu quả hoạt động của công ty; và (b) rằng biện pháp phòng vệ được thông qua là hợp lý trong mối tương quan với mối đe dọa đặt ra. Unocal, 493 A.2d 946. Các giám đốc thỏa mãn phần thứ nhất của bài kiểm tra Unocal bằng cách chứng minh thiện chí và sự điều tra hợp lý. Chúng tôi đã nhiều lần tuyên bố rằng việc từ chối xem xét một đề nghị có thể phù hợp với việc thực thi hợp lệ quyền phán đoán kinh doanh của hội đồng quản trị. Xem, ví dụ, Macmillan, 559 A.2d at 1285 n.35; Van Gorkom, 488 A.2d at 881; Pogostin v. Rice, Del. Supr., 480 A.2d 619, 627 (1984).</w:t>
      </w:r>
    </w:p>
    <w:p>
      <w:pPr>
        <w:spacing w:after="80"/>
      </w:pPr>
      <w:r>
        <w:rPr>
          <w:b w:val="0"/>
          <w:i/>
        </w:rPr>
        <w:t>Unocal</w:t>
      </w:r>
      <w:r>
        <w:rPr>
          <w:b w:val="0"/>
          <w:i w:val="0"/>
        </w:rPr>
        <w:t xml:space="preserve"> liên quan đến một đề nghị mua lại (tender offer) mang tính cưỡng chế cao, gồm hai tầng. Trong trường hợp như vậy, mối đe dọa là hiển nhiên: các cổ đông có thể bị buộc phải chấp nhận bán để tránh bị đối xử bất lợi trong giai đoạn thứ hai của giao dịch. </w:t>
      </w:r>
      <w:r>
        <w:rPr>
          <w:b w:val="0"/>
          <w:i/>
        </w:rPr>
        <w:t>Đồng quan điểm Ivanhoe</w:t>
      </w:r>
      <w:r>
        <w:rPr>
          <w:b w:val="0"/>
          <w:i w:val="0"/>
        </w:rPr>
        <w:t xml:space="preserve">, 535 at 1344. Trong các vụ án sau đó, Tòa án Chancery đã gợi ý rằng một đề nghị toàn tiền mặt, toàn bộ cổ phần, nằm trong khoảng giá trị mà một cổ đông có thể hợp lý ưa thích, không thể tạo thành một "mối đe dọa" được pháp luật công nhận đối với lợi ích cổ đông đủ để chống lại phân tích </w:t>
      </w:r>
      <w:r>
        <w:rPr>
          <w:b w:val="0"/>
          <w:i/>
        </w:rPr>
        <w:t>Unocal</w:t>
      </w:r>
      <w:r>
        <w:rPr>
          <w:b w:val="0"/>
          <w:i w:val="0"/>
        </w:rPr>
        <w:t>. AC Acquisitions Corp. v. Anderson, Clayton Co., Del. Ch., 519 A.2d 103 (1986); Xem Grand Metropolitan, PLC v. Pillsbury Co., Del. Ch., 558 A.2d 1049 (1988); City Capital Associates v. Interco, Inc., Del. Ch., 551 A.2d 787 (1988). Trong những vụ án đó, Tòa án Chancery xác định rằng bất kỳ mối đe dọa nào tồn tại cũng chỉ liên quan đến các cổ đông và chỉ liên quan đến giá cả chứ không liên quan đến công ty.</w:t>
      </w:r>
    </w:p>
    <w:p>
      <w:pPr>
        <w:spacing w:after="80"/>
      </w:pPr>
      <w:r>
        <w:rPr>
          <w:b w:val="0"/>
          <w:i w:val="0"/>
        </w:rPr>
        <w:t>Từ những phán quyết đó của Tòa án Chancery của chúng ta, Paramount và các nguyên đơn cá nhân đã suy ra một quy tắc pháp lý rằng một đề nghị toàn tiền mặt, toàn bộ cổ phần với giá trị nằm trong khoảng giá chấp nhận được một cách hợp lý thì không thể đặt ra bất kỳ mối đe dọa khách quan nào đối với một công ty hay các cổ đông của nó. Do đó, Paramount muốn chúng tôi phán quyết rằng chỉ khi giá trị đề nghị của Paramount được xác định là rõ ràng thấp hơn giá trị được tạo ra bởi kế hoạch sáp nhập với Warner của ban lãnh đạo thì đề nghị đó mới có thể được nhìn nhận—một cách khách quan—như một mối đe dọa.</w:t>
      </w:r>
    </w:p>
    <w:p>
      <w:pPr>
        <w:spacing w:after="80"/>
      </w:pPr>
      <w:r>
        <w:rPr>
          <w:b w:val="0"/>
          <w:i w:val="0"/>
        </w:rPr>
        <w:t xml:space="preserve">Ẩn chứa trong lập luận của các nguyên đơn là quan điểm cho rằng một đề nghị mua lại thù địch chỉ có thể đặt ra hai loại mối đe dọa: mối đe dọa cưỡng chế xuất phát từ một đề nghị hai tầng hứa hẹn đối xử bất bình đẳng đối với các cổ đông không chấp nhận bán; và mối đe dọa về giá trị không đầy đủ từ một đề nghị toàn bộ cổ phần, toàn tiền mặt ở mức giá thấp hơn giá trị hiện tại mà hội đồng quản trị mục tiêu thiện chí cho là giá trị cổ phần của mình. Xem, ví dụ, Interco, 551 A.2d at 797; xem thêm BNS, Inc. v. Koppers, D. Del., 683 F. Supp. 458 (1988). Vì đề nghị của Paramount là toàn tiền mặt, nên theo lập luận của các nguyên đơn, "mối đe dọa" duy nhất có thể hình dung được là giá trị không đầy đủ. Chúng tôi không tán thành cách giải thích hẹp hòi và cứng nhắc như vậy về </w:t>
      </w:r>
      <w:r>
        <w:rPr>
          <w:b w:val="0"/>
          <w:i/>
        </w:rPr>
        <w:t>Unocal</w:t>
      </w:r>
      <w:r>
        <w:rPr>
          <w:b w:val="0"/>
          <w:i w:val="0"/>
        </w:rPr>
        <w:t xml:space="preserve"> vì những lý do sau đây.</w:t>
      </w:r>
    </w:p>
    <w:p>
      <w:pPr>
        <w:spacing w:after="80"/>
      </w:pPr>
      <w:r>
        <w:rPr>
          <w:b w:val="0"/>
          <w:i w:val="0"/>
        </w:rPr>
        <w:t xml:space="preserve">Lập trường của các nguyên đơn thể hiện một sự hiểu lầm cơ bản về tiêu chuẩn xem xét của chúng ta theo </w:t>
      </w:r>
      <w:r>
        <w:rPr>
          <w:b w:val="0"/>
          <w:i/>
        </w:rPr>
        <w:t>Unocal</w:t>
      </w:r>
      <w:r>
        <w:rPr>
          <w:b w:val="0"/>
          <w:i w:val="0"/>
        </w:rPr>
        <w:t xml:space="preserve">, chủ yếu bởi vì nó sẽ khiến tòa án thay thế phán đoán của mình về việc đâu là một thương vụ "tốt hơn" cho phán đoán của hội đồng quản trị công ty. Trong phạm vi mà Tòa án Chancery gần đây đã làm như vậy trong một số ý kiến của mình, chúng tôi qua đây bác bỏ cách tiếp cận đó vì không phù hợp với một phân tích </w:t>
      </w:r>
      <w:r>
        <w:rPr>
          <w:b w:val="0"/>
          <w:i/>
        </w:rPr>
        <w:t>Unocal</w:t>
      </w:r>
      <w:r>
        <w:rPr>
          <w:b w:val="0"/>
          <w:i w:val="0"/>
        </w:rPr>
        <w:t xml:space="preserve"> đúng đắn. </w:t>
      </w:r>
      <w:r>
        <w:rPr>
          <w:b w:val="0"/>
          <w:i/>
        </w:rPr>
        <w:t>Xem, ví dụ</w:t>
      </w:r>
      <w:r>
        <w:rPr>
          <w:b w:val="0"/>
          <w:i w:val="0"/>
        </w:rPr>
        <w:t>, Interco, 551 A.2d 787, và các án lệ kế tiếp; nhưng xem TW Services, Inc. v. SWT Acquisition Corp., Del. Ch., C.A. No. 10427, 1989 Del. Ch. LEXIS 19, Allen, C. (March 2, 1989).</w:t>
      </w:r>
    </w:p>
    <w:p>
      <w:pPr>
        <w:spacing w:after="80"/>
      </w:pPr>
      <w:r>
        <w:rPr>
          <w:b w:val="0"/>
          <w:i w:val="0"/>
        </w:rPr>
        <w:t xml:space="preserve">Tính hữu ích của </w:t>
      </w:r>
      <w:r>
        <w:rPr>
          <w:b w:val="0"/>
          <w:i/>
        </w:rPr>
        <w:t>Unocal</w:t>
      </w:r>
      <w:r>
        <w:rPr>
          <w:b w:val="0"/>
          <w:i w:val="0"/>
        </w:rPr>
        <w:t xml:space="preserve"> như một công cụ phân tích nằm chính ở tính linh hoạt của nó trước nhiều </w:t>
      </w:r>
      <w:r>
        <w:rPr>
          <w:b w:val="0"/>
          <w:i/>
        </w:rPr>
        <w:t>tình huống</w:t>
      </w:r>
      <w:r>
        <w:rPr>
          <w:b w:val="0"/>
          <w:i w:val="0"/>
        </w:rPr>
        <w:t xml:space="preserve"> thực tế đa dạng. Unocal</w:t>
      </w:r>
      <w:r>
        <w:rPr>
          <w:b w:val="0"/>
          <w:i w:val="0"/>
        </w:rPr>
        <w:t xml:space="preserve"> không được thiết kế như một tiêu chuẩn trừu tượng; nó cũng không phải là một thủ tục đánh giá có cấu trúc và mang tính máy móc. Do đó, chúng tôi đã nói rằng các giám đốc có thể xem xét, khi đánh giá mối đe dọa do một đề nghị thâu tóm đặt ra, "tính không đầy đủ của mức giá được đề nghị, bản chất và thời điểm của đề nghị, các vấn đề về tính bất hợp pháp, tác động lên các 'nhóm lợi ích' (constituencies) khác ngoài cổ đông, rủi ro không hoàn tất giao dịch và chất lượng chứng khoán được đưa ra trong trao đổi." 493 A.2d at 955. Phân tích mở do </w:t>
      </w:r>
      <w:r>
        <w:rPr>
          <w:b w:val="0"/>
          <w:i/>
        </w:rPr>
        <w:t>Unocal</w:t>
      </w:r>
      <w:r>
        <w:rPr>
          <w:b w:val="0"/>
          <w:i w:val="0"/>
        </w:rPr>
        <w:t xml:space="preserve"> yêu cầu không nhằm dẫn đến một bài tập toán học đơn giản: tức là so sánh giá trị chiết khấu của giá giao dịch dự kiến của Time-Warner tại một thời điểm nào đó trong tương lai với đề nghị của Paramount và xác định cái nào cao hơn. Thật vậy, theo quan điểm của chúng tôi, các nguyên tắc nền tảng của quy tắc phán đoán kinh doanh chống lại việc tòa án tham gia vào quá trình cố gắng đánh giá và định giá những ưu điểm tương đối giữa mục tiêu đầu tư dài hạn và ngắn hạn cho cổ đông. Tham gia vào một bài tập như vậy là một sự bóp méo quá trình </w:t>
      </w:r>
      <w:r>
        <w:rPr>
          <w:b w:val="0"/>
          <w:i/>
        </w:rPr>
        <w:t>Unocal</w:t>
      </w:r>
      <w:r>
        <w:rPr>
          <w:b w:val="0"/>
          <w:i w:val="0"/>
        </w:rPr>
        <w:t xml:space="preserve"> và đặc biệt là việc áp dụng phần thứ hai của bài kiểm tra </w:t>
      </w:r>
      <w:r>
        <w:rPr>
          <w:b w:val="0"/>
          <w:i/>
        </w:rPr>
        <w:t>Unocal</w:t>
      </w:r>
      <w:r>
        <w:rPr>
          <w:b w:val="0"/>
          <w:i w:val="0"/>
        </w:rPr>
        <w:t>, được thảo luận dưới đây.</w:t>
      </w:r>
    </w:p>
    <w:p>
      <w:pPr>
        <w:spacing w:after="80"/>
      </w:pPr>
      <w:r>
        <w:rPr>
          <w:b w:val="0"/>
          <w:i w:val="0"/>
        </w:rPr>
        <w:t>Trong vụ án này, hội đồng quản trị Time đã xác định một cách hợp lý rằng giá trị không đầy đủ không phải là mối đe dọa duy nhất có thể được pháp luật công nhận mà đề nghị toàn tiền mặt, toàn bộ cổ phần của Paramount có thể đặt ra. Hội đồng quản trị Time kết luận rằng đề nghị vào giờ chót của Paramount đặt ra những mối đe dọa khác. Một mối lo là các cổ đông Time có thể chọn chấp nhận bán vào đề nghị tiền mặt của Paramount trong sự thiếu hiểu biết hoặc niềm tin sai lầm về lợi ích chiến lược mà một sự kết hợp kinh doanh với Warner có thể mang lại. Hơn nữa, Time nhìn nhận các điều kiện kèm theo đề nghị của Paramount như đưa vào một mức độ bất định làm lệch lạc một phân tích so sánh. Hơn nữa, thời điểm đề nghị của Paramount đến sau khi Time phát hành thông báo ủy quyền biểu quyết (proxy notice) được cho là có thể được thiết kế để phá vỡ, nếu không muốn nói là gây nhầm lẫn, lá phiếu của các cổ đông Time. Với bằng chứng trong hồ sơ này, chúng tôi không thể kết luận rằng quyết định ngày 6 tháng 6 của hội đồng quản trị Time rằng đề nghị của Paramount đặt ra mối đe dọa đối với chính sách và hiệu quả hoạt động của công ty là thiếu thiện chí hoặc bị chi phối bởi động cơ cố thủ (entrenchment) hay tư lợi.</w:t>
      </w:r>
    </w:p>
    <w:p>
      <w:pPr>
        <w:spacing w:after="80"/>
      </w:pPr>
      <w:r>
        <w:rPr>
          <w:b w:val="0"/>
          <w:i w:val="0"/>
        </w:rPr>
        <w:t>* * *</w:t>
      </w:r>
    </w:p>
    <w:p>
      <w:pPr>
        <w:spacing w:after="80"/>
      </w:pPr>
      <w:r>
        <w:rPr>
          <w:b w:val="0"/>
          <w:i w:val="0"/>
        </w:rPr>
        <w:t xml:space="preserve">Chúng tôi chuyển sang phần thứ hai của phân tích </w:t>
      </w:r>
      <w:r>
        <w:rPr>
          <w:b w:val="0"/>
          <w:i/>
        </w:rPr>
        <w:t>Unocal</w:t>
      </w:r>
      <w:r>
        <w:rPr>
          <w:b w:val="0"/>
          <w:i w:val="0"/>
        </w:rPr>
        <w:t>. Điều kiện tiên quyết rõ ràng để xác định tính hợp lý của một hành động phòng vệ là việc nhận diện rõ ràng bản chất của mối đe dọa. Như Thẩm phán Chancery đã lưu ý một cách chính xác, điều này "đòi hỏi việc đánh giá tầm quan trọng của mục tiêu công ty đang bị đe dọa; các phương pháp thay thế để bảo vệ mục tiêu đó; tác động của hành động 'phòng vệ', và các yếu tố liên quan khác." In Re: Time Incorporated Shareholder Litigation, Del. Ch., C.A. No. 10670, Allen, C. (July 14, 1989). Chỉ đến khi cả hai phần của cuộc điều tra Unocal đều được thỏa mãn thì quy tắc phán đoán kinh doanh mới gắn liền với các hành động phòng vệ của hội đồng quản trị. Unocal, 493 A.2d at 954. Khi áp dụng cho các tình tiết của vụ án này, câu hỏi là liệu bằng chứng trong hồ sơ có ủng hộ kết luận của Tòa án Chancery rằng việc tái cấu trúc giao dịch Time-Warner, bao gồm việc thông qua một số biện pháp phòng vệ mang tính ngăn chặn, là một phản ứng hợp lý trong mối tương quan với một mối đe dọa được nhận thức hay không.</w:t>
      </w:r>
    </w:p>
    <w:p>
      <w:pPr>
        <w:spacing w:after="80"/>
      </w:pPr>
      <w:r>
        <w:rPr>
          <w:b w:val="0"/>
          <w:i w:val="0"/>
        </w:rPr>
        <w:t xml:space="preserve">Paramount lập luận rằng, giả sử đề nghị mua lại của mình đặt ra một mối đe dọa, thì phản ứng của Time là không hợp lý khi ngăn cản các cổ đông Time chấp nhận đề nghị mua lại hoặc nhận được một khoản phụ trội kiểm soát (control premium) trong tương lai gần có thể dự đoán được. Một lần nữa, chúng tôi tin rằng luận điểm này xuất phát từ sự hiểu lầm cơ bản về việc quyền quản trị công ty nằm ở đâu. Luật Delaware trao quyền quản lý doanh nghiệp cho các đại diện hội đồng quản trị được các cổ đông bầu chọn một cách hợp lệ. 8 Del. C. § 141(a). Nghĩa vụ tín thác (fiduciary duty) để quản lý một doanh nghiệp bao gồm việc lựa chọn khung thời gian để đạt được các mục tiêu của công ty. Nghĩa vụ đó không thể được giao phó cho các cổ đông. Van Gorkom, 488 A.2d at 873. Các giám đốc không có nghĩa vụ phải từ bỏ một kế hoạch công ty được hoạch định có chủ đích vì lợi nhuận ngắn hạn cho cổ đông trừ khi rõ ràng không có cơ sở nào để duy trì chiến lược công ty. </w:t>
      </w:r>
      <w:r>
        <w:rPr>
          <w:b w:val="0"/>
          <w:i/>
        </w:rPr>
        <w:t>Xem</w:t>
      </w:r>
      <w:r>
        <w:rPr>
          <w:b w:val="0"/>
          <w:i w:val="0"/>
        </w:rPr>
        <w:t>, ví dụ, Revlon, 506 A.2d 173.</w:t>
      </w:r>
    </w:p>
    <w:p>
      <w:pPr>
        <w:spacing w:after="80"/>
      </w:pPr>
      <w:r>
        <w:rPr>
          <w:b w:val="0"/>
          <w:i w:val="0"/>
        </w:rPr>
        <w:t>Mặc dù Thẩm phán Chancery có phần làm mờ đi các phân tích riêng biệt được yêu cầu theo Unocal, ông đã kết luận rằng hội đồng quản trị Time đã nhận thức một cách hợp lý rằng đề nghị của Paramount là một mối đe dọa đáng kể đối với kế hoạch sáp nhập Time-Warner và rằng phản ứng của Time không "quá rộng". Chúng tôi đã nhận thấy rằng ngay cả khi đối mặt với một mối đe dọa hợp lệ, các hành động của ban lãnh đạo mang tính cưỡng chế hoặc buộc các cổ đông phải chấp nhận một phương án thay thế do ban lãnh đạo bảo trợ thay vì một đề nghị thù địch có thể bị đánh đổ như những phản ứng không hợp lý và không tương xứng. Macmillan, 559 A.2d 1261; AC Acquisitions Corp., 519 A.2d 103.</w:t>
      </w:r>
    </w:p>
    <w:p>
      <w:pPr>
        <w:spacing w:after="80"/>
      </w:pPr>
      <w:r>
        <w:rPr>
          <w:b w:val="0"/>
          <w:i w:val="0"/>
        </w:rPr>
        <w:t>Ở đây, dựa trên các tình tiết trong hồ sơ, Thẩm phán Chancery nhận thấy rằng hành động phản ứng của Time đối với đề nghị mua lại của Paramount không nhằm "ép buộc" các cổ đông của mình chấp nhận một phương án thay thế do ban lãnh đạo bảo trợ, mà thay vào đó mục tiêu của nó là tiếp tục thực hiện một giao dịch đã có từ trước dưới một hình thức đã thay đổi. Do đó, phản ứng này có liên quan hợp lý đến mối đe dọa. Thẩm phán Chancery lưu ý rằng thỏa thuận sửa đổi và các thiết bị an toàn kèm theo không ngăn cản Paramount đưa ra một đề nghị cho công ty Time-Warner kết hợp hoặc thay đổi các điều kiện trong đề nghị của mình để không làm cho đề nghị phụ thuộc vào việc vô hiệu hóa thỏa thuận Time-Warner. Do đó, phản ứng này là tương xứng. Chúng tôi khẳng định các phán quyết của Thẩm phán Chancery vì chúng được hồ sơ ủng hộ một cách rõ ràng. Cuối cùng, chúng tôi lưu ý rằng mặc dù Time đã buộc phải gánh một khoản nợ nặng nề để tài trợ cho việc mua lại Warner do đề nghị thù địch của Paramount, chỉ riêng sự kiện đó không làm cho quyết định của hội đồng quản trị trở nên không hợp lý miễn là các giám đốc có thể nhận thức một cách hợp lý rằng gánh nặng nợ không gây tổn hại đến công ty đến mức đe dọa sự lành mạnh của nó.</w:t>
      </w:r>
    </w:p>
    <w:p>
      <w:pPr>
        <w:pStyle w:val="Heading5"/>
      </w:pPr>
      <w:r>
        <w:rPr>
          <w:rFonts w:ascii="Calibri" w:hAnsi="Calibri"/>
          <w:b/>
          <w:i/>
          <w:sz w:val="22"/>
        </w:rPr>
        <w:t>Bình luận và Câu hỏi</w:t>
      </w:r>
    </w:p>
    <w:p>
      <w:pPr>
        <w:spacing w:after="80"/>
      </w:pPr>
      <w:r>
        <w:rPr>
          <w:b w:val="0"/>
          <w:i w:val="0"/>
        </w:rPr>
        <w:t>1. Đề nghị của Paramount trong vụ án này là một đề nghị toàn tiền mặt, toàn bộ cổ phần. Hơn nữa, nó bao gồm một khoản phụ trội 58% so với giá cổ phiếu trước đề nghị của Time. Tóm lại, nó không thiếu bất kỳ yếu tố cưỡng chế nào hiện diện trong một đề nghị từng phần hai tầng thuộc loại mà Mesa Petroleum đã sử dụng chống lại Unocal. Với những điều khoản này, "mối đe dọa" nào đã được đề nghị này đặt ra đối với Time để biện minh cho các biện pháp phòng vệ khác nhau?</w:t>
      </w:r>
    </w:p>
    <w:p>
      <w:pPr>
        <w:spacing w:after="80"/>
      </w:pPr>
      <w:r>
        <w:rPr>
          <w:b w:val="0"/>
          <w:i w:val="0"/>
        </w:rPr>
        <w:t>2. Bạn nghĩ việc Time và Warner đã thảo luận về một vụ sáp nhập hoặc liên doanh tiềm năng trong nhiều năm quan trọng như thế nào đối với phán quyết? Quá trình tố tụng đóng vai trò gì trong quyết định của tòa án?</w:t>
      </w:r>
    </w:p>
    <w:p>
      <w:pPr>
        <w:spacing w:after="80"/>
      </w:pPr>
      <w:r>
        <w:rPr>
          <w:b w:val="0"/>
          <w:i w:val="0"/>
        </w:rPr>
        <w:t xml:space="preserve">3. Vụ án này có hợp pháp hóa phản ứng "chỉ cần nói không" (just say no) đối với một vụ thâu tóm thù địch không? Giáo sư Gordon chỉ ra rằng quyết định này "đã tiến gần" đến việc duy trì biện pháp phòng vệ. </w:t>
      </w:r>
      <w:r>
        <w:rPr>
          <w:b w:val="0"/>
          <w:i/>
        </w:rPr>
        <w:t>Xem</w:t>
      </w:r>
      <w:r>
        <w:rPr>
          <w:b w:val="0"/>
          <w:i w:val="0"/>
        </w:rPr>
        <w:t xml:space="preserve"> Jeffrey N. Gordon, </w:t>
      </w:r>
      <w:r>
        <w:rPr>
          <w:b w:val="0"/>
          <w:i/>
        </w:rPr>
        <w:t>Corporations, Markets, and Courts</w:t>
      </w:r>
      <w:r>
        <w:rPr>
          <w:b w:val="0"/>
          <w:i w:val="0"/>
        </w:rPr>
        <w:t xml:space="preserve">, 91 Colum. L. Rev. 1931, 1932 (1991). Bạn có đồng ý không? Các phán quyết sau đó thậm chí còn tiến gần hơn đến việc chấp thuận phản ứng "chỉ cần nói không". </w:t>
      </w:r>
      <w:r>
        <w:rPr>
          <w:b w:val="0"/>
          <w:i/>
        </w:rPr>
        <w:t>Xem Air Products and Chemicals, Inc. v. Airgas, Inc.</w:t>
      </w:r>
      <w:r>
        <w:rPr>
          <w:b w:val="0"/>
          <w:i w:val="0"/>
        </w:rPr>
        <w:t>, 16 A.3d 48 (Del. Ch. 2011).</w:t>
      </w:r>
    </w:p>
    <w:p>
      <w:pPr>
        <w:spacing w:after="80"/>
      </w:pPr>
      <w:r>
        <w:rPr>
          <w:b w:val="0"/>
          <w:i w:val="0"/>
        </w:rPr>
        <w:t xml:space="preserve">4. Dù tình huống này có hàm ý gì cho phản ứng “cứ nói không”, thì các tòa án Delaware đã bác bỏ cách tiếp cận này một khi đã có quyết định bán công ty. Trong những trường hợp đó, hội đồng quản trị có nghĩa vụ ủy thác (fiduciary obligation) phải tối đa hóa lợi nhuận cho cổ đông. </w:t>
      </w:r>
      <w:r>
        <w:rPr>
          <w:b w:val="0"/>
          <w:i/>
        </w:rPr>
        <w:t>Xem Revlon, Inc. v. MacAndrews &amp; Forbes Holdings</w:t>
      </w:r>
      <w:r>
        <w:rPr>
          <w:b w:val="0"/>
          <w:i w:val="0"/>
        </w:rPr>
        <w:t xml:space="preserve"> , 506 A.2d 173 (Del. 1986).</w:t>
      </w:r>
    </w:p>
    <w:p>
      <w:pPr>
        <w:spacing w:after="80"/>
      </w:pPr>
      <w:r>
        <w:rPr>
          <w:b w:val="0"/>
          <w:i w:val="0"/>
        </w:rPr>
        <w:t>5. Một cách tiếp cận khác có thể là cho phép đề nghị của Paramount được tiến hành trong khi ban điều hành cố gắng thuyết phục cổ đông không chào bán cổ phiếu vì những lợi ích dài hạn sẽ có được từ việc sáp nhập giữa Time và Warner. Khi không cho phép điều này xảy ra, hội đồng quản trị bề ngoài là đang bảo vệ cổ đông khỏi, theo Tòa án này, “sự thiếu hiểu biết hoặc niềm tin sai lầm về lợi ích chiến lược mà một sự kết hợp kinh doanh với Warner có thể mang lại.” Bạn nghĩ gì về lập luận này?</w:t>
      </w:r>
    </w:p>
    <w:p>
      <w:pPr>
        <w:pStyle w:val="Heading3"/>
      </w:pPr>
      <w:r>
        <w:rPr>
          <w:rFonts w:ascii="Calibri" w:hAnsi="Calibri"/>
          <w:b/>
          <w:i w:val="0"/>
          <w:sz w:val="26"/>
        </w:rPr>
        <w:t>C. Sức mạnh của Viên thuốc độc (Poison Pill)</w:t>
      </w:r>
    </w:p>
    <w:p>
      <w:pPr>
        <w:spacing w:after="80"/>
      </w:pPr>
      <w:r>
        <w:rPr>
          <w:b w:val="0"/>
          <w:i w:val="0"/>
        </w:rPr>
        <w:t>Các chiến thuật phòng thủ của hội đồng quản trị thường bao gồm một loạt các biện pháp đầy màu sắc nhằm làm cho công ty trở nên không hấp dẫn trên thực tế, về mặt pháp lý hoặc kinh tế để bị thâu tóm. Vì vậy, hội đồng quản trị có thể chọn bán “báu vật vương miện” (crown jewels), tức bán chính những tài sản đã thúc đẩy bên chào thầu thù địch ngay từ đầu. Các hợp đồng lao động cho các quan chức cấp cao (hay còn gọi là “dù vàng” – golden parachutes) có thể quy định các khoản thanh toán đáng kể cho các giám đốc khi có sự thay đổi quyền kiểm soát, làm tăng chi phí thâu tóm. Thời đại này cũng chứng kiến việc sử dụng chiến thuật pac man, hiệp sĩ trắng (white knights), tiểu hiệp sĩ trắng (white squires), và các tu chính án chống cá mập (shark repellant) đối với điều lệ công ty.</w:t>
      </w:r>
    </w:p>
    <w:p>
      <w:pPr>
        <w:spacing w:after="80"/>
      </w:pPr>
      <w:r>
        <w:rPr>
          <w:b w:val="0"/>
          <w:i w:val="0"/>
        </w:rPr>
        <w:t>Không có chiến thuật phòng thủ nào hiệu quả hơn kế hoạch quyền cổ đông (shareholder rights plan), mà dân gian thường gọi là viên thuốc độc (poison pill). Viên thuốc này có thể được thực hiện bằng nghị quyết của hội đồng quản trị và ngay lập tức khiến một thương vụ thâu tóm thù địch trở nên bất khả thi về mặt tài chính.</w:t>
      </w:r>
    </w:p>
    <w:p>
      <w:pPr>
        <w:pStyle w:val="Heading4"/>
      </w:pPr>
      <w:r>
        <w:rPr>
          <w:rFonts w:ascii="Calibri" w:hAnsi="Calibri"/>
          <w:b/>
          <w:i w:val="0"/>
          <w:sz w:val="23"/>
        </w:rPr>
        <w:t xml:space="preserve">Julian Velasco, </w:t>
      </w:r>
      <w:r>
        <w:rPr>
          <w:rFonts w:ascii="Calibri" w:hAnsi="Calibri"/>
          <w:b/>
          <w:i/>
          <w:sz w:val="23"/>
        </w:rPr>
        <w:t>Just Do It: An Antidote to the Poison Pill</w:t>
      </w:r>
    </w:p>
    <w:p>
      <w:pPr>
        <w:spacing w:after="80"/>
      </w:pPr>
      <w:r>
        <w:rPr>
          <w:b w:val="0"/>
          <w:i w:val="0"/>
        </w:rPr>
        <w:t>52 Emory L.J. 849, 857–859 (2003)</w:t>
      </w:r>
    </w:p>
    <w:p>
      <w:pPr>
        <w:spacing w:after="80"/>
      </w:pPr>
      <w:r>
        <w:rPr>
          <w:b w:val="0"/>
          <w:i w:val="0"/>
        </w:rPr>
        <w:t>Theo một Kế hoạch Quyền Cổ đông (Shareholder Rights Plan) điển hình, công ty phát hành cổ tức là một “Quyền” (Right) cho mỗi cổ phiếu phổ thông của mình. Mỗi Quyền chỉ đại diện cho một quyền có điều kiện: nó không thể thực hiện ngay lập tức; hơn nữa, nó gắn liền với, và không thể được giao dịch độc lập với, cổ phiếu phổ thông tương ứng.</w:t>
      </w:r>
    </w:p>
    <w:p>
      <w:pPr>
        <w:spacing w:after="80"/>
      </w:pPr>
      <w:r>
        <w:rPr>
          <w:b w:val="0"/>
          <w:i w:val="0"/>
        </w:rPr>
        <w:t>Các Quyền sẽ trở nên có ý nghĩa khi xảy ra các sự kiện kích hoạt được chỉ định. Sự kiện kích hoạt then chốt là việc bất kỳ ai đạt được một tỷ lệ phần trăm cổ phiếu phổ thông của công ty được chỉ định. Mức sở hữu ngưỡng có thể thay đổi, nhưng thường nằm trong khoảng từ mười đến hai mươi phần trăm. Khi xảy ra sự kiện kích hoạt, các Quyền sẽ cho người nắm giữ quyền mua thêm chứng khoán (hoặc tài sản khác) với giá chiết khấu. Mấu chốt của viên thuốc độc, và điều khiến nó trở nên độc hại đến vậy, là bất kỳ Quyền nào nằm trong tay bên chào thầu thù địch sẽ trở nên vô hiệu và không thể chuyển nhượng. Vì tất cả các cổ đông khác sẽ mua thêm chứng khoán với giá chiết khấu, lợi ích của bên chào thầu thù địch sẽ bị pha loãng nghiêm trọng. Sự pha loãng này sẽ khiến việc thâu tóm công ty trở nên đắt đỏ đến mức cấm. Mục đích là để ngăn chặn bất kỳ thương vụ thâu tóm không được hoan nghênh nào, và viên thuốc độc đã rất thành công trong khía cạnh đó.</w:t>
      </w:r>
    </w:p>
    <w:p>
      <w:pPr>
        <w:spacing w:after="80"/>
      </w:pPr>
      <w:r>
        <w:rPr>
          <w:b w:val="0"/>
          <w:i w:val="0"/>
        </w:rPr>
        <w:t>Bản chất chính xác của sự pha loãng thay đổi tùy theo các điều khoản cụ thể của Kế hoạch Quyền Cổ đông. “Thành phần hoạt chất” trong viên thuốc độc có thể mang nhiều hình thức khác nhau, nhưng các biến thể chính rơi vào ba loại. Hình thức ban đầu của viên thuốc độc có các điều khoản “flip-over”. Những điều khoản này cho phép cổ đông mua cổ phiếu của bên chào thầu thù địch với giá chiết khấu đáng kể, nhưng chỉ trong những trường hợp nhất định. Những thiếu sót của viên thuốc flip-over đã dẫn đến việc tạo ra các phiên bản mới hơn của viên thuốc độc. Ví dụ, các điều khoản “back-end” cho phép cổ đông, ngoại trừ bên thâu tóm, nhận tài sản từ công ty, thường dưới dạng chứng khoán nợ hoặc tiền mặt. Tuy nhiên, viên thuốc back-end cũng mắc phải những khiếm khuyết đáng kể. Mặt khác, các điều khoản “flip-in” không mắc phải những thiếu sót như vậy và giải thích cho sự phổ biến của viên thuốc độc. Chúng cho phép cổ đông, ngoại trừ bên chào thầu thù địch, mua cổ phiếu của công ty mục tiêu với giá chiết khấu đáng kể. Mỗi phiên bản của viên thuốc độc sẽ được thảo luận lần lượt dưới đây.</w:t>
      </w:r>
    </w:p>
    <w:p>
      <w:pPr>
        <w:spacing w:after="80"/>
      </w:pPr>
      <w:r>
        <w:rPr>
          <w:b w:val="0"/>
          <w:i w:val="0"/>
        </w:rPr>
        <w:t>Tuy nhiên, nếu các Kế hoạch Quyền Cổ đông chỉ dừng lại ở đó, thì chúng sẽ không thực tế lắm. Những điều khoản như vậy sẽ ngăn chặn mọi thương vụ thâu tóm công ty, dù nó có thể có lợi đến đâu. Các giám đốc thường nhận ra rằng những hạn chế cố hữu trong một lệnh cấm hoàn toàn sẽ là không khôn ngoan. Vì vậy, các Kế hoạch Quyền Cổ đông cũng bao gồm các điều khoản cho phép hội đồng quản trị “rút viên thuốc” bằng cách mua lại các Quyền với giá danh nghĩa. Những điều khoản này nhằm khuyến khích các bên thâu tóm tiềm năng đàm phán thương vụ thâu tóm với hội đồng quản trị của công ty. Nếu bên thâu tóm thuyết phục được hội đồng quản trị về đề nghị của mình, thì hội đồng có thể bỏ phiếu rút viên thuốc bằng cách mua lại các Quyền. Tuy nhiên, nếu bên thâu tóm không thể thuyết phục được hội đồng, thì viên thuốc độc sẽ vẫn còn nguyên vẹn. Như vậy, các giám đốc sẽ giữ được sự linh hoạt tối đa.</w:t>
      </w:r>
    </w:p>
    <w:p>
      <w:pPr>
        <w:spacing w:after="80"/>
      </w:pPr>
      <w:r>
        <w:rPr>
          <w:b w:val="0"/>
          <w:i w:val="0"/>
        </w:rPr>
        <w:t>Tuy nhiên, khả năng mua lại các Quyền không giới hạn cũng sẽ có vấn đề vì nó cho phép bên thâu tóm mua lại các Quyền sau khi đã giành được quyền kiểm soát công ty. Do đó, các Kế hoạch Quyền Cổ đông thường quy định rằng các Quyền có thể được hội đồng quản trị của công ty mua lại bất cứ lúc nào trước khi viên thuốc độc được kích hoạt, nhưng không được sau đó. Khi xảy ra sự kiện kích hoạt, các Quyền sẽ trở nên không thể mua lại. Như vậy, sự linh hoạt mà hội đồng quản trị ban đầu được hưởng sẽ không còn dễ dàng có được đối với bên chào thầu thù địch.</w:t>
      </w:r>
    </w:p>
    <w:p>
      <w:pPr>
        <w:pStyle w:val="Heading5"/>
      </w:pPr>
      <w:r>
        <w:rPr>
          <w:rFonts w:ascii="Calibri" w:hAnsi="Calibri"/>
          <w:b/>
          <w:i/>
          <w:sz w:val="22"/>
        </w:rPr>
        <w:t>Bình luận và Câu hỏi</w:t>
      </w:r>
    </w:p>
    <w:p>
      <w:pPr>
        <w:spacing w:after="80"/>
      </w:pPr>
      <w:r>
        <w:rPr>
          <w:b w:val="0"/>
          <w:i w:val="0"/>
        </w:rPr>
        <w:t xml:space="preserve">1. Marty Lipton, một trong những đối tác được đặt tên trong hãng luật Wachtell Lipton, đã phát minh ra viên thuốc độc vào năm 1982. </w:t>
      </w:r>
      <w:r>
        <w:rPr>
          <w:b w:val="0"/>
          <w:i/>
        </w:rPr>
        <w:t>Xem</w:t>
      </w:r>
      <w:r>
        <w:rPr>
          <w:b w:val="0"/>
          <w:i w:val="0"/>
        </w:rPr>
        <w:t xml:space="preserve"> Martin Lipton, </w:t>
      </w:r>
      <w:r>
        <w:rPr>
          <w:b w:val="0"/>
          <w:i/>
        </w:rPr>
        <w:t>Pills, Polls, and Professors Redux</w:t>
      </w:r>
      <w:r>
        <w:rPr>
          <w:b w:val="0"/>
          <w:i w:val="0"/>
        </w:rPr>
        <w:t xml:space="preserve"> , 69 U. Chi. L. Rev. 1037, 1043 (2002).</w:t>
      </w:r>
    </w:p>
    <w:p>
      <w:pPr>
        <w:spacing w:after="80"/>
      </w:pPr>
      <w:r>
        <w:rPr>
          <w:b w:val="0"/>
          <w:i w:val="0"/>
        </w:rPr>
        <w:t xml:space="preserve">2. Tính hợp pháp của những thiết bị này ban đầu không rõ ràng. Chúng chỉ hoạt động khi cổ đông kích hoạt bị loại khỏi việc tham gia. Cho đến </w:t>
      </w:r>
      <w:r>
        <w:rPr>
          <w:b w:val="0"/>
          <w:i/>
        </w:rPr>
        <w:t>Unocal</w:t>
      </w:r>
      <w:r>
        <w:rPr>
          <w:b w:val="0"/>
          <w:i w:val="0"/>
        </w:rPr>
        <w:t xml:space="preserve"> , quy tắc phổ biến là các cổ đông cùng một loại phải được đối xử bình đẳng. Mặc dù </w:t>
      </w:r>
      <w:r>
        <w:rPr>
          <w:b w:val="0"/>
          <w:i/>
        </w:rPr>
        <w:t>Unocal</w:t>
      </w:r>
      <w:r>
        <w:rPr>
          <w:b w:val="0"/>
          <w:i w:val="0"/>
        </w:rPr>
        <w:t xml:space="preserve"> liên quan đến một đề nghị tự chào bán (self-tender offer), nó đã ủng hộ sự phân biệt đối xử và thực sự hợp thức hóa đặc điểm nổi bật nhất của viên thuốc độc.</w:t>
      </w:r>
    </w:p>
    <w:p>
      <w:pPr>
        <w:spacing w:after="80"/>
      </w:pPr>
      <w:r>
        <w:rPr>
          <w:b w:val="0"/>
          <w:i w:val="0"/>
        </w:rPr>
        <w:t xml:space="preserve">3. Viên thuốc độc đã chính thức được Tòa án Tối cao Delaware ủng hộ trong </w:t>
      </w:r>
      <w:r>
        <w:rPr>
          <w:b w:val="0"/>
          <w:i/>
        </w:rPr>
        <w:t>Moran v. Household International, Inc.</w:t>
      </w:r>
      <w:r>
        <w:rPr>
          <w:b w:val="0"/>
          <w:i w:val="0"/>
        </w:rPr>
        <w:t xml:space="preserve"> , 500 A.2d 1346 (Del. 1985).</w:t>
      </w:r>
    </w:p>
    <w:p>
      <w:pPr>
        <w:spacing w:after="80"/>
      </w:pPr>
      <w:r>
        <w:rPr>
          <w:b w:val="0"/>
          <w:i w:val="0"/>
        </w:rPr>
        <w:t xml:space="preserve">4. Ở ít nhất ba khu vực tài phán, các tòa án ban đầu đã chọn không tuân theo phán quyết của Delaware rằng các viên thuốc độc (poison pill), với khía cạnh phân biệt đối xử của chúng, là hợp pháp. Trong cả ba trường hợp, cơ quan lập pháp tiểu bang đã lật ngược quyết định. </w:t>
      </w:r>
      <w:r>
        <w:rPr>
          <w:b w:val="0"/>
          <w:i/>
        </w:rPr>
        <w:t>Xem</w:t>
      </w:r>
      <w:r>
        <w:rPr>
          <w:b w:val="0"/>
          <w:i w:val="0"/>
        </w:rPr>
        <w:t xml:space="preserve"> J. Robert Brown, Jr., </w:t>
      </w:r>
      <w:r>
        <w:rPr>
          <w:b w:val="0"/>
          <w:i/>
        </w:rPr>
        <w:t>Discrimination, Managerial Discretion and the Corporate Contract</w:t>
      </w:r>
      <w:r>
        <w:rPr>
          <w:b w:val="0"/>
          <w:i w:val="0"/>
        </w:rPr>
        <w:t xml:space="preserve"> , 26 Wake Forest L. Rev. 541, 573–74 (1991).</w:t>
      </w:r>
    </w:p>
    <w:p>
      <w:pPr>
        <w:spacing w:after="80"/>
      </w:pPr>
      <w:r>
        <w:rPr>
          <w:b w:val="0"/>
          <w:i w:val="0"/>
        </w:rPr>
        <w:t>—————</w:t>
      </w:r>
    </w:p>
    <w:p>
      <w:pPr>
        <w:spacing w:after="80"/>
      </w:pPr>
      <w:r>
        <w:rPr>
          <w:b w:val="0"/>
          <w:i w:val="0"/>
        </w:rPr>
        <w:t xml:space="preserve">Cho đến nay, chỉ có một cổ đông đã kích hoạt viên thuốc độc và chịu sự pha loãng (dilution) do đó mà ra. </w:t>
      </w:r>
      <w:r>
        <w:rPr>
          <w:b w:val="0"/>
          <w:i/>
        </w:rPr>
        <w:t>Xem Selectica, Inc. v. Versata Enterprises, Inc.</w:t>
      </w:r>
      <w:r>
        <w:rPr>
          <w:b w:val="0"/>
          <w:i w:val="0"/>
        </w:rPr>
        <w:t xml:space="preserve"> , 2010 Del. Ch. LEXIS 39 (Mar. 1, 2010), </w:t>
      </w:r>
      <w:r>
        <w:rPr>
          <w:b w:val="0"/>
          <w:i/>
        </w:rPr>
        <w:t>aff'd</w:t>
      </w:r>
      <w:r>
        <w:rPr>
          <w:b w:val="0"/>
          <w:i w:val="0"/>
        </w:rPr>
        <w:t xml:space="preserve"> , 5 A.3d 586 (Del. 2010). Sir James Goldsmith cũng đã kích hoạt một khía cạnh của viên thuốc vào năm 1985. Các giao dịch mua của ông dẫn đến việc phân phối quyền cho các cổ đông nhưng không khiến chúng trở nên có thể thực hiện được. Sự hiếm hoi tương đối này cho thấy hiệu quả của viên thuốc trong bối cảnh các thương vụ thâu tóm thù địch. Các bên chào mua sẽ không tiến tới trừ khi viên thuốc được chuộc lại hoặc bị tòa án vô hiệu hóa. Do đó, vai trò của các tòa án trở nên rất quan trọng.</w:t>
      </w:r>
    </w:p>
    <w:p>
      <w:pPr>
        <w:pStyle w:val="Heading4"/>
      </w:pPr>
      <w:r>
        <w:rPr>
          <w:rFonts w:ascii="Calibri" w:hAnsi="Calibri"/>
          <w:b/>
          <w:i w:val="0"/>
          <w:sz w:val="23"/>
        </w:rPr>
        <w:t>Air Products and Chemicals, Inc. v. Airgas, Inc.</w:t>
      </w:r>
    </w:p>
    <w:p>
      <w:pPr>
        <w:spacing w:after="80"/>
      </w:pPr>
      <w:r>
        <w:rPr>
          <w:b w:val="0"/>
          <w:i w:val="0"/>
        </w:rPr>
        <w:t>Tòa án Chancery Delaware</w:t>
      </w:r>
      <w:r>
        <w:br/>
      </w:r>
      <w:r>
        <w:rPr>
          <w:b w:val="0"/>
          <w:i w:val="0"/>
        </w:rPr>
        <w:t xml:space="preserve"> 16 A.3d 48 (2011)</w:t>
      </w:r>
    </w:p>
    <w:p>
      <w:pPr>
        <w:spacing w:after="80"/>
      </w:pPr>
      <w:r>
        <w:rPr>
          <w:b w:val="0"/>
          <w:i w:val="0"/>
        </w:rPr>
        <w:t>CHANDLER , CHANCELLOR :</w:t>
      </w:r>
    </w:p>
    <w:p>
      <w:pPr>
        <w:spacing w:after="80"/>
      </w:pPr>
      <w:r>
        <w:rPr>
          <w:b w:val="0"/>
          <w:i w:val="0"/>
        </w:rPr>
        <w:t>[Airgas đã thiết lập một hội đồng quản trị theo nhiệm kỳ so le (staggered board) và một viên thuốc độc. Vào ngày 11 tháng 2 năm 2010, Air Products đưa ra lời đề nghị toàn bộ bằng tiền mặt, mua toàn bộ cổ phần của Airgas với giá $60 một cổ phần. Giá được nâng lên $63.50 vào ngày 8 tháng 7 và $65.50 vào ngày 6 tháng 9. Trong mỗi trường hợp, hội đồng quản trị đều từ chối lời đề nghị, kết luận rằng mức giá là không thỏa đáng. Vào ngày 15 tháng 9 năm 2010, Airgas tổ chức cuộc họp cổ đông thường niên. Do hội đồng quản trị so le, chỉ có ba trong số chín giám đốc được bầu lại, bao gồm Peter McCausland, người sáng lập, CEO và chủ tịch của Airgas. Air Products đã đề cử một danh sách đối thủ và cả ba vị trí, mặc dù McCausland được tái bổ nhiệm nhất trí vào hội đồng quản trị sau cuộc họp. Vào ngày 9 tháng 12 năm 2010, Air Products nâng giá chào mua lên $70 nhưng tuyên bố rằng đây là lời đề nghị "tốt nhất và cuối cùng". Lời đề nghị lại bị từ chối là "rõ ràng không thỏa đáng" và hội đồng quản trị Airgas nhắc lại quan điểm rằng giá trị cổ phần tối thiểu là $78. Như vậy, vào thời điểm tòa án ra phán quyết về tính hợp pháp của viên thuốc độc, nỗ lực thâu tóm đã diễn ra hơn một năm.]</w:t>
      </w:r>
    </w:p>
    <w:p>
      <w:pPr>
        <w:spacing w:after="80"/>
      </w:pPr>
      <w:r>
        <w:rPr>
          <w:b w:val="0"/>
          <w:i w:val="0"/>
        </w:rPr>
        <w:t xml:space="preserve">Theo nhánh thứ nhất của </w:t>
      </w:r>
      <w:r>
        <w:rPr>
          <w:b w:val="0"/>
          <w:i/>
        </w:rPr>
        <w:t>Unocal</w:t>
      </w:r>
      <w:r>
        <w:rPr>
          <w:b w:val="0"/>
          <w:i w:val="0"/>
        </w:rPr>
        <w:t xml:space="preserve"> , các bị đơn phải chịu trách nhiệm chứng minh rằng hội đồng quản trị Airgas, "sau một cuộc điều tra hợp lý . . . đã xác định một cách thiện chí rằng [lời đề nghị của Air Products] đặt ra một mối đe dọa . . . cần có một biện pháp phòng vệ." . . .</w:t>
      </w:r>
    </w:p>
    <w:p>
      <w:pPr>
        <w:spacing w:after="80"/>
      </w:pPr>
      <w:r>
        <w:rPr>
          <w:b w:val="0"/>
          <w:i w:val="0"/>
        </w:rPr>
        <w:t>* * *</w:t>
      </w:r>
    </w:p>
    <w:p>
      <w:pPr>
        <w:spacing w:after="80"/>
      </w:pPr>
      <w:r>
        <w:rPr>
          <w:b w:val="0"/>
          <w:i w:val="0"/>
        </w:rPr>
        <w:t>2. Đâu là "Mối đe dọa"?</w:t>
      </w:r>
    </w:p>
    <w:p>
      <w:pPr>
        <w:spacing w:after="80"/>
      </w:pPr>
      <w:r>
        <w:rPr>
          <w:b w:val="0"/>
          <w:i w:val="0"/>
        </w:rPr>
        <w:t xml:space="preserve">Mặc dù hội đồng quản trị Airgas đáp ứng ngưỡng chứng minh thiện chí và điều tra hợp lý, phần đầu tiên của việc xem xét theo </w:t>
      </w:r>
      <w:r>
        <w:rPr>
          <w:b w:val="0"/>
          <w:i/>
        </w:rPr>
        <w:t>Unocal</w:t>
      </w:r>
      <w:r>
        <w:rPr>
          <w:b w:val="0"/>
          <w:i w:val="0"/>
        </w:rPr>
        <w:t xml:space="preserve"> đòi hỏi nhiều hơn thế; nó yêu cầu hội đồng quản trị chứng minh rằng thiện chí và cuộc điều tra hợp lý của mình cuối cùng đã cho hội đồng quản trị "căn cứ để kết luận rằng tồn tại một mối đe dọa đối với doanh nghiệp". Trong phiên điều trần bổ sung về chứng cứ, Airgas (và các luật sư của họ) đã cố gắng xác định nhiều mối đe dọa do lời đề nghị $70 của Air Products gây ra: Nó mang tính cưỡng chế. Nó được định thời một cách cơ hội. Nó đặt các cổ đông vào một "tình thế tiến thoái lưỡng nan của tù nhân". Nó định giá thấp Airgas—đây là mức giá "rõ ràng không thỏa đáng". Những kẻ kinh doanh chênh lệch giá sáp nhập (merger arbitrageurs) đã mua vào Airgas cần được "bảo vệ khỏi chính họ". Những kẻ chênh lệch giá là một "mối đe dọa" đối với thiểu số. Danh sách còn dài.</w:t>
      </w:r>
    </w:p>
    <w:p>
      <w:pPr>
        <w:spacing w:after="80"/>
      </w:pPr>
      <w:r>
        <w:rPr>
          <w:b w:val="0"/>
          <w:i w:val="0"/>
        </w:rPr>
        <w:t>* * *</w:t>
      </w:r>
    </w:p>
    <w:p>
      <w:pPr>
        <w:spacing w:after="80"/>
      </w:pPr>
      <w:r>
        <w:rPr>
          <w:b w:val="0"/>
          <w:i w:val="0"/>
        </w:rPr>
        <w:t>a. Cưỡng chế mang tính cấu trúc</w:t>
      </w:r>
    </w:p>
    <w:p>
      <w:pPr>
        <w:spacing w:after="80"/>
      </w:pPr>
      <w:r>
        <w:rPr>
          <w:b w:val="0"/>
          <w:i w:val="0"/>
        </w:rPr>
        <w:t xml:space="preserve">Lời đề nghị của Air Products không mang tính cưỡng chế về mặt cấu trúc. Một lời đề nghị cưỡng chế về mặt cấu trúc liên quan đến "rủi ro rằng việc đối xử khác biệt đối với các cổ đông không chào bán có thể bóp méo quyết định chào bán của cổ đông." </w:t>
      </w:r>
      <w:r>
        <w:rPr>
          <w:b w:val="0"/>
          <w:i/>
        </w:rPr>
        <w:t>Unocal</w:t>
      </w:r>
      <w:r>
        <w:rPr>
          <w:b w:val="0"/>
          <w:i w:val="0"/>
        </w:rPr>
        <w:t xml:space="preserve"> , chẳng hạn, "liên quan đến một lời đề nghị chào mua hai tầng, mang tính cưỡng chế cao" nơi các cổ đông không chào bán vào lời đề nghị có nguy cơ bị mắc kẹt với trái phiếu rác ở giai đoạn sau. "Trong trường hợp như vậy, mối đe dọa là rõ ràng: các cổ đông có thể bị buộc phải chào bán </w:t>
      </w:r>
      <w:r>
        <w:rPr>
          <w:b w:val="0"/>
          <w:i/>
        </w:rPr>
        <w:t>để tránh bị đối xử bất lợi</w:t>
      </w:r>
      <w:r>
        <w:rPr>
          <w:b w:val="0"/>
          <w:i w:val="0"/>
        </w:rPr>
        <w:t xml:space="preserve"> ở giai đoạn thứ hai của giao dịch."</w:t>
      </w:r>
    </w:p>
    <w:p>
      <w:pPr>
        <w:spacing w:after="80"/>
      </w:pPr>
      <w:r>
        <w:rPr>
          <w:b w:val="0"/>
          <w:i w:val="0"/>
        </w:rPr>
        <w:t xml:space="preserve">Lời đề nghị của Air Products không đặt ra mối đe dọa cấu trúc như vậy. Nó dành cho toàn bộ cổ phần của Airgas với khoản thanh toán toàn bộ bằng tiền mặt. Lời đề nghị được bảo đảm bằng tài chính có bảo đảm. Có sự phê duyệt của cơ quan quản lý. Giai đoạn đầu sẽ nhận được cùng khoản thanh toán như giai đoạn sau, cùng loại tiền tệ, nhanh nhất có thể trong thực tế. Air Products cam kết thanh toán ngay $70 tiền mặt cho từng cổ phần của Airgas và không có ý định sở hữu ít hơn 100% Airgas. Air Products sẽ tìm cách thâu tóm bất kỳ cổ phần nào không chào bán "[n]hanh[chóng] nhất mà pháp luật cho phép." Nó sẵn sàng cam kết một giai đoạn chào bán tiếp theo. Trước điều đó, bất kỳ cổ đông nào tin rằng lời đề nghị $70 là không thỏa đáng đơn giản </w:t>
      </w:r>
      <w:r>
        <w:rPr>
          <w:b w:val="0"/>
          <w:i/>
        </w:rPr>
        <w:t>sẽ không chào bán</w:t>
      </w:r>
      <w:r>
        <w:rPr>
          <w:b w:val="0"/>
          <w:i w:val="0"/>
        </w:rPr>
        <w:t xml:space="preserve"> vào lời đề nghị—họ sẽ không mạo hiểm gì khi không chào bán vì nếu đa số cổ phần Airgas chào bán, bất kỳ cổ phần nào không chào bán đều có thể chào bán vào giai đoạn chào bán tiếp theo và nhận được đúng khoản thanh toán như giai đoạn đầu ($70 mỗi cổ phần bằng tiền mặt). Tóm lại, nếu có một từ trái nghĩa trong từ điển cho "cưỡng chế mang tính cấu trúc", thì lời đề nghị của Air Products có thể chính là nó.</w:t>
      </w:r>
    </w:p>
    <w:p>
      <w:pPr>
        <w:spacing w:after="80"/>
      </w:pPr>
      <w:r>
        <w:rPr>
          <w:b w:val="0"/>
          <w:i w:val="0"/>
        </w:rPr>
        <w:t xml:space="preserve">Như cựu Phó Chánh án, nay là Thẩm phán Berger đã lưu ý, "[c]hắc chắn một lời đề nghị chào mua [mang tính cấu trúc] cưỡng chế không thỏa đáng đe dọa gây tổn hại cho các cổ đông . . . [nhưng] thật khó hiểu làm thế nào, như một vấn đề chung, một lời đề nghị chào mua toàn bộ bằng tiền mặt, toàn bộ cổ phần, với cam kết giai đoạn sau ở cùng mức giá bằng tiền mặt, lại có thể được coi là một mối đe dọa tiếp diễn theo </w:t>
      </w:r>
      <w:r>
        <w:rPr>
          <w:b w:val="0"/>
          <w:i/>
        </w:rPr>
        <w:t>Unocal.</w:t>
      </w:r>
      <w:r>
        <w:rPr>
          <w:b w:val="0"/>
          <w:i w:val="0"/>
        </w:rPr>
        <w:t xml:space="preserve"> " Tôi đồng ý. Tuy nhiên, như đã nêu ở trên, Tòa án Tối cao đã công nhận các "mối đe dọa" khác có thể được đặt ra bởi một lời đề nghị có giá không thỏa đáng. Một mối đe dọa tiếp diễn tiềm tàng như vậy được gọi là "mất cơ hội" (opportunity loss), dường như là một mối đe dọa dựa trên thời gian.</w:t>
      </w:r>
    </w:p>
    <w:p>
      <w:pPr>
        <w:spacing w:after="80"/>
      </w:pPr>
      <w:r>
        <w:rPr>
          <w:b w:val="0"/>
          <w:i w:val="0"/>
        </w:rPr>
        <w:t>b. Tổn thất cơ hội</w:t>
      </w:r>
    </w:p>
    <w:p>
      <w:pPr>
        <w:spacing w:after="80"/>
      </w:pPr>
      <w:r>
        <w:rPr>
          <w:b w:val="0"/>
          <w:i w:val="0"/>
        </w:rPr>
        <w:t>Tổn thất cơ hội là mối đe dọa rằng một "đề nghị thù địch có thể tước đi cơ hội của các cổ đông mục tiêu trong việc lựa chọn một phương án thay thế vượt trội do ban lãnh đạo mục tiêu đưa ra hoặc . . . do một bên chào mua khác đưa ra."</w:t>
      </w:r>
    </w:p>
    <w:p>
      <w:pPr>
        <w:spacing w:after="80"/>
      </w:pPr>
      <w:r>
        <w:rPr>
          <w:b w:val="0"/>
          <w:i w:val="0"/>
        </w:rPr>
        <w:t>Như vậy, đề nghị của Air Products không tạo ra mối đe dọa nào về tổn thất cơ hội. Tính đến thời điểm này, hội đồng quản trị Airgas đã có hơn mười sáu tháng để xem xét đề nghị của Air Products và để khám phá "các phương án chiến lược trong tương lai với tư cách một công ty." Sau ngần ấy thời gian, hiện không có đề nghị thay thế nào đang được đặt lên bàn, và luật sư của các bị đơn đã trình bày trong phiên xử tháng Mười rằng "chúng tôi không khẳng định rằng chúng tôi cần thêm thời gian để khám phá một phương án thay thế cụ thể nào." "Phương án thay thế vượt trội" mà Airgas đang theo đuổi chỉ đơn giản là "tiếp tục con đường hiện tại và thực thi kế hoạch chiến lược [năm năm, dài hạn] của mình."</w:t>
      </w:r>
    </w:p>
    <w:p>
      <w:pPr>
        <w:spacing w:after="80"/>
      </w:pPr>
      <w:r>
        <w:rPr>
          <w:b w:val="0"/>
          <w:i w:val="0"/>
        </w:rPr>
        <w:t>c. Ép buộc thực chất</w:t>
      </w:r>
    </w:p>
    <w:p>
      <w:pPr>
        <w:spacing w:after="80"/>
      </w:pPr>
      <w:r>
        <w:rPr>
          <w:b w:val="0"/>
          <w:i w:val="0"/>
        </w:rPr>
        <w:t>Giá không thỏa đáng và khái niệm ép buộc thực chất có mối liên hệ chặt chẽ với nhau. Tòa án Tối cao Delaware đã định nghĩa ép buộc thực chất . . . là "nguy cơ rằng các cổ đông của [Airgas] có thể chấp nhận Đề nghị không thỏa đáng của [Air Products] vì 'sự thiếu hiểu biết hoặc niềm tin sai lệch' liên quan đến đánh giá của Hội đồng quản trị về giá trị dài hạn của cổ phiếu [Airgas]." Nói cách khác, nếu ban lãnh đạo khuyên các cổ đông, với thiện chí, rằng họ tin đề nghị thù địch của Air Products là không thỏa đáng vì theo quan điểm của họ tiềm năng thu nhập tương lai của công ty lớn hơn mức giá được chào, thì các cổ đông của Airgas vẫn có thể từ chối lời khuyên của hội đồng quản trị và chấp nhận chào bán.</w:t>
      </w:r>
    </w:p>
    <w:p>
      <w:pPr>
        <w:spacing w:after="80"/>
      </w:pPr>
      <w:r>
        <w:rPr>
          <w:b w:val="0"/>
          <w:i w:val="0"/>
        </w:rPr>
        <w:t>* * *</w:t>
      </w:r>
    </w:p>
    <w:p>
      <w:pPr>
        <w:spacing w:after="80"/>
      </w:pPr>
      <w:r>
        <w:rPr>
          <w:b w:val="0"/>
          <w:i w:val="0"/>
        </w:rPr>
        <w:t>. . . Về bản chất, lập luận của Airgas là "việc các nhà đầu tư ngắn hạn, theo đuổi thương vụ này nắm giữ một lượng lớn cổ phiếu Airgas đặt ra mối đe dọa cho công ty và các cổ đông của nó"—mối đe dọa rằng, vì khả năng cao là các nhà kinh doanh chênh lệch giá sẽ ủng hộ đề nghị 70 đô la, "các cổ đông sẽ bị ép buộc phải chấp nhận một đề nghị không thỏa đáng." . . . Lập luận này dựa trên thực tế rằng một tỷ lệ lớn (gần một nửa) cổ đông của Airgas là những nhà kinh doanh chênh lệch giá trong các thương vụ sáp nhập—nhiều người trong số họ đã mua cổ phiếu khi Air Products lần đầu công bố ý định mua lại Airgas, vào thời điểm cổ phiếu đang được giao dịch thấp hơn nhiều so với hiện nay—những người sẵn sàng chấp nhận một đề nghị không thỏa đáng vì họ có thể thu được lợi nhuận đáng kể từ khoản đầu tư của mình ngay cả khi đề nghị đó định giá Airgas thấp một cách thô thiển trong một thương vụ bán. "Họ chẳng quan tâm gì đến giá trị cơ bản của Airgas." Tóm lại, rủi ro là phần lớn cổ đông của Airgas sẽ chấp nhận đề nghị của Air Products bất chấp mức giá không thỏa đáng, khiến thiểu số bị "ép buộc" phải chấp nhận mức 70 đô la. Các bị đơn dường như chưa nắm bắt được thực tế rằng các nhà kinh doanh chênh lệch giá đã mua cổ phiếu từ những cổ đông dài hạn, những người coi mức giá thị trường tăng lên do đề nghị của Air Products tạo ra là thời điểm tốt để bán.</w:t>
      </w:r>
    </w:p>
    <w:p>
      <w:pPr>
        <w:spacing w:after="80"/>
      </w:pPr>
      <w:r>
        <w:rPr>
          <w:b w:val="0"/>
          <w:i w:val="0"/>
        </w:rPr>
        <w:t>* * *</w:t>
      </w:r>
    </w:p>
    <w:p>
      <w:pPr>
        <w:spacing w:after="80"/>
      </w:pPr>
      <w:r>
        <w:rPr>
          <w:b w:val="0"/>
          <w:i w:val="0"/>
        </w:rPr>
        <w:t xml:space="preserve">. . . [N]ếu phần lớn cổ đông </w:t>
      </w:r>
      <w:r>
        <w:rPr>
          <w:b w:val="0"/>
          <w:i/>
        </w:rPr>
        <w:t>muốn</w:t>
      </w:r>
      <w:r>
        <w:rPr>
          <w:b w:val="0"/>
          <w:i w:val="0"/>
        </w:rPr>
        <w:t xml:space="preserve"> chấp nhận một đề nghị có mức giá không thỏa đáng, thì đó có phải là ép buộc thực chất không? Đó có phải là một mối đe dọa biện minh cho việc tiếp tục duy trì viên thuốc độc không? Nói cách khác, có bằng chứng nào trong hồ sơ cho thấy các cổ đông của Airgas "tập trung vào ngắn hạn" đến mức họ sẽ "thu hoạch ít hơn trong cái nóng tháng Tám thay vì thu hoạch nhiều hơn vào tiết Ấn Độ" không? . . .</w:t>
      </w:r>
    </w:p>
    <w:p>
      <w:pPr>
        <w:spacing w:after="80"/>
      </w:pPr>
      <w:r>
        <w:rPr>
          <w:b w:val="0"/>
          <w:i w:val="0"/>
        </w:rPr>
        <w:t xml:space="preserve">Nhưng ít nhất có một số bằng chứng trong hồ sơ cho thấy rủi ro này có thể là thật. Hơn nữa, cả chuyên gia của Airgas lẫn </w:t>
      </w:r>
      <w:r>
        <w:rPr>
          <w:b w:val="0"/>
          <w:i/>
        </w:rPr>
        <w:t>chuyên gia của chính Air Products</w:t>
      </w:r>
      <w:r>
        <w:rPr>
          <w:b w:val="0"/>
          <w:i w:val="0"/>
        </w:rPr>
        <w:t xml:space="preserve"> đều làm chứng rằng một số lượng lớn—nếu không phải tất cả—những nhà kinh doanh chênh lệch giá đã mua cổ phiếu Airgas ở mức giá thấp hơn đáng kể so với mức chào 70 đô la sẽ sẵn lòng chấp nhận bán cổ phiếu của họ ở mức giá đó bất kể giá trị dài hạn tiềm năng của công ty. Dựa trên lời khai của cả hai nhân chứng chuyên gia, tôi thấy có đủ bằng chứng rằng phần lớn cổ đông có thể sẵn lòng chấp nhận bán cổ phiếu của họ bất kể mức giá có thỏa đáng hay không—qua đó nhượng quyền kiểm soát Airgas cho Air Products. . . .</w:t>
      </w:r>
    </w:p>
    <w:p>
      <w:pPr>
        <w:spacing w:after="80"/>
      </w:pPr>
      <w:r>
        <w:rPr>
          <w:b w:val="0"/>
          <w:i w:val="0"/>
        </w:rPr>
        <w:t xml:space="preserve">Cuối cùng, tất cả dường như quy về các phán quyết của Tòa án Tối cao trong </w:t>
      </w:r>
      <w:r>
        <w:rPr>
          <w:b w:val="0"/>
          <w:i/>
        </w:rPr>
        <w:t>Paramount</w:t>
      </w:r>
      <w:r>
        <w:rPr>
          <w:b w:val="0"/>
          <w:i w:val="0"/>
        </w:rPr>
        <w:t xml:space="preserve"> và </w:t>
      </w:r>
      <w:r>
        <w:rPr>
          <w:b w:val="0"/>
          <w:i/>
        </w:rPr>
        <w:t>Unitrin</w:t>
      </w:r>
      <w:r>
        <w:rPr>
          <w:b w:val="0"/>
          <w:i w:val="0"/>
        </w:rPr>
        <w:t xml:space="preserve"> . Trong </w:t>
      </w:r>
      <w:r>
        <w:rPr>
          <w:b w:val="0"/>
          <w:i/>
        </w:rPr>
        <w:t>Unitrin</w:t>
      </w:r>
      <w:r>
        <w:rPr>
          <w:b w:val="0"/>
          <w:i w:val="0"/>
        </w:rPr>
        <w:t xml:space="preserve"> , Tòa án đã phán quyết: "[C]ác giám đốc của một công ty Delaware có đặc quyền xác định rằng thị trường đang định giá thấp cổ phiếu của công ty và bảo vệ các cổ đông của mình khỏi những đề nghị không phản ánh giá trị dài hạn của công ty theo kế hoạch quản lý hiện tại của nó." Khi một công ty không ở trong </w:t>
      </w:r>
      <w:r>
        <w:rPr>
          <w:b w:val="0"/>
          <w:i/>
        </w:rPr>
        <w:t>chế độ Revlon</w:t>
      </w:r>
      <w:r>
        <w:rPr>
          <w:b w:val="0"/>
          <w:i w:val="0"/>
        </w:rPr>
        <w:t xml:space="preserve"> , hội đồng quản trị "không có nghĩa vụ </w:t>
      </w:r>
      <w:r>
        <w:rPr>
          <w:b w:val="0"/>
          <w:i/>
        </w:rPr>
        <w:t>đương nhiên</w:t>
      </w:r>
      <w:r>
        <w:rPr>
          <w:b w:val="0"/>
          <w:i w:val="0"/>
        </w:rPr>
        <w:t xml:space="preserve"> nào phải tối đa hóa giá trị cổ đông trong ngắn hạn, ngay cả trong bối cảnh một thương vụ thâu tóm." Tòa án Tối cao đã dứt khoát "tán thành kết luận rằng việc các giám đốc xác định rằng giá cổ phiếu hiện tại trên thị trường không đại diện cho giá trị thực hoặc rằng thực sự có thể có nhiều giá trị thị trường cho cổ phiếu của bất kỳ công ty nào không phải là sự vi phạm lòng trung thành." Như đã nêu ở trên, dựa trên tất cả các sự kiện được trình bày trước tôi, tôi thấy rằng hội đồng quản trị Airgas đã hành động với thiện chí và dựa vào lời khuyên của các cố vấn tài chính và pháp lý để đi đến kết luận rằng đề nghị của Air Products là không thỏa đáng. Và như Tòa án Tối cao đã phán quyết, một hội đồng quản trị với thiện chí tin rằng một đề nghị thù địch là không thỏa đáng có thể "sử dụng một cách thích đáng một viên thuốc độc như một biện pháp phòng vệ tương xứng để bảo vệ các cổ đông của mình khỏi một lời chào mua 'giá rẻ'."</w:t>
      </w:r>
    </w:p>
    <w:p>
      <w:pPr>
        <w:spacing w:after="80"/>
      </w:pPr>
      <w:r>
        <w:rPr>
          <w:b w:val="0"/>
          <w:i w:val="0"/>
        </w:rPr>
        <w:t>* * *</w:t>
      </w:r>
    </w:p>
    <w:p>
      <w:pPr>
        <w:spacing w:after="80"/>
      </w:pPr>
      <w:r>
        <w:rPr>
          <w:b w:val="0"/>
          <w:i w:val="0"/>
        </w:rPr>
        <w:t xml:space="preserve">Giờ chuyển sang phần thứ hai của phép thử </w:t>
      </w:r>
      <w:r>
        <w:rPr>
          <w:b w:val="0"/>
          <w:i/>
        </w:rPr>
        <w:t>Unocal</w:t>
      </w:r>
      <w:r>
        <w:rPr>
          <w:b w:val="0"/>
          <w:i w:val="0"/>
        </w:rPr>
        <w:t xml:space="preserve"> , tôi phải xác định liệu các biện pháp phòng vệ của hội đồng quản trị Airgas có phải là phản ứng tương xứng với mối đe dọa do đề nghị của Air Products gây ra hay không.</w:t>
      </w:r>
    </w:p>
    <w:p>
      <w:pPr>
        <w:spacing w:after="80"/>
      </w:pPr>
      <w:r>
        <w:rPr>
          <w:b w:val="0"/>
          <w:i w:val="0"/>
        </w:rPr>
        <w:t>* * *</w:t>
      </w:r>
    </w:p>
    <w:p>
      <w:pPr>
        <w:spacing w:after="80"/>
      </w:pPr>
      <w:r>
        <w:rPr>
          <w:b w:val="0"/>
          <w:i w:val="0"/>
        </w:rPr>
        <w:t>2. Phạm vi hợp lý</w:t>
      </w:r>
    </w:p>
    <w:p>
      <w:pPr>
        <w:spacing w:after="80"/>
      </w:pPr>
      <w:r>
        <w:rPr>
          <w:b w:val="0"/>
          <w:i w:val="0"/>
        </w:rPr>
        <w:t xml:space="preserve">"Nếu một biện pháp phòng vệ không mang tính ép buộc cũng không mang tính ngăn chặn, thì phép thử tương xứng </w:t>
      </w:r>
      <w:r>
        <w:rPr>
          <w:b w:val="0"/>
          <w:i/>
        </w:rPr>
        <w:t>Unocal</w:t>
      </w:r>
      <w:r>
        <w:rPr>
          <w:b w:val="0"/>
          <w:i w:val="0"/>
        </w:rPr>
        <w:t xml:space="preserve"> đòi hỏi trọng tâm của việc giám sát tư pháp tăng cường phải chuyển sang phạm vi hợp lý." Tính hợp lý của phản ứng của hội đồng quản trị được đánh giá trong bối cảnh mối đe dọa cụ thể đã được xác định—"bản chất cụ thể của mối đe dọa [] 'đặt ra các thông số cho phạm vi chiến thuật phòng vệ được phép' tại bất kỳ thời điểm nào."</w:t>
      </w:r>
    </w:p>
    <w:p>
      <w:pPr>
        <w:spacing w:after="80"/>
      </w:pPr>
      <w:r>
        <w:rPr>
          <w:b w:val="0"/>
          <w:i w:val="0"/>
        </w:rPr>
        <w:t>Ở đây, hồ sơ cho thấy hội đồng quản trị của Airgas, với đa số là các giám đốc bên ngoài, độc lập, hành động thiện chí và cùng với nhiều cố vấn bên ngoài, đã kết luận rằng đề nghị của Air Products rõ ràng định giá thấp Airgas trong một thương vụ mua bán. Hội đồng quản trị tin tưởng một cách thiện chí rằng mức giá đề nghị là không thỏa đáng, và không phải chỉ thiếu một chút. Do đó, hội đồng quản trị đang phản ứng lại một mối đe dọa đã được nêu ra một cách chính đáng.</w:t>
      </w:r>
    </w:p>
    <w:p>
      <w:pPr>
        <w:spacing w:after="80"/>
      </w:pPr>
      <w:r>
        <w:rPr>
          <w:b w:val="0"/>
          <w:i w:val="0"/>
        </w:rPr>
        <w:t xml:space="preserve">Kết luận này càng được củng cố bởi thực tế rằng ba Ứng viên của Air Products trong hội đồng quản trị Airgas nay đã hoàn toàn đồng thuận với quyết định của hội đồng quản trị—hơn nữa, họ tin rằng đó là nghĩa vụ ủy thác của mình để duy trì các biện pháp phòng vệ của Airgas. Và </w:t>
      </w:r>
      <w:r>
        <w:rPr>
          <w:b w:val="0"/>
          <w:i/>
        </w:rPr>
        <w:t>chính các giám đốc</w:t>
      </w:r>
      <w:r>
        <w:rPr>
          <w:b w:val="0"/>
          <w:i w:val="0"/>
        </w:rPr>
        <w:t xml:space="preserve"> của Air Products đã làm chứng rằng (1) họ không có lý do gì để tin rằng các giám đốc Airgas đã vi phạm nghĩa vụ ủy thác của mình, (2) dù rất nhiều thông tin đã được cung cấp cho các cổ đông, họ “đồng ý rằng ban lãnh đạo Airgas ở vị trí tốt nhất để hiểu giá trị nội tại của công ty,” và (3) nếu ở vào hoàn cảnh ngược lại, họ cũng sẽ hành động giống như các giám đốc Airgas đã làm.</w:t>
      </w:r>
    </w:p>
    <w:p>
      <w:pPr>
        <w:spacing w:after="80"/>
      </w:pPr>
      <w:r>
        <w:rPr>
          <w:b w:val="0"/>
          <w:i w:val="0"/>
        </w:rPr>
        <w:t>* * *</w:t>
      </w:r>
    </w:p>
    <w:p>
      <w:pPr>
        <w:spacing w:after="80"/>
      </w:pPr>
      <w:r>
        <w:rPr>
          <w:b w:val="0"/>
          <w:i w:val="0"/>
        </w:rPr>
        <w:t xml:space="preserve">. . . [V]iệc duy trì các biện pháp phòng vệ của hội đồng quản trị phải nằm trong một phạm vi hợp lý ở đây. Hội đồng quản trị không “ép buộc” một phương án thay thế do ban lãnh đạo đề xuất—hay </w:t>
      </w:r>
      <w:r>
        <w:rPr>
          <w:b w:val="0"/>
          <w:i/>
        </w:rPr>
        <w:t>bất kỳ</w:t>
      </w:r>
      <w:r>
        <w:rPr>
          <w:b w:val="0"/>
          <w:i w:val="0"/>
        </w:rPr>
        <w:t xml:space="preserve"> phương án thay thế nào làm thay đổi công ty. Thay vào đó, hội đồng quản trị chỉ đơn thuần duy trì nguyên trạng, điều hành công ty vì mục tiêu dài hạn, và liên tục cho thấy kết quả tài chính được cải thiện qua mỗi quý. Các hành động của hội đồng quản trị không </w:t>
      </w:r>
      <w:r>
        <w:rPr>
          <w:b w:val="0"/>
          <w:i/>
        </w:rPr>
        <w:t>mãi mãi</w:t>
      </w:r>
      <w:r>
        <w:rPr>
          <w:b w:val="0"/>
          <w:i w:val="0"/>
        </w:rPr>
        <w:t xml:space="preserve"> ngăn cản Air Products, hay bất kỳ bên chào mua nào, khỏi việc thâu tóm Airgas hoặc lách qua các biện pháp phòng vệ của Airgas nếu mức giá phù hợp. Trong lúc đó, hội đồng quản trị đang ngăn chặn một sự thay đổi quyền kiểm soát xảy ra ở một mức giá không thỏa đáng. Hướng hành động này đã được luật Delaware công nhận rõ ràng: “các giám đốc, khi hành động một cách có chủ đích, trên cơ sở đầy đủ thông tin, và theo đuổi lợi ích công ty một cách thiện chí, có thể theo đuổi một hướng đi được thiết kế để đạt được giá trị dài hạn ngay cả khi phải đánh đổi việc tối đa hóa giá trị tức thời.”</w:t>
      </w:r>
    </w:p>
    <w:p>
      <w:pPr>
        <w:spacing w:after="80"/>
      </w:pPr>
      <w:r>
        <w:rPr>
          <w:b w:val="0"/>
          <w:i w:val="0"/>
        </w:rPr>
        <w:t>KẾT LUẬN</w:t>
      </w:r>
    </w:p>
    <w:p>
      <w:pPr>
        <w:spacing w:after="80"/>
      </w:pPr>
      <w:r>
        <w:rPr>
          <w:b w:val="0"/>
          <w:i w:val="0"/>
        </w:rPr>
        <w:t>Phó Chánh án Strine gần đây đã gợi ý rằng:</w:t>
      </w:r>
    </w:p>
    <w:p>
      <w:pPr>
        <w:spacing w:after="80"/>
      </w:pPr>
      <w:r>
        <w:rPr>
          <w:b w:val="0"/>
          <w:i w:val="0"/>
        </w:rPr>
        <w:t>Thời gian trôi qua đã khiến nhiều người trở nên mờ nhạt trước sức mạnh đáng kinh ngạc và tính mới lạ của cái được gọi là viên thuốc độc (poison pill). Công cụ đó không có mục đích nào khác ngoài việc trao cho hội đồng quản trị ban hành quyền chào mua đòn bẩy để ngăn chặn các thương vụ mà họ không ủng hộ bằng cách pha loãng lợi ích của bên chào mua.</w:t>
      </w:r>
    </w:p>
    <w:p>
      <w:pPr>
        <w:spacing w:after="80"/>
      </w:pPr>
      <w:r>
        <w:rPr>
          <w:b w:val="0"/>
          <w:i w:val="0"/>
        </w:rPr>
        <w:t>Không có gì phải bàn cãi rằng viên thuốc độc hoạt động như một loại thuốc chống thâu tóm mạnh mẽ với tiềm năng bị lạm dụng. Luật sư của nguyên đơn (cả Air Products và các Cổ đông Nguyên đơn) đưa ra những lập luận chính sách đầy sức thuyết phục ủng hộ việc thu hồi viên thuốc độc trong vụ án này—họ nói rằng làm ngược lại sẽ về cơ bản biến mọi công ty có hội đồng quản trị phân kỳ nhiệm kỳ và viên thuốc độc thành “miễn nhiễm với thâu tóm.” Lập luận này là một câu nói cửa miệng tuyệt vời, nhưng cuối cùng nó không phải là phán quyết của vụ án dựa trên tình tiết cụ thể này, dù nó đưa chúng ta tiến gần hơn một bước tới kết quả đó.</w:t>
      </w:r>
    </w:p>
    <w:p>
      <w:pPr>
        <w:spacing w:after="80"/>
      </w:pPr>
      <w:r>
        <w:rPr>
          <w:b w:val="0"/>
          <w:i w:val="0"/>
        </w:rPr>
        <w:t>Như vụ án này cho thấy, để có bất kỳ hiệu quả nào, viên thuốc độc không—và không thể—có ngày hết hạn cố định. Tuy nhiên, cần nói rõ rằng vụ án này không ủng hộ quan điểm “cứ nói không bao giờ.” Điều nó ủng hộ là sự tôn trọng lâu đời của Delaware đối với quyền tự quyết quản lý được thực thi một cách hợp lý, miễn là hội đồng quản trị được xác định là hành động thiện chí và phù hợp với nghĩa vụ ủy thác của mình (sau khi thẩm tra tình tiết một cách nghiêm ngặt và giám sát tăng cường các hành động phòng vệ của họ). Hội đồng quản trị Airgas là một ví dụ điển hình.</w:t>
      </w:r>
    </w:p>
    <w:p>
      <w:pPr>
        <w:spacing w:after="80"/>
      </w:pPr>
      <w:r>
        <w:rPr>
          <w:b w:val="0"/>
          <w:i w:val="0"/>
        </w:rPr>
        <w:t xml:space="preserve">Các giám đốc của một công ty vẫn mang nghĩa vụ ủy thác đối với </w:t>
      </w:r>
      <w:r>
        <w:rPr>
          <w:b w:val="0"/>
          <w:i/>
        </w:rPr>
        <w:t>tất cả cổ đông—điều này chắc chắn bao gồm cả những người nắm giữ ngắn hạn lẫn dài hạn. Đồng thời, hội đồng quản trị không thể bị buộc phải chuyển sang chế độ Revlon</w:t>
      </w:r>
      <w:r>
        <w:rPr>
          <w:b w:val="0"/>
          <w:i w:val="0"/>
        </w:rPr>
        <w:t xml:space="preserve"> bất cứ khi nào một bên chào mua thù địch đưa ra đề nghị mua lại với mức giá cao hơn giá trị thị trường. Các cơ chế để lách qua viên thuốc độc—ngay cả viên thuốc độc kết hợp với hội đồng quản trị phân kỳ nhiệm kỳ, điều chắc chắn khiến quá trình trở nên khó khăn hơn gấp bội—đã tồn tại từ năm 1985, khi Tòa án Tối cao Delaware lần đầu quyết định duy trì viên thuốc độc như một biện pháp phòng vệ hợp pháp trước một đề nghị chào mua không mong muốn. Đó là tình trạng hiện tại của luật Delaware cho đến khi Tòa án Tối cao thay đổi nó.</w:t>
      </w:r>
    </w:p>
    <w:p>
      <w:pPr>
        <w:spacing w:after="80"/>
      </w:pPr>
      <w:r>
        <w:rPr>
          <w:b w:val="0"/>
          <w:i w:val="0"/>
        </w:rPr>
        <w:t>Vì những lý do nêu trên, các yêu cầu cứu trợ của Air Products và các Cổ đông Nguyên đơn bị bác bỏ, và mọi khiếu nại chống lại các bị đơn đều bị đình chỉ với hiệu lực vĩnh viễn. . . .</w:t>
      </w:r>
    </w:p>
    <w:p>
      <w:pPr>
        <w:pStyle w:val="Heading5"/>
      </w:pPr>
      <w:r>
        <w:rPr>
          <w:rFonts w:ascii="Calibri" w:hAnsi="Calibri"/>
          <w:b/>
          <w:i/>
          <w:sz w:val="22"/>
        </w:rPr>
        <w:t>Bình luận và Câu hỏi</w:t>
      </w:r>
    </w:p>
    <w:p>
      <w:pPr>
        <w:spacing w:after="80"/>
      </w:pPr>
      <w:r>
        <w:rPr>
          <w:b w:val="0"/>
          <w:i w:val="0"/>
        </w:rPr>
        <w:t>1. Tòa án nhận thấy rằng bằng chứng ủng hộ một mối đe dọa về sự ép buộc thực chất. Mối đe dọa đó phát sinh như thế nào và nó liên quan gì đến các arbs (những người kinh doanh chênh lệch giá)? Mối đe dọa này có khả năng phổ biến đến mức nào?</w:t>
      </w:r>
    </w:p>
    <w:p>
      <w:pPr>
        <w:spacing w:after="80"/>
      </w:pPr>
      <w:r>
        <w:rPr>
          <w:b w:val="0"/>
          <w:i w:val="0"/>
        </w:rPr>
        <w:t>2. Các giám đốc được Air Products bầu ra đóng vai trò gì trong vụ án này? Bạn nghĩ gì về cụm từ “chính các giám đốc của Air Products”? Bất kể cổ đông nào đề cử họ, trách nhiệm pháp lý của các giám đốc này là gì?</w:t>
      </w:r>
    </w:p>
    <w:p>
      <w:pPr>
        <w:spacing w:after="80"/>
      </w:pPr>
      <w:r>
        <w:rPr>
          <w:b w:val="0"/>
          <w:i w:val="0"/>
        </w:rPr>
        <w:t>3. Liệu vụ án này, như các Bị đơn lập luận, có khiến công ty trở thành “miễn nhiễm với thâu tóm” không? Thẩm phán lưu ý rằng vụ án “đưa chúng ta tiến gần hơn một bước tới kết quả đó.” Ông ấy có ý gì qua phát biểu đó?</w:t>
      </w:r>
    </w:p>
    <w:p>
      <w:pPr>
        <w:spacing w:after="80"/>
      </w:pPr>
      <w:r>
        <w:rPr>
          <w:b w:val="0"/>
          <w:i w:val="0"/>
        </w:rPr>
        <w:t>4. Chánh án Chandler lưu ý rằng Tòa án Tối cao Delaware trước đây đã từng tuyên bố rằng viên thuốc độc là “không tuyệt đối.” Tuy nhiên, như ông ấy nêu, “các giới hạn của viên thuốc độc . . . vẫn còn bỏ ngỏ.” Ông ấy có ý gì qua điều này? Ông ấy có đúng không?</w:t>
      </w:r>
    </w:p>
    <w:p>
      <w:pPr>
        <w:spacing w:after="80"/>
      </w:pPr>
      <w:r>
        <w:rPr>
          <w:b w:val="0"/>
          <w:i w:val="0"/>
        </w:rPr>
        <w:t xml:space="preserve">5. Tòa án xét xử sơ thẩm có vẻ không hài lòng với kết quả, dường như không đồng tình với chính phán quyết của mình rằng lời đề nghị của Air Products là một mối đe dọa. </w:t>
      </w:r>
      <w:r>
        <w:rPr>
          <w:b w:val="0"/>
          <w:i/>
        </w:rPr>
        <w:t>Id.</w:t>
      </w:r>
      <w:r>
        <w:rPr>
          <w:b w:val="0"/>
          <w:i w:val="0"/>
        </w:rPr>
        <w:t xml:space="preserve"> (“[D]ường như không có mối đe dọa nào ở đây—các cổ đông biết những gì họ cần biết (về cả lời đề nghị lẫn ý kiến của hội đồng quản trị Airgas về lời đề nghị đó) để đưa ra quyết định sáng suốt.”). Làm thế nào bạn có thể dung hòa quan điểm này với phân tích trong phán quyết? Điều này gợi ý gì về tình trạng của pháp luật liên quan đến các chiến thuật phòng thủ, đặc biệt là thuốc độc (poison pills)?</w:t>
      </w:r>
    </w:p>
    <w:p>
      <w:pPr>
        <w:spacing w:after="80"/>
      </w:pPr>
      <w:r>
        <w:rPr>
          <w:b w:val="0"/>
          <w:i w:val="0"/>
        </w:rPr>
        <w:t>6. Tòa án đặc biệt phủ nhận mọi nỗ lực nhằm xác nhận quyền của hội đồng quản trị được “chỉ nói không” khi đối mặt với một lời đề nghị thâu tóm thù địch. Như tòa án đã lưu ý:</w:t>
      </w:r>
    </w:p>
    <w:p>
      <w:pPr>
        <w:spacing w:after="80"/>
      </w:pPr>
      <w:r>
        <w:rPr>
          <w:b w:val="0"/>
          <w:i w:val="0"/>
        </w:rPr>
        <w:t>Hội đồng quản trị không thể “</w:t>
      </w:r>
      <w:r>
        <w:rPr>
          <w:b w:val="0"/>
          <w:i/>
        </w:rPr>
        <w:t>chỉ</w:t>
      </w:r>
      <w:r>
        <w:rPr>
          <w:b w:val="0"/>
          <w:i w:val="0"/>
        </w:rPr>
        <w:t xml:space="preserve"> nói không” với một lời đề nghị thâu tóm. Theo luật Delaware, trước tiên hội đồng phải vượt qua hai nhánh của sự giám sát tư pháp nghiêm ngặt bởi một thẩm phán, người sẽ đánh giá các hành động đã thực hiện và động cơ của hội đồng quản trị. Chỉ một hội đồng quản trị được xác định là hành động thiện chí, sau khi điều tra hợp lý và dựa trên lời khuyên của các cố vấn bên ngoài, và người trình bày rõ ràng và thuyết phục được Tòa án rằng một lời đề nghị thâu tóm thù địch đặt ra mối đe dọa chính đáng đối với doanh nghiệp, mới có thể đối phó với mối đe dọa được nhận thức đó bằng cách chặn lời đề nghị thâu tóm và buộc bên chào mua phải bầu ra một đa số hội đồng quản trị ủng hộ đề nghị của mình.</w:t>
      </w:r>
    </w:p>
    <w:p>
      <w:pPr>
        <w:spacing w:after="80"/>
      </w:pPr>
      <w:r>
        <w:rPr>
          <w:b w:val="0"/>
          <w:i w:val="0"/>
        </w:rPr>
        <w:t>Bạn có bị thuyết phục bởi lời giải thích này không?</w:t>
      </w:r>
    </w:p>
    <w:p>
      <w:pPr>
        <w:spacing w:after="80"/>
      </w:pPr>
      <w:r>
        <w:rPr>
          <w:b w:val="0"/>
          <w:i w:val="0"/>
        </w:rPr>
        <w:t xml:space="preserve">7. Khi áp dụng thuốc độc (poison pill), vẫn tồn tại rủi ro rằng một bên thâu tóm sẽ tham gia vào một cuộc tranh chấp ủy quyền (proxy contest) và bầu ra đa số các giám đốc, những người sau đó sẽ rút bỏ chiến thuật phòng thủ này. Nhận thức được khả năng này, các công ty đôi khi đã cố gắng hạn chế quyền rút bỏ thuốc độc của hội đồng quản trị mới. Ví dụ, một loại thuốc độc “chậm” (slow hand pill) cấm hội đồng quản trị mới loại bỏ thuốc độc trong một khoảng thời gian nhất định. Những đặc điểm này có hợp pháp không? Câu trả lời có thể tìm thấy trong </w:t>
      </w:r>
      <w:r>
        <w:rPr>
          <w:b w:val="0"/>
          <w:i/>
        </w:rPr>
        <w:t>Quickturn Design Systems, Inc. v. Shapiro</w:t>
      </w:r>
      <w:r>
        <w:rPr>
          <w:b w:val="0"/>
          <w:i w:val="0"/>
        </w:rPr>
        <w:t xml:space="preserve"> , 721 A.2d 1281 (Del. 1998).</w:t>
      </w:r>
    </w:p>
    <w:p>
      <w:pPr>
        <w:spacing w:after="80"/>
      </w:pPr>
      <w:r>
        <w:rPr>
          <w:b w:val="0"/>
          <w:i w:val="0"/>
        </w:rPr>
        <w:t xml:space="preserve">8. Điều gì sẽ xảy ra nếu các cổ đông muốn thông qua một điều lệ (bylaw) cấm thuốc độc? Họ có thẩm quyền không? Các tòa án Delaware cho đến nay vẫn chưa giải quyết vấn đề này. </w:t>
      </w:r>
      <w:r>
        <w:rPr>
          <w:b w:val="0"/>
          <w:i/>
        </w:rPr>
        <w:t>Xem Bebchuk v. CA, Inc.</w:t>
      </w:r>
      <w:r>
        <w:rPr>
          <w:b w:val="0"/>
          <w:i w:val="0"/>
        </w:rPr>
        <w:t xml:space="preserve"> , 902 A.2d 737 (Del. Ch. 2006) (kết luận rằng vấn đề chưa chín muồi để giải quyết).</w:t>
      </w:r>
    </w:p>
    <w:p>
      <w:pPr>
        <w:spacing w:after="80"/>
      </w:pPr>
      <w:r>
        <w:rPr>
          <w:b w:val="0"/>
          <w:i w:val="0"/>
        </w:rPr>
        <w:t>—————</w:t>
      </w:r>
    </w:p>
    <w:p>
      <w:pPr>
        <w:spacing w:after="80"/>
      </w:pPr>
      <w:r>
        <w:rPr>
          <w:b w:val="0"/>
          <w:i w:val="0"/>
        </w:rPr>
        <w:t>Vậy điều này để lại các lời đề nghị thâu tóm thù địch như một phương thức thay thế ban quản lý ở đâu?</w:t>
      </w:r>
    </w:p>
    <w:p>
      <w:pPr>
        <w:pStyle w:val="Heading4"/>
      </w:pPr>
      <w:r>
        <w:rPr>
          <w:rFonts w:ascii="Calibri" w:hAnsi="Calibri"/>
          <w:b/>
          <w:i w:val="0"/>
          <w:sz w:val="23"/>
        </w:rPr>
        <w:t xml:space="preserve">Joseph A. Grundfest, </w:t>
      </w:r>
      <w:r>
        <w:rPr>
          <w:rFonts w:ascii="Calibri" w:hAnsi="Calibri"/>
          <w:b/>
          <w:i/>
          <w:sz w:val="23"/>
        </w:rPr>
        <w:t>Just Vote No: A Minimalist Strategy for</w:t>
      </w:r>
      <w:r>
        <w:br/>
      </w:r>
      <w:r>
        <w:rPr>
          <w:rFonts w:ascii="Calibri" w:hAnsi="Calibri"/>
          <w:b/>
          <w:i/>
          <w:sz w:val="23"/>
        </w:rPr>
        <w:t xml:space="preserve"> Dealing with Barbarians Inside the Gates</w:t>
      </w:r>
    </w:p>
    <w:p>
      <w:pPr>
        <w:spacing w:after="80"/>
      </w:pPr>
      <w:r>
        <w:rPr>
          <w:b w:val="0"/>
          <w:i w:val="0"/>
        </w:rPr>
        <w:t>45 Stan. L. Rev. 857, 858–62 (1993)</w:t>
      </w:r>
    </w:p>
    <w:p>
      <w:pPr>
        <w:spacing w:after="80"/>
      </w:pPr>
      <w:r>
        <w:rPr>
          <w:b w:val="0"/>
          <w:i w:val="0"/>
        </w:rPr>
        <w:t>Mặc dù các lời đề nghị thâu tóm thù địch vẫn còn khả thi về mặt kỹ thuật, nhưng các rào cản pháp lý và tài chính trên con đường của chúng ngày nay cao hơn nhiều so với chỉ vài năm trước đây. Kết quả là, các bên chào mua thù địch sẽ khó giành thắng lợi trong các cuộc chiến thâu tóm, ngay cả khi các cổ đông ủng hộ nỗ lực của phe nổi dậy. Do đó, các thương vụ mua lại trong tương lai sẽ thường xuyên liên quan đến các giao dịch đồng thuận hơn. Các bên chào mua thù địch vẫn tiến hành bất chấp những rào cản gia tăng này có thể sẽ phải kết hợp các cuộc tranh chấp ủy quyền với các lời đề nghị thâu tóm, hoặc dựa vào các chiến lược khác để thuyết phục hội đồng quản trị mục tiêu đồng ý với các giao dịch bề ngoài có vẻ thân thiện.</w:t>
      </w:r>
    </w:p>
    <w:p>
      <w:pPr>
        <w:spacing w:after="80"/>
      </w:pPr>
      <w:r>
        <w:rPr>
          <w:b w:val="0"/>
          <w:i w:val="0"/>
        </w:rPr>
        <w:t>Sự biến đổi đáng chú ý này trên thị trường kiểm soát công ty (market for corporate control) là kết quả của sự xuất hiện của “thuốc độc” (poison pill) như một thiết bị chống thâu tóm hiệu quả, sự lan truyền nhanh chóng của các đạo luật chống thâu tóm cấp tiểu bang, và sự phát triển của các điều kiện thị trường tài chính bất lợi cho các cuộc tranh giành kiểm soát thù địch. Thuốc độc phổ biến trong các công ty đại chúng, và một công ty không có thuốc độc có thể nhanh chóng áp dụng một loại khi cần thiết. Các tòa án đã gia tăng đáng kể quyền tự do của ban quản lý trong việc sử dụng vũ khí này, và nguy cơ kích hoạt thuốc độc khiến việc theo đuổi các lời đề nghị thâu tóm mà không có sự chấp thuận của hội đồng quản trị mục tiêu trở nên phi lý đối với các bên chào mua. Thay vào đó, các bên chào mua có ý định lách qua thuốc độc phải khởi động và giành thắng lợi trong các cuộc tranh chấp ủy quyền để bầu ra các giám đốc mới, những người sẵn sàng chuộc lại thuốc độc của mục tiêu. Chỉ khi đó một bên chào mua thù địch mới có thể tiến hành một lời đề nghị, và ngay cả như vậy lời đề nghị vẫn phải chịu rủi ro rằng một bên chào mua thứ hai sẽ xuất hiện, hoặc những thay đổi trong môi trường pháp lý hay tài chính sẽ khiến giao dịch trở nên không sinh lợi.</w:t>
      </w:r>
    </w:p>
    <w:p>
      <w:pPr>
        <w:spacing w:after="80"/>
      </w:pPr>
      <w:r>
        <w:rPr>
          <w:b w:val="0"/>
          <w:i w:val="0"/>
        </w:rPr>
        <w:t>Các đạo luật chống thâu tóm cấp tiểu bang đặt ra thêm những rào cản đối với các bên chào mua thù địch. . . .</w:t>
      </w:r>
    </w:p>
    <w:p>
      <w:pPr>
        <w:spacing w:after="80"/>
      </w:pPr>
      <w:r>
        <w:rPr>
          <w:b w:val="0"/>
          <w:i w:val="0"/>
        </w:rPr>
        <w:t>Những rào cản pháp lý và chính trị này tự chúng đã tạo thành một thử thách ghê gớm. Sự xuất hiện của những rào cản này vào giữa đến cuối năm 1989 trùng hợp với một sự thay đổi lớn trong các điều kiện thị trường tài chính, khiến nguồn cung tín dụng sẵn có bị thắt chặt và việc huy động vốn cho hoạt động thâu tóm thù địch trở nên cực kỳ khó khăn. Sự hội tụ của các yếu tố pháp lý, chính trị và tài chính này đã gây ra sự sụt giảm mạnh về khối lượng các lời đề nghị thâu tóm thù địch, từ 27 thương vụ trị giá 38,5 tỷ đô la năm 1988 xuống còn hai thương vụ chỉ trị giá 77,4 triệu đô la năm 1991. Trong cả năm 1992, không có giao dịch nào mà một bên chào mua thù địch khởi xướng thành công một thương vụ thâu tóm, và lời đề nghị thù địch thành công duy nhất trong năm chỉ được đưa ra sau khi công ty mục tiêu đã “vào cuộc” (in play) vì nó đã đồng ý với một giao dịch thân thiện với một bên thứ ba.</w:t>
      </w:r>
    </w:p>
    <w:p>
      <w:pPr>
        <w:pStyle w:val="Heading5"/>
      </w:pPr>
      <w:r>
        <w:rPr>
          <w:rFonts w:ascii="Calibri" w:hAnsi="Calibri"/>
          <w:b/>
          <w:i/>
          <w:sz w:val="22"/>
        </w:rPr>
        <w:t>Bình luận và Câu hỏi</w:t>
      </w:r>
    </w:p>
    <w:p>
      <w:pPr>
        <w:spacing w:after="80"/>
      </w:pPr>
      <w:r>
        <w:rPr>
          <w:b w:val="0"/>
          <w:i w:val="0"/>
        </w:rPr>
        <w:t xml:space="preserve">1. Sau </w:t>
      </w:r>
      <w:r>
        <w:rPr>
          <w:b w:val="0"/>
          <w:i/>
        </w:rPr>
        <w:t>Unocal</w:t>
      </w:r>
      <w:r>
        <w:rPr>
          <w:b w:val="0"/>
          <w:i w:val="0"/>
        </w:rPr>
        <w:t xml:space="preserve"> và các án lệ tiếp theo, số lượng các thương vụ thâu tóm thù địch đã giảm đáng kể. Một nhà bình luận đưa ra con số các nỗ lực thâu tóm thù địch trong giai đoạn từ 1995 đến 2000 là 92. </w:t>
      </w:r>
      <w:r>
        <w:rPr>
          <w:b w:val="0"/>
          <w:i/>
        </w:rPr>
        <w:t>Xem</w:t>
      </w:r>
      <w:r>
        <w:rPr>
          <w:b w:val="0"/>
          <w:i w:val="0"/>
        </w:rPr>
        <w:t xml:space="preserve"> Lucian Arye Bebchuk, John C. Coates IV &amp; Guhan Subramanian, </w:t>
      </w:r>
      <w:r>
        <w:rPr>
          <w:b w:val="0"/>
          <w:i/>
        </w:rPr>
        <w:t>The Powerful Antitakeover Force of Staggered Boards: Theory, Evidence, and Policy</w:t>
      </w:r>
      <w:r>
        <w:rPr>
          <w:b w:val="0"/>
          <w:i w:val="0"/>
        </w:rPr>
        <w:t xml:space="preserve"> , 54 Stan. L. Rev. 887, 925 (2002). Các lời đề nghị thâu tóm thù địch ngày nay hiếm khi được sử dụng. Mặt khác, một số người cũng lưu ý rằng ranh giới giữa các lời đề nghị thân thiện và thù địch đã trở nên mờ nhạt. </w:t>
      </w:r>
      <w:r>
        <w:rPr>
          <w:b w:val="0"/>
          <w:i/>
        </w:rPr>
        <w:t>Xem</w:t>
      </w:r>
      <w:r>
        <w:rPr>
          <w:b w:val="0"/>
          <w:i w:val="0"/>
        </w:rPr>
        <w:t xml:space="preserve"> Marcel Kahan &amp; Edward B. Rock, </w:t>
      </w:r>
      <w:r>
        <w:rPr>
          <w:b w:val="0"/>
          <w:i/>
        </w:rPr>
        <w:t>Executive Compensation &amp; Takeovers: How I Learned to Stop Worrying and Love the Pill: Adaptive Responses to Takeover Law</w:t>
      </w:r>
      <w:r>
        <w:rPr>
          <w:b w:val="0"/>
          <w:i w:val="0"/>
        </w:rPr>
        <w:t xml:space="preserve"> , 69 U. Chi. L. Rev. 871, 881 (2002). Nói cách khác, các thương vụ mua lại cuối cùng được mô tả là thân thiện có thể đã bắt đầu như những thương vụ thù địch. Ai có lý lẽ thuyết phục hơn?</w:t>
      </w:r>
    </w:p>
    <w:p>
      <w:pPr>
        <w:spacing w:after="80"/>
      </w:pPr>
      <w:r>
        <w:rPr>
          <w:b w:val="0"/>
          <w:i w:val="0"/>
        </w:rPr>
        <w:t>2. Việc các thương vụ thâu tóm thù địch (hostile takeover) giảm bớt đã lấy đi một lập luận quan trọng rằng tình trạng quản lý yếu kém và hành vi tư lợi sẽ được thị trường sửa chữa. Khi mà các thương vụ thâu tóm thù địch khan hiếm như vậy, liệu có cách nào khác để thị trường có thể trừng phạt ban quản lý một cách hiệu quả khi họ có hành vi tư lợi hoặc không hành động vì lợi ích tốt nhất của cổ đông hay không?</w:t>
      </w:r>
    </w:p>
    <w:p>
      <w:pPr>
        <w:spacing w:after="80"/>
      </w:pPr>
      <w:r>
        <w:rPr>
          <w:b w:val="0"/>
          <w:i w:val="0"/>
        </w:rPr>
        <w:t>3. Trong phạm vi mà thị trường không thể kỷ luật ban quản lý một cách thỏa đáng, những cách tiếp cận nào khác có thể được sử dụng để đảm bảo rằng lợi ích của cổ đông được bảo vệ?</w:t>
      </w:r>
    </w:p>
    <w:p>
      <w:pPr>
        <w:pStyle w:val="Heading2"/>
      </w:pPr>
      <w:r>
        <w:rPr>
          <w:rFonts w:ascii="Calibri" w:hAnsi="Calibri"/>
          <w:b/>
          <w:i w:val="0"/>
          <w:sz w:val="32"/>
        </w:rPr>
        <w:t>III. Các cuộc tranh giành quyền biểu quyết (Proxy Contests)</w:t>
      </w:r>
    </w:p>
    <w:p>
      <w:pPr>
        <w:spacing w:after="80"/>
      </w:pPr>
      <w:r>
        <w:rPr>
          <w:b w:val="0"/>
          <w:i w:val="0"/>
        </w:rPr>
        <w:t>Khi các đề nghị mua lại thù địch (hostile tender offer) trở nên ít khả thi hơn, sự chú ý đã chuyển sang các cuộc tranh giành quyền biểu quyết (proxy contest). Những người nổi dậy bị ban quản lý chống đối thường phản ứng bằng cách tìm cách thay thế hội đồng quản trị. Để làm được điều đó, cần đề cử một danh sách ứng viên giám đốc cạnh tranh và tiến hành một chiến dịch nhằm giành phiếu bầu của các cổ đông không liên kết. Chiến dịch này diễn ra trong quá trình thu thập ủy quyền biểu quyết (proxy solicitation). Tuy nhiên, các cuộc tranh giành này có thể rất tốn kém. Những người nổi dậy phải tự chi trả chi phí của mình trong khi ban quản lý có thể dựa vào ngân quỹ của công ty.</w:t>
      </w:r>
    </w:p>
    <w:p>
      <w:pPr>
        <w:pStyle w:val="Heading3"/>
      </w:pPr>
      <w:r>
        <w:rPr>
          <w:rFonts w:ascii="Calibri" w:hAnsi="Calibri"/>
          <w:b/>
          <w:i w:val="0"/>
          <w:sz w:val="26"/>
        </w:rPr>
        <w:t>A. Các cuộc tranh giành quyền biểu quyết và chủ nghĩa hoạt động của cổ đông (Shareholder Activism)</w:t>
      </w:r>
    </w:p>
    <w:p>
      <w:pPr>
        <w:pStyle w:val="Heading4"/>
      </w:pPr>
      <w:r>
        <w:rPr>
          <w:rFonts w:ascii="Calibri" w:hAnsi="Calibri"/>
          <w:b/>
          <w:i w:val="0"/>
          <w:sz w:val="23"/>
        </w:rPr>
        <w:t xml:space="preserve">John C. Coffee, Jr. &amp; Darius Palia, </w:t>
      </w:r>
      <w:r>
        <w:rPr>
          <w:rFonts w:ascii="Calibri" w:hAnsi="Calibri"/>
          <w:b/>
          <w:i/>
          <w:sz w:val="23"/>
        </w:rPr>
        <w:t>The Wolf at the Door:</w:t>
      </w:r>
      <w:r>
        <w:br/>
      </w:r>
      <w:r>
        <w:rPr>
          <w:rFonts w:ascii="Calibri" w:hAnsi="Calibri"/>
          <w:b/>
          <w:i/>
          <w:sz w:val="23"/>
        </w:rPr>
        <w:t xml:space="preserve"> The Impact of Hedge Fund Activism on Corporate Governance</w:t>
      </w:r>
    </w:p>
    <w:p>
      <w:pPr>
        <w:spacing w:after="80"/>
      </w:pPr>
      <w:r>
        <w:rPr>
          <w:b w:val="0"/>
          <w:i w:val="0"/>
        </w:rPr>
        <w:t>Working Paper No. 521, Sept. 4, 2015, available at</w:t>
      </w:r>
      <w:r>
        <w:br/>
      </w:r>
      <w:r>
        <w:rPr>
          <w:b w:val="0"/>
          <w:i w:val="0"/>
        </w:rPr>
        <w:t xml:space="preserve"> http://papers.ssrn.com/sol3/papers.cfm?abstract_id=2656325</w:t>
      </w:r>
    </w:p>
    <w:p>
      <w:pPr>
        <w:spacing w:after="80"/>
      </w:pPr>
      <w:r>
        <w:rPr>
          <w:b w:val="0"/>
          <w:i w:val="0"/>
        </w:rPr>
        <w:t>II: Môi trường đã thay đổi: Những yếu tố nào đã thúc đẩy chủ nghĩa hoạt động mạnh mẽ hơn của các quỹ đầu cơ (hedge fund)?</w:t>
      </w:r>
    </w:p>
    <w:p>
      <w:pPr>
        <w:spacing w:after="80"/>
      </w:pPr>
      <w:r>
        <w:rPr>
          <w:b w:val="0"/>
          <w:i w:val="0"/>
        </w:rPr>
        <w:t>Ngày xưa, các nhà đầu tư tổ chức tuân theo “Quy tắc Phố Wall” (Wall Street Rule): nếu không hài lòng với ban quản lý, họ bán cổ phiếu của mình, nhưng không cố gắng can thiệp hay thách thức ban quản lý. Sự thụ động này có lẽ là hệ quả của việc cổ đông phân tán (khiến cho hoạt động vận động trở nên tốn kém) và xung đột lợi ích (các ngân hàng lớn—cả thương mại lẫn đầu tư—không muốn làm mất lòng khách hàng doanh nghiệp). Tuy nhiên, cùng với sự gia tăng sở hữu của các tổ chức, hành vi đã thay đổi. Điều này đặc biệt đúng trong trường hợp các quỹ đầu cơ, vốn khác với các quỹ tương hỗ (mutual fund), thường nắm giữ các khối cổ phần tập trung ở một số lượng hạn chế công ty (thay vì một danh mục đầu tư đa dạng rộng khắp). Sở hữu tập trung khiến cho chủ nghĩa hoạt động của cổ đông trở nên hợp lý xét từ góc độ chi phí/lợi ích.</w:t>
      </w:r>
    </w:p>
    <w:p>
      <w:pPr>
        <w:spacing w:after="80"/>
      </w:pPr>
      <w:r>
        <w:rPr>
          <w:b w:val="0"/>
          <w:i w:val="0"/>
        </w:rPr>
        <w:t>Các loại chiến dịch vận động do các quỹ đầu cơ tiến hành trải rộng từ những can thiệp khiêm tốn vào quản trị công ty (ví dụ: đề xuất tách vị trí CEO và Chủ tịch Hội đồng quản trị) cho đến những can thiệp xâm nhập hơn nhằm bán công ty, sa thải CEO, hoặc tách riêng các bộ phận. Như sẽ thấy, can thiệp càng xâm nhập thì phản ứng tích cực của thị trường chứng khoán càng lớn. Tần suất của các chiến dịch như vậy đã tăng vọt, với một khảo sát gần đây đếm được 1,115 chiến dịch vận động từ năm 2010 đến đầu năm 2014. Chỉ riêng năm 2014 đã chứng kiến kỷ lục 347 chiến dịch của các quỹ đầu cơ “hoạt động”. Rõ ràng, tốc độ can thiệp leo thang này tương phản rõ rệt với các giai đoạn trước đó, khi mà ví dụ chỉ có 52 chiến dịch được xác định trong khoảng 20 tháng liên tiếp vào năm 2005–2006. Điều đó tương đương với mức tăng hơn 1,000% giữa giai đoạn đó và hiện nay, và một lần nữa làm dấy lên khả năng về một bong bóng: cụ thể là ngày càng nhiều quỹ đầu cơ đang theo đuổi ngày càng ít cơ hội can thiệp chính đáng cho hoạt động vận động.</w:t>
      </w:r>
    </w:p>
    <w:p>
      <w:pPr>
        <w:spacing w:after="80"/>
      </w:pPr>
      <w:r>
        <w:rPr>
          <w:b w:val="0"/>
          <w:i w:val="0"/>
        </w:rPr>
        <w:t>Trong lịch sử, chủ nghĩa hoạt động của quỹ đầu cơ tập trung vào các công ty vốn hóa nhỏ vì việc gom một cổ phần đáng kể ở một công ty vốn hóa lớn là quá tốn kém. Nhưng điều này đã thay đổi. Năm 2013, lần đầu tiên, gần một phần ba các chiến dịch vận động tập trung vào các công ty có vốn hóa thị trường trên $2 tỷ. Nếu thay vào đó chúng ta dùng $10 tỷ làm ranh giới cho cổ phiếu “vốn hóa lớn”, chúng ta thấy rằng chỉ có 17 công ty như vậy bị các nhà đầu tư hoạt động nhắm đến vào năm 2010, nhưng sau đó từ năm 2011 đến 2013, số lượng các chiến dịch vận động như vậy tăng lên lần lượt là 21, 23 và 42. Trên thực tế, chúng đã tăng gấp đôi kể từ năm 2011. Cuối cùng, vào năm 2014, Pershing Square Capital Management L.P. đã bắt tay với một nhà thầu chiến lược để đưa ra đề nghị mua lại chung trị giá hơn $60 tỷ cho Allergan, Inc., và Trian Fund Management đã tiến hành một chiến dịch ủy quyền biểu quyết suýt thất bại tại DuPont, một trong những công ty lâu đời nhất, lớn nhất và mang tính biểu tượng nhất của Hoa Kỳ, nhưng quan trọng hơn, là một công ty có lợi nhuận cao và liên tục vượt trội so với mọi chuẩn mực liên quan về hiệu quả hoạt động của công ty. Nói ngắn gọn, bất kể quy mô hay lợi nhuận của chúng, ngày nay ít công ty nào có vẻ thoát khỏi tầm với của chủ nghĩa hoạt động của quỹ đầu cơ. Dường như, nếu có thể đưa ra một kịch bản đáng tin cậy cho thị trường rằng việc chia tách một công ty sẽ mang lại lợi ích cho cổ đông, thì các quỹ hoạt động sẽ tập hợp lại để tấn công ngay cả những công ty có thành tích lợi nhuận lâu dài.</w:t>
      </w:r>
    </w:p>
    <w:p>
      <w:pPr>
        <w:spacing w:after="80"/>
      </w:pPr>
      <w:r>
        <w:rPr>
          <w:b w:val="0"/>
          <w:i w:val="0"/>
        </w:rPr>
        <w:t>Chỉ có một nhóm quỹ đầu cơ chuyên biệt tham gia vào các chiến dịch vận động và tranh giành ủy quyền biểu quyết, nhưng gần đây họ đã làm rất tốt. Trong khoảng thời gian mười năm, các quỹ đầu cơ hoạt động dường như đã kiếm được lợi nhuận 13%, cao hơn gấp đôi mức lợi nhuận 5.8% của tất cả các quỹ đầu cơ nói chung. Quan trọng không kém, tài sản do các quỹ đầu cơ “hoạt động” quản lý đã tăng vọt, tăng hơn bảy lần từ $23 tỷ năm 2002 lên $166 tỷ vào đầu năm 2014, và riêng mười quỹ đầu cơ hoạt động hàng đầu đã thu hút $30 tỷ đầu tư mới trong năm 2013.</w:t>
      </w:r>
    </w:p>
    <w:p>
      <w:pPr>
        <w:spacing w:after="80"/>
      </w:pPr>
      <w:r>
        <w:rPr>
          <w:b w:val="0"/>
          <w:i w:val="0"/>
        </w:rPr>
        <w:t>Các quỹ đầu cơ đã khởi xướng phần lớn các cuộc tranh giành ủy quyền biểu quyết vào năm 2013, chiếm 24 trong số 35 cuộc tranh giành được tiến hành đối với các công ty thuộc Russell 3000. Mặc dù từ lâu đã hoạt động tích cực hơn các nhà đầu tư khác, các cuộc tranh giành ủy quyền biểu quyết do quỹ đầu cơ khởi xướng đã chiếm một tỷ lệ ngày càng tăng trong tất cả các cuộc tranh giành ủy quyền biểu quyết, tăng từ 39% năm 2009 lên 69% năm 2013.</w:t>
      </w:r>
    </w:p>
    <w:p>
      <w:pPr>
        <w:spacing w:after="80"/>
      </w:pPr>
      <w:r>
        <w:rPr>
          <w:b w:val="0"/>
          <w:i w:val="0"/>
        </w:rPr>
        <w:t>Quan trọng hơn, họ đang thắng những cuộc chiến này, giành được thắng lợi một phần hoặc hoàn toàn trong 19 trong số 24 cuộc tranh giành mà họ khởi xướng vào năm 2013. Năm 2014, “các nhà hoạt động đã thắng trong kỷ lục 73% các trận chiến giành ghế trong hội đồng quản trị, tăng từ 52% năm 2012.” Đáng chú ý là, một khi các nhà hoạt động giành được một ghế trong hội đồng quản trị, 44% trong số các công ty đó đã thay CEO trong vòng 18 tháng sau đó.</w:t>
      </w:r>
    </w:p>
    <w:p>
      <w:pPr>
        <w:spacing w:after="80"/>
      </w:pPr>
      <w:r>
        <w:rPr>
          <w:b w:val="0"/>
          <w:i w:val="0"/>
        </w:rPr>
        <w:t>Chắc chắn rằng, sự tương tác gia tăng giữa cổ đông và ban quản lý đã trở thành xu hướng chủ đạo. Một báo cáo của Ernst &amp; Young cho thấy một nửa trong số tất cả các công ty thuộc S&amp;P 500 đã công bố việc tương tác với nhà đầu tư trong năm 2013, tăng từ chỉ 23% năm 2012, và những liên hệ này thường diễn ra giữa các nhà đầu tư tổ chức và các thành viên hội đồng quản trị mà không có sự hiện diện của ban quản lý. Tuy nhiên, ngay cả khi có mong muốn rộng rãi hơn của cổ đông về việc tương tác với ban quản lý, thì chủ nghĩa hoạt động của quỹ đầu cơ vẫn khác biệt về chất. Như những người khác đã nhấn mạnh, các nhà đầu tư tổ chức truyền thống—về cơ bản là các quỹ hưu trí và quỹ tương hỗ—từ lâu đã về cơ bản mang tính “phòng thủ” trong hoạt động vận động của họ (ví dụ, bằng cách tìm cách chống lại một sáng kiến của ban quản lý), trong khi các quỹ đầu cơ mang tính “tấn công”, chủ động tìm kiếm một mục tiêu hoạt động kém hiệu quả để đầu tư nhằm theo đuổi một chương trình nghị sự chủ động và thay đổi mô hình kinh doanh của mục tiêu.</w:t>
      </w:r>
    </w:p>
    <w:p>
      <w:pPr>
        <w:pStyle w:val="Heading5"/>
      </w:pPr>
      <w:r>
        <w:rPr>
          <w:rFonts w:ascii="Calibri" w:hAnsi="Calibri"/>
          <w:b/>
          <w:i/>
          <w:sz w:val="22"/>
        </w:rPr>
        <w:t>Bình luận và Câu hỏi</w:t>
      </w:r>
    </w:p>
    <w:p>
      <w:pPr>
        <w:spacing w:after="80"/>
      </w:pPr>
      <w:r>
        <w:rPr>
          <w:b w:val="0"/>
          <w:i w:val="0"/>
        </w:rPr>
        <w:t>1. Bạn nghĩ gì về vai trò của các quỹ đầu cơ hoạt động (activist hedge funds)? Sự hiện diện của các cổ đông hoạt động (activist shareholders) có phải là một hiện tượng mới không? Nó so sánh thế nào, ví dụ, với những kẻ săn lùng công ty (corporate raiders) của thập niên 1980?</w:t>
      </w:r>
    </w:p>
    <w:p>
      <w:pPr>
        <w:spacing w:after="80"/>
      </w:pPr>
      <w:r>
        <w:rPr>
          <w:b w:val="0"/>
          <w:i w:val="0"/>
        </w:rPr>
        <w:t xml:space="preserve">2. Các nhà hoạt động thường tìm kiếm đại diện thiểu số trong hội đồng quản trị. Một số người khẳng định rằng việc tạo điều kiện cho các giám đốc bất đồng chính kiến được bầu có thể gây tổn hại đến quá trình ra quyết định của hội đồng quản trị. </w:t>
      </w:r>
      <w:r>
        <w:rPr>
          <w:b w:val="0"/>
          <w:i/>
        </w:rPr>
        <w:t>Xem thêm</w:t>
      </w:r>
      <w:r>
        <w:rPr>
          <w:b w:val="0"/>
          <w:i w:val="0"/>
        </w:rPr>
        <w:t xml:space="preserve"> Martin Lipton &amp; Steven A. Rosenblum, </w:t>
      </w:r>
      <w:r>
        <w:rPr>
          <w:b w:val="0"/>
          <w:i/>
        </w:rPr>
        <w:t>Symposium on Corporate Election, Election Contests in the Company's Proxy: An Idea Whose Time Has Not Come</w:t>
      </w:r>
      <w:r>
        <w:rPr>
          <w:b w:val="0"/>
          <w:i w:val="0"/>
        </w:rPr>
        <w:t xml:space="preserve"> , 59 Bus. Law. 67 (2003) (lập luận rằng sự hiện diện của "các giám đốc đại diện cho lợi ích đặc biệt hoặc bất đồng chính kiến" trong hội đồng quản trị sẽ "về cơ bản chia [hội đồng quản trị] thành nhiều hội đồng quản trị" và "tính đồng nghiệp của hội đồng quản trị thường bị phá hủy, cản trở việc thảo luận cởi mở và trao đổi qua lại của một hội đồng quản trị hoạt động tốt, nơi các thành viên tin tưởng và tôn trọng lẫn nhau."). Bạn nghĩ gì về lập luận này?</w:t>
      </w:r>
    </w:p>
    <w:p>
      <w:pPr>
        <w:spacing w:after="80"/>
      </w:pPr>
      <w:r>
        <w:rPr>
          <w:b w:val="0"/>
          <w:i w:val="0"/>
        </w:rPr>
        <w:t xml:space="preserve">3. Các giám đốc được chỉ định bởi các cổ đông hoạt động (hoặc các nhà đầu tư khác như nhà đầu tư vốn cổ phần tư nhân) đôi khi được gọi là giám đốc "thành phần cử tri" (constituency) hoặc giám đốc "đại diện" (representative). Những giám đốc này có nghĩa vụ ủy thác (fiduciary obligations) phải hành động vì lợi ích tốt nhất của công ty, chứ không phải vì cổ đông chịu trách nhiệm bầu họ. Tuy nhiên, hãy thảo luận về sự căng thẳng tồn tại liên quan đến việc bầu các giám đốc này trong việc áp dụng thực tế các nghĩa vụ ủy thác. Để thảo luận về những giám đốc này, xem E. Norman Veasey &amp; Christine T. Di Guglielmo, </w:t>
      </w:r>
      <w:r>
        <w:rPr>
          <w:b w:val="0"/>
          <w:i/>
        </w:rPr>
        <w:t>How Many Masters Can A Director Serve? A Look at the Tensions Facing Constituency Directors</w:t>
      </w:r>
      <w:r>
        <w:rPr>
          <w:b w:val="0"/>
          <w:i w:val="0"/>
        </w:rPr>
        <w:t xml:space="preserve"> , 63 Bus. Law. 761 (May 2008).</w:t>
      </w:r>
    </w:p>
    <w:p>
      <w:pPr>
        <w:spacing w:after="80"/>
      </w:pPr>
      <w:r>
        <w:rPr>
          <w:b w:val="0"/>
          <w:i w:val="0"/>
        </w:rPr>
        <w:t>4. Các nhà hoạt động thường sở hữu một tỷ lệ khiêm tốn trong số cổ phiếu đang lưu hành của mục tiêu, thường dưới 10%, đôi khi dưới 5%. Kết quả là, thành công của họ thường phụ thuộc vào khả năng tập hợp sự ủng hộ từ các cổ đông tổ chức khác. Tại sao và trong những hoàn cảnh nào các quỹ hưu trí và quỹ tương hỗ có thể ủng hộ các quan điểm của nhà hoạt động? Ban lãnh đạo có thể làm gì để giảm thiểu rủi ro này?</w:t>
      </w:r>
    </w:p>
    <w:p>
      <w:pPr>
        <w:spacing w:after="80"/>
      </w:pPr>
      <w:r>
        <w:rPr>
          <w:b w:val="0"/>
          <w:i w:val="0"/>
        </w:rPr>
        <w:t xml:space="preserve">5. Nếu hội đồng quản trị chấp nhận các yêu cầu của một nhà đầu tư hoạt động, bao gồm các vị trí trong hội đồng quản trị và cuối cùng là mua lại cổ phiếu, liệu các cổ đông khác có biện pháp khắc phục nào không? </w:t>
      </w:r>
      <w:r>
        <w:rPr>
          <w:b w:val="0"/>
          <w:i/>
        </w:rPr>
        <w:t>Xem Ryan v. Gursahaney</w:t>
      </w:r>
      <w:r>
        <w:rPr>
          <w:b w:val="0"/>
          <w:i w:val="0"/>
        </w:rPr>
        <w:t xml:space="preserve"> , C.A. No. 9992-VCP (Del. Ch. Apr. 28, 2015) (cáo buộc rằng "các bị đơn giám đốc đã vi phạm nghĩa vụ ủy thác của họ bằng cách bổ nhiệm người đứng đầu quỹ đầu cơ vào hội đồng quản trị, thực hiện kế hoạch mua lại cổ phiếu tương tự như kế hoạch mà ông ta ủng hộ, và sau đó cuối cùng mua lại khối cổ phiếu của quỹ đầu cơ trong [công ty] với mức giá thị trường phổ biến lúc đó, nhưng bị cáo buộc là bị thổi phồng."). Những rào cản nào tồn tại đối với các loại hành động này?</w:t>
      </w:r>
    </w:p>
    <w:p>
      <w:pPr>
        <w:spacing w:after="80"/>
      </w:pPr>
      <w:r>
        <w:rPr>
          <w:b w:val="0"/>
          <w:i w:val="0"/>
        </w:rPr>
        <w:t xml:space="preserve">6. Nhiều nhà hoạt động có thể nhắm vào cùng một công ty, một hiện tượng đôi khi được gọi là bầy sói (wolf pack). Một số hạn chế của cách tiếp cận này là gì? Thuốc độc (poison pills) được kích hoạt ở các ngưỡng sở hữu thấp tới 5%. Chúng thường áp dụng cho những người hoặc nhóm người đáp ứng ngưỡng cần thiết. Khi nào một "bầy sói" có thể trở thành một nhóm, do đó dẫn đến việc tổng hợp cổ phiếu cho mục đích của các ngưỡng kích hoạt này? </w:t>
      </w:r>
      <w:r>
        <w:rPr>
          <w:b w:val="0"/>
          <w:i/>
        </w:rPr>
        <w:t>Xem</w:t>
      </w:r>
      <w:r>
        <w:rPr>
          <w:b w:val="0"/>
          <w:i w:val="0"/>
        </w:rPr>
        <w:t xml:space="preserve"> Rule 13d-5, 17 C.F.R. 240.13d-5 (một nhóm bao gồm "hai hoặc nhiều người đồng ý hành động cùng nhau với mục đích mua, nắm giữ, biểu quyết hoặc định đoạt chứng khoán vốn của một tổ chức phát hành").</w:t>
      </w:r>
    </w:p>
    <w:p>
      <w:pPr>
        <w:spacing w:after="80"/>
      </w:pPr>
      <w:r>
        <w:rPr>
          <w:b w:val="0"/>
          <w:i w:val="0"/>
        </w:rPr>
        <w:t>7. Các cổ đông hoạt động đôi khi đã tìm cách bổ sung khoản thù lao trả cho các ứng viên hội đồng quản trị của họ sau khi được bầu. Được một số người gọi là "dây xích vàng" (golden leash), khoản thù lao này thường gắn liền với hiệu suất của công ty. Những loại thỏa thuận này có thể gây ra những lo ngại gì? Một công ty có thể phản ứng như thế nào?</w:t>
      </w:r>
    </w:p>
    <w:p>
      <w:pPr>
        <w:spacing w:after="80"/>
      </w:pPr>
      <w:r>
        <w:rPr>
          <w:b w:val="0"/>
          <w:i w:val="0"/>
        </w:rPr>
        <w:t>—————</w:t>
      </w:r>
    </w:p>
    <w:p>
      <w:pPr>
        <w:pStyle w:val="Heading4"/>
      </w:pPr>
      <w:r>
        <w:rPr>
          <w:rFonts w:ascii="Calibri" w:hAnsi="Calibri"/>
          <w:b/>
          <w:i w:val="0"/>
          <w:sz w:val="23"/>
        </w:rPr>
        <w:t>Một cuộc tranh luận: Tác động dài hạn so với ngắn hạn</w:t>
      </w:r>
      <w:r>
        <w:br/>
      </w:r>
      <w:r>
        <w:rPr>
          <w:rFonts w:ascii="Calibri" w:hAnsi="Calibri"/>
          <w:b/>
          <w:i w:val="0"/>
          <w:sz w:val="23"/>
        </w:rPr>
        <w:t xml:space="preserve"> của các cổ đông hoạt động</w:t>
      </w:r>
    </w:p>
    <w:p>
      <w:pPr>
        <w:spacing w:after="80"/>
      </w:pPr>
      <w:r>
        <w:rPr>
          <w:b w:val="0"/>
          <w:i w:val="0"/>
        </w:rPr>
        <w:t>Vai trò ngày càng tăng của các cổ đông hoạt động là rõ ràng. Tuy nhiên, một cuộc tranh luận sôi nổi đã nổi lên về hậu quả của vai trò ngày càng tăng này. Một số người cho rằng các nhà hoạt động có tầm nhìn ngắn hạn gây hại cho các công ty. Những người khác phản đối lập luận đó.</w:t>
      </w:r>
    </w:p>
    <w:p>
      <w:pPr>
        <w:pStyle w:val="Heading4"/>
      </w:pPr>
      <w:r>
        <w:rPr>
          <w:rFonts w:ascii="Calibri" w:hAnsi="Calibri"/>
          <w:b/>
          <w:i w:val="0"/>
          <w:sz w:val="23"/>
        </w:rPr>
        <w:t>Lucian A. Bebchuk, Alon Brav &amp; Wei Jiang,</w:t>
      </w:r>
      <w:r>
        <w:br/>
      </w:r>
      <w:r>
        <w:rPr>
          <w:rFonts w:ascii="Calibri" w:hAnsi="Calibri"/>
          <w:b/>
          <w:i w:val="0"/>
          <w:sz w:val="23"/>
        </w:rPr>
        <w:t xml:space="preserve"> </w:t>
      </w:r>
      <w:r>
        <w:rPr>
          <w:rFonts w:ascii="Calibri" w:hAnsi="Calibri"/>
          <w:b/>
          <w:i/>
          <w:sz w:val="23"/>
        </w:rPr>
        <w:t>The Long-Term Effects of Hedge Fund Activism</w:t>
      </w:r>
    </w:p>
    <w:p>
      <w:pPr>
        <w:spacing w:after="80"/>
      </w:pPr>
      <w:r>
        <w:rPr>
          <w:b w:val="0"/>
          <w:i w:val="0"/>
        </w:rPr>
        <w:t>115 Colum. L. Rev. 1085 (2015)</w:t>
      </w:r>
    </w:p>
    <w:p>
      <w:pPr>
        <w:spacing w:after="80"/>
      </w:pPr>
      <w:r>
        <w:rPr>
          <w:b w:val="0"/>
          <w:i w:val="0"/>
        </w:rPr>
        <w:t>Chúng tôi tập trung vào tuyên bố "nhà hoạt động cận thị" (myopic-activists) đã đóng vai trò trung tâm trong các cuộc tranh luận về hoạt động của cổ đông và các quy tắc cũng như chính sách pháp lý định hình nó. Theo tuyên bố này, . . . các cổ đông hoạt động với tầm nhìn đầu tư ngắn hạn, đặc biệt là các quỹ đầu cơ hoạt động, thúc đẩy các hành động có lợi trong ngắn hạn nhưng gây bất lợi cho lợi ích dài hạn của các công ty và các cổ đông dài hạn của họ. Vấn đề, theo tuyên bố, xuất phát từ việc các số liệu hiệu suất ngắn hạn và giá cổ phiếu ngắn hạn không phản ánh được chi phí dài hạn của các hành động mà nhà hoạt động tìm kiếm. Kết quả là, các nhà hoạt động với tầm nhìn đầu tư ngắn hạn có động cơ tìm kiếm các hành động làm tăng giá ngắn hạn với cái giá phải trả là hiệu suất dài hạn, chẳng hạn như cắt giảm quá mức các khoản đầu tư dài hạn hoặc nguồn vốn sẵn có cho những khoản đầu tư đó.</w:t>
      </w:r>
    </w:p>
    <w:p>
      <w:pPr>
        <w:spacing w:after="80"/>
      </w:pPr>
      <w:r>
        <w:rPr>
          <w:b w:val="0"/>
          <w:i w:val="0"/>
        </w:rPr>
        <w:t>* * *</w:t>
      </w:r>
    </w:p>
    <w:p>
      <w:pPr>
        <w:spacing w:after="80"/>
      </w:pPr>
      <w:r>
        <w:rPr>
          <w:b w:val="0"/>
          <w:i w:val="0"/>
        </w:rPr>
        <w:t xml:space="preserve">1. </w:t>
      </w:r>
      <w:r>
        <w:rPr>
          <w:b w:val="0"/>
          <w:i/>
        </w:rPr>
        <w:t>Một mô hình rõ ràng</w:t>
      </w:r>
      <w:r>
        <w:rPr>
          <w:b w:val="0"/>
          <w:i w:val="0"/>
        </w:rPr>
        <w:t xml:space="preserve"> .— . . . Để bắt đầu, các nhà hoạt động thường không nhắm vào các công ty hoạt động tốt. Các mục tiêu của hoạt động này có xu hướng là những công ty có hiệu suất hoạt động thấp hơn các đối thủ cùng ngành và cũng thấp hơn mức lịch sử của chính họ tại thời điểm can thiệp. Hơn nữa, tại thời điểm can thiệp, các mục tiêu dường như đang trong xu hướng tiêu cực với hiệu suất hoạt động giảm trong ba năm trước khi can thiệp.</w:t>
      </w:r>
    </w:p>
    <w:p>
      <w:pPr>
        <w:spacing w:after="80"/>
      </w:pPr>
      <w:r>
        <w:rPr>
          <w:b w:val="0"/>
          <w:i w:val="0"/>
        </w:rPr>
        <w:t>Hơn nữa, trong năm năm sau khi can thiệp, chúng tôi không tìm thấy bằng chứng nào ủng hộ những lo ngại rằng các can thiệp của nhà hoạt động được theo sau bởi lợi nhuận ngắn hạn đi kèm với sự suy giảm dài hạn sau đó trong hiệu suất hoạt động. Xem xét cả Q [Tobins's Q, được "thiết kế để phản ánh sự thành công của một công ty trong việc chuyển đổi một giá trị sổ sách nhất định của tài sản thành giá trị thị trường tích lũy cho các nhà đầu tư"] và ROA [lợi nhuận trên tài sản], và tiến hành so sánh cả với cuối năm sau khi can thiệp và cuối năm trước đó, tác động bất lợi được lo sợ đối với hiệu suất dài hạn không được tìm thấy trong dữ liệu. Thật vậy, trong mỗi năm thứ ba, thứ tư và thứ năm sau khi can thiệp, chúng tôi tìm thấy những cải thiện có ý nghĩa thống kê. Do đó, nhìn chung, bằng chứng về hiệu suất của công ty không ủng hộ tuyên bố về nhà hoạt động cận thị.</w:t>
      </w:r>
    </w:p>
    <w:p>
      <w:pPr>
        <w:spacing w:after="80"/>
      </w:pPr>
      <w:r>
        <w:rPr>
          <w:b w:val="0"/>
          <w:i w:val="0"/>
        </w:rPr>
        <w:t xml:space="preserve">2. </w:t>
      </w:r>
      <w:r>
        <w:rPr>
          <w:b w:val="0"/>
          <w:i/>
        </w:rPr>
        <w:t>Ảnh hưởng tiêu cực đến hiệu quả hoạt động sau khi bị thâu tóm của các công ty bị mua lại</w:t>
      </w:r>
      <w:r>
        <w:rPr>
          <w:b w:val="0"/>
          <w:i w:val="0"/>
        </w:rPr>
        <w:t xml:space="preserve"> ?—Cũng giống như trường hợp của các công ty cùng ngành, một tỷ lệ đáng kể các công ty mục tiêu không còn niêm yết công khai vào cuối giai đoạn năm năm, do đã bị mua lại hoặc bị hủy niêm yết bằng cách khác, và do đó không còn nằm trong bộ dữ liệu Compustat về dữ liệu công ty đại chúng nữa. Bởi vì kết quả của chúng tôi cho thấy hiệu quả hoạt động của các công ty mục tiêu cải thiện chừng nào chúng còn niêm yết công khai, người ta vẫn có thể lập luận rằng hoạt động vận động cổ đông (activism) có ảnh hưởng tiêu cực đến các công ty mục tiêu ngừng niêm yết trong giai đoạn năm năm đó, rằng ảnh hưởng này xảy ra sau khi các công ty mục tiêu này không còn niêm yết nữa và do đó không được phân tích của chúng tôi phát hiện, và rằng ảnh hưởng tiêu cực này đủ lớn để khiến tác động tổng thể của hoạt động vận động cổ đông trở nên tiêu cực về mặt tổng hợp.</w:t>
      </w:r>
    </w:p>
    <w:p>
      <w:pPr>
        <w:spacing w:after="80"/>
      </w:pPr>
      <w:r>
        <w:rPr>
          <w:b w:val="0"/>
          <w:i w:val="0"/>
        </w:rPr>
        <w:t>Tuy nhiên, không có lý do gì để kỳ vọng rằng hiệu quả hoạt động của các công ty mục tiêu bị mua lại sẽ có nhiều khả năng suy giảm hơn là cải thiện sau khi bị mua lại. Thật vậy, các thương vụ mua lại thường có thể được kỳ vọng là được thúc đẩy bởi kỳ vọng của bên mua rằng họ sẽ có thể cải thiện hiệu quả của các tài sản đã mua thông qua hiệu ứng cộng hưởng (synergies) hoặc bằng cách khác. Trong chừng mực điều này đúng, có thể kỳ vọng rằng hiệu quả của các tài sản thuộc các công ty mục tiêu của hoạt động vận động cổ đông bị mua lại sẽ có xu hướng cải thiện, chứ không phải suy giảm, sau khi các công ty mục tiêu bị mua lại và không còn được báo cáo hiệu quả hoạt động trên Compustat nữa.</w:t>
      </w:r>
    </w:p>
    <w:p>
      <w:pPr>
        <w:spacing w:after="80"/>
      </w:pPr>
      <w:r>
        <w:rPr>
          <w:b w:val="0"/>
          <w:i w:val="0"/>
        </w:rPr>
        <w:t>Hơn nữa, như được giải thích dưới đây, mối lo ngại này được giải quyết trực tiếp bởi một nghiên cứu thực nghiệm gần đây, do hai người trong chúng tôi cùng với Hyunseob Kim đồng tác giả, theo dõi hiệu quả hoạt động của các công ty mục tiêu của hoạt động vận động cổ đông sau khi chúng bị mua lại. Nghiên cứu đó sử dụng các cơ sở dữ liệu theo chiều dọc của Cục Thống kê Dân số Hoa Kỳ (U.S. Census Bureau) về các doanh nghiệp sản xuất để nghiên cứu hoạt động vận động cổ đông tại các công ty mục tiêu hoạt động trong lĩnh vực sản xuất. Một đặc điểm then chốt của dữ liệu Census là Census tiếp tục ghi nhận dữ liệu về các tài sản sản xuất trước đây thuộc về một công ty đại chúng ngay cả sau khi công ty đó không còn niêm yết do bị mua lại hoặc vì lý do khác. Do đó, nghiên cứu có thể đánh giá trực tiếp, đối với các công ty mục tiêu trong lĩnh vực sản xuất, những thay đổi nào về hiệu quả hoạt động đã diễn ra ở các công ty mục tiêu ngừng niêm yết.</w:t>
      </w:r>
    </w:p>
    <w:p>
      <w:pPr>
        <w:spacing w:after="80"/>
      </w:pPr>
      <w:r>
        <w:rPr>
          <w:b w:val="0"/>
          <w:i w:val="0"/>
        </w:rPr>
        <w:t>Nghiên cứu ghi nhận rằng các nhà máy thuộc các công ty mục tiêu cuối cùng bị loại khỏi bộ dữ liệu Compustat hoạt động tốt hơn so với những nhà máy mà công ty của chúng vẫn còn được Compustat bao phủ. Như vậy, trong chừng mực các công ty mục tiêu trong lĩnh vực sản xuất thể hiện một mô hình tương tự, bằng chứng do nghiên cứu cung cấp cho thấy rằng việc tập trung vào các công ty mục tiêu vẫn còn niêm yết không nên được kỳ vọng sẽ dẫn đến việc phóng đại—và thật ra có thể sẽ tạo ra sự đánh giá thấp—về hiệu quả hoạt động sau can thiệp của các công ty mục tiêu.</w:t>
      </w:r>
    </w:p>
    <w:p>
      <w:pPr>
        <w:spacing w:after="80"/>
      </w:pPr>
      <w:r>
        <w:rPr>
          <w:b w:val="0"/>
          <w:i w:val="0"/>
        </w:rPr>
        <w:t xml:space="preserve">3. </w:t>
      </w:r>
      <w:r>
        <w:rPr>
          <w:b w:val="0"/>
          <w:i/>
        </w:rPr>
        <w:t>Chọn cổ phiếu</w:t>
      </w:r>
      <w:r>
        <w:rPr>
          <w:b w:val="0"/>
          <w:i w:val="0"/>
        </w:rPr>
        <w:t xml:space="preserve"> ?—Cuối cùng, những người chỉ trích hoạt động vận động cổ đông của các quỹ đầu cơ (hedge fund activism) có thể lập luận rằng mối liên hệ được nhận diện giữa các can thiệp của nhà vận động cổ đông và những cải thiện sau đó về hiệu quả hoạt động tự nó không chứng minh được mối liên hệ nhân quả. Nó có thể chỉ phản ánh xu hướng của các nhà vận động cổ đông trong việc chọn những công ty mục tiêu mà hiệu quả hoạt động được kỳ vọng sẽ tăng lên dù sao đi nữa. Trong một kịch bản như vậy, sự cải thiện về hiệu quả dài hạn mà các công ty mục tiêu trải qua phản ánh khả năng “chọn cổ phiếu” của các nhà vận động cổ đông chứ không phải tác động của họ lên hiệu quả hoạt động của công ty.</w:t>
      </w:r>
    </w:p>
    <w:p>
      <w:pPr>
        <w:spacing w:after="80"/>
      </w:pPr>
      <w:r>
        <w:rPr>
          <w:b w:val="0"/>
          <w:i w:val="0"/>
        </w:rPr>
        <w:t>Ngay từ đầu, chúng tôi muốn nhấn mạnh rằng việc chấp nhận rằng các can thiệp của nhà vận động cổ đông được theo sau bởi những cải thiện về hiệu quả hoạt động, và chỉ đặt câu hỏi liệu các nhà vận động cổ đông có nên “được ghi công” cho những cải thiện này hay không, thì đã thừa nhận rằng những hệ quả dài hạn của hoạt động vận động cổ đông không tạo cơ sở cho những lời kêu gọi hạn chế ảnh hưởng của hoạt động này và cách ly hội đồng quản trị khỏi ảnh hưởng đó. Những lời kêu gọi như vậy dựa trên tuyên bố rằng các can thiệp của nhà vận động cổ đông được theo sau bởi (và mang lại) sự suy giảm về hiệu quả hoạt động dài hạn. Trong chừng mực các can thiệp được theo sau bởi những cải thiện về hiệu quả hoạt động, không có lý do gì để hạn chế ảnh hưởng của các nhà vận động cổ đông, bất kể họ nên được ghi công bao nhiêu cho những cải thiện này. Những người chọn cổ phiếu đặt cược thành công vào những cải thiện trong tương lai có thể không xứng đáng được trao huy chương, nhưng họ không đáng bị phản đối và chống đối.</w:t>
      </w:r>
    </w:p>
    <w:p>
      <w:pPr>
        <w:spacing w:after="80"/>
      </w:pPr>
      <w:r>
        <w:rPr>
          <w:b w:val="0"/>
          <w:i w:val="0"/>
        </w:rPr>
        <w:t>Tuy nhiên, có ít nhất ba lý do để tin rằng những cải thiện được nhận diện về hiệu quả hoạt động ít nhất một phần là do các can thiệp của nhà vận động cổ đông. Thứ nhất, các cuộc gắn kết của nhà vận động cổ đông đòi hỏi chi phí đáng kể, và các nhà đầu tư vận động cổ đông sẽ có động cơ mạnh mẽ để tránh gánh chịu chúng nếu họ tin rằng những cải thiện về hiệu quả sẽ diễn ra dù sao đi nữa, ngay cả khi không gắn kết với các công ty mục tiêu. Trong trường hợp như vậy, những nhà đầu tư này sẽ chỉ mua một phần cổ phần, tránh mọi can thiệp, và thu được lợi ích từ hiệu quả được cải thiện được kỳ vọng sẽ diễn ra mà không phải chịu chi phí. Do đó, việc các nhà vận động cổ đông sẵn sàng gánh chịu những chi phí đáng kể của việc gắn kết có khả năng phản ánh đánh giá của họ rằng các hoạt động của họ đóng góp vào những cải thiện sau đó về hiệu quả hoạt động.</w:t>
      </w:r>
    </w:p>
    <w:p>
      <w:pPr>
        <w:spacing w:after="80"/>
      </w:pPr>
      <w:r>
        <w:rPr>
          <w:b w:val="0"/>
          <w:i w:val="0"/>
        </w:rPr>
        <w:t>Thứ hai, . . . những cải thiện về hiệu quả hoạt động theo sau các can thiệp của nhà vận động cổ đông không chỉ trong toàn bộ bộ dữ liệu của chúng tôi mà còn trong tập hợp con các can thiệp của nhà vận động cổ đông sử dụng các chiến thuật đối đầu. Những chiến thuật như vậy được sử dụng khi các nhà vận động cổ đông kỳ vọng các công ty sẽ chống lại hướng hành động mà họ đề xuất. Phát hiện này mâu thuẫn với quan điểm cho rằng những cải thiện về hiệu quả hoạt động theo sau các can thiệp của nhà vận động cổ đông là do những hành động của doanh nghiệp mà những người đương nhiệm sẽ chọn thực hiện ngay cả khi không có bất kỳ can thiệp nào.</w:t>
      </w:r>
    </w:p>
    <w:p>
      <w:pPr>
        <w:spacing w:after="80"/>
      </w:pPr>
      <w:r>
        <w:rPr>
          <w:b w:val="0"/>
          <w:i w:val="0"/>
        </w:rPr>
        <w:t>Hơn nữa, quan điểm cho rằng các can thiệp đóng góp vào những cải thiện sau đó nhất quán với phát hiện trong công trình trước đây do hai người trong chúng tôi (cùng với Hyunseob Kim) đồng tác giả rằng những cải thiện như vậy không diễn ra sau khi các cổ đông lớn bên ngoài theo đuổi chiến lược thụ động công bố việc mua một khối cổ phần, nhưng lại xảy ra khi các cổ đông lớn chuyển từ lập trường thụ động sang lập trường vận động cổ đông. Phát hiện này cũng nhất quán với quan điểm rằng những mô hình mà chúng tôi nhận diện ở trên ít nhất một phần là sản phẩm từ công việc của các nhà vận động cổ đông chứ không chỉ đơn thuần phản ánh tầm nhìn xa của họ trong việc chọn công ty mục tiêu.</w:t>
      </w:r>
    </w:p>
    <w:p>
      <w:pPr>
        <w:spacing w:after="80"/>
      </w:pPr>
      <w:r>
        <w:rPr>
          <w:b w:val="0"/>
          <w:i w:val="0"/>
        </w:rPr>
        <w:t>Do đó, chúng tôi kết luận rằng những cải thiện được nhận diện về hiệu quả nên được kỳ vọng là ít nhất một phần do can thiệp của nhà vận động cổ đông. Tất nhiên, các vấn đề nhân quả trong quản trị doanh nghiệp và tài chính nổi tiếng là khó giải quyết với sự tự tin tuyệt đối, và chúng tôi không nhắm đến việc xác định chính xác mức độ mà những cải thiện là do các can thiệp của nhà vận động cổ đông. Mối quan tâm chính của chúng tôi trong Bài viết này là điều tra một cách thực nghiệm liệu tuyên bố lâu đời và có ảnh hưởng rằng các can thiệp của nhà vận động cổ đông được theo sau bởi sự suy giảm về hiệu quả hoạt động dài hạn có được bằng chứng ủng hộ hay không. Kết quả của chúng tôi đưa ra câu trả lời rõ ràng: Tuyên bố lâu đời này không được dữ liệu ủng hộ.</w:t>
      </w:r>
    </w:p>
    <w:p>
      <w:pPr>
        <w:pStyle w:val="Heading4"/>
      </w:pPr>
      <w:r>
        <w:rPr>
          <w:rFonts w:ascii="Calibri" w:hAnsi="Calibri"/>
          <w:b/>
          <w:i w:val="0"/>
          <w:sz w:val="23"/>
        </w:rPr>
        <w:t xml:space="preserve">John C. Coffee, Jr. &amp; Darius Palia, </w:t>
      </w:r>
      <w:r>
        <w:rPr>
          <w:rFonts w:ascii="Calibri" w:hAnsi="Calibri"/>
          <w:b/>
          <w:i/>
          <w:sz w:val="23"/>
        </w:rPr>
        <w:t>Con sói trước cửa:</w:t>
      </w:r>
      <w:r>
        <w:br/>
      </w:r>
      <w:r>
        <w:rPr>
          <w:rFonts w:ascii="Calibri" w:hAnsi="Calibri"/>
          <w:b/>
          <w:i/>
          <w:sz w:val="23"/>
        </w:rPr>
        <w:t xml:space="preserve"> Tác động của hoạt động vận động cổ đông của quỹ đầu cơ lên quản trị doanh nghiệp</w:t>
      </w:r>
    </w:p>
    <w:p>
      <w:pPr>
        <w:spacing w:after="80"/>
      </w:pPr>
      <w:r>
        <w:rPr>
          <w:b w:val="0"/>
          <w:i w:val="0"/>
        </w:rPr>
        <w:t>Bài làm việc (Working Paper) số 521, ngày 4 tháng 9 năm 2015, có tại</w:t>
      </w:r>
      <w:r>
        <w:br/>
      </w:r>
      <w:r>
        <w:rPr>
          <w:b w:val="0"/>
          <w:i w:val="0"/>
        </w:rPr>
        <w:t xml:space="preserve"> http://papers.ssrn.com/sol3/papers.cfm?abstract_id=2656325</w:t>
      </w:r>
    </w:p>
    <w:p>
      <w:pPr>
        <w:spacing w:after="80"/>
      </w:pPr>
      <w:r>
        <w:rPr>
          <w:b w:val="0"/>
          <w:i w:val="0"/>
        </w:rPr>
        <w:t>Liệu hoạt động vận động cổ đông của quỹ đầu cơ có tạo ra giá trị? Để dễ trình bày, trong tiểu mục này, chúng tôi chia bằng chứng thành hai phần, dựa trên việc giai đoạn đo lường là ngắn hạn (vài ngày) hay dài hạn (vài năm).</w:t>
      </w:r>
    </w:p>
    <w:p>
      <w:pPr>
        <w:spacing w:after="80"/>
      </w:pPr>
      <w:r>
        <w:rPr>
          <w:b w:val="0"/>
          <w:i w:val="0"/>
        </w:rPr>
        <w:t>1. Các nghiên cứu sự kiện ngắn hạn về lợi suất cổ phiếu: Nhiều nghiên cứu đã xem xét điều gì xảy ra với giá cổ phiếu của công ty mục tiêu khi có một hồ sơ Schedule 13D nộp cho SEC. Ngày nộp được gọi là ngày sự kiện, và các nghiên cứu xem xét liệu một công ty mục tiêu có đạt được lợi suất bất thường (thường được định nghĩa là lợi suất thực tế trừ đi lợi suất đã điều chỉnh theo biến động thị trường) trong vài ngày trước và sau ngày sự kiện (được gọi là “cửa sổ sự kiện”) hay không. Hầu hết các nghiên cứu đều phát hiện rằng các công ty mục tiêu của các quỹ đầu cơ vận động cổ đông trung bình đạt được lợi suất bất thường dương trong cửa sổ sự kiện, mặc dù có sự khác biệt giữa các nghiên cứu trong định nghĩa về cửa sổ sự kiện và độ lớn kinh tế của lợi suất bất thường đạt được.</w:t>
      </w:r>
    </w:p>
    <w:p>
      <w:pPr>
        <w:spacing w:after="80"/>
      </w:pPr>
      <w:r>
        <w:rPr>
          <w:b w:val="0"/>
          <w:i w:val="0"/>
        </w:rPr>
        <w:t>Có hai vấn đề diễn giải với các kết quả trên. Thứ nhất, mặc dù nhìn chung đúng là hiệu quả lợi suất cổ phiếu trung bình quanh ngày sự kiện là dương, nhưng tồn tại sự khác biệt đáng kể trong phân phối lợi suất bất thường mà các công ty mục tiêu đạt được. Một tỷ lệ đáng kể các công ty thực tế đạt được lợi suất bất thường âm trong các nghiên cứu trên. Phát hiện này ngụ ý một xung đột đáng kể giữa mục tiêu của các nhà vận động cổ đông và các doanh nghiệp. Các nhà vận động cổ đông thường đầu tư vào nhiều công ty cùng lúc, dẫn đến hiệu quả quỹ vượt trội ngay cả khi chỉ một số công ty mục tiêu của họ đạt được hiệu quả lợi suất đáng kể. Các doanh nghiệp không có sự xa xỉ của việc đa dạng hóa này, vì họ chỉ đầu tư vào chính mình. Do đó, khả năng có lợi suất âm (đặc biệt khi lợi suất tăng có thể chỉ ở mức khiêm tốn) có thể khiến hội đồng quản trị từ chối một chiến lược được một nhóm quỹ đầu cơ ưa chuộng một cách hợp lý.</w:t>
      </w:r>
    </w:p>
    <w:p>
      <w:pPr>
        <w:spacing w:after="80"/>
      </w:pPr>
      <w:r>
        <w:rPr>
          <w:b w:val="0"/>
          <w:i w:val="0"/>
        </w:rPr>
        <w:t>Có lẽ ví dụ nổi tiếng nhất về thảm họa tài chính như vậy gây ra bởi sự can thiệp mạnh mẽ của các quỹ đầu cơ là việc Pershing Square và Vornado Realty Trust cùng nhau mua lại hơn 26% cổ phần của J.C. Penney. Phần lớn số cổ phần này được mua trong khoảng thời gian mười ngày theo Mục 13(d), và hai nhà vận động cổ đông đã có được đại diện trong hội đồng quản trị, buộc CEO đương nhiệm của J.C. Penney từ chức, và công bố một triết lý tiếp thị mới. Mặc dù cổ phiếu của J.C. Penney ban đầu tăng, khách hàng đã bỏ đi hàng loạt, và giá cổ phiếu của J.C. Penney giảm khoảng 59,5% trong khoảng thời gian từ khi nộp hồ sơ Schedule 13D ban đầu cho đến khi Ackman cuối cùng từ chức khỏi hội đồng quản trị.</w:t>
      </w:r>
    </w:p>
    <w:p>
      <w:pPr>
        <w:spacing w:after="80"/>
      </w:pPr>
      <w:r>
        <w:rPr>
          <w:b w:val="0"/>
          <w:i w:val="0"/>
        </w:rPr>
        <w:t>Ngoài việc phân phối lợi nhuận (và rủi ro cố hữu khi điều hành một công ty đang hoạt động mà không có kinh nghiệm trước đó trong lĩnh vực này), vấn đề thứ hai với phần lớn dữ liệu về hoạt động của nhà đầu tư hoạt động (activist investor) là thiếu bằng chứng về nguyên nhân gây ra mức tăng giá cổ phiếu được quan sát. Nếu lợi nhuận cổ phiếu bất thường tích cực là do các hành động của nhà đầu tư hoạt động nhằm giảm bớt vấn đề đại diện của ban quản lý, thì chúng phải để lại dấu vết nào đó. Nghĩa là, cần có bằng chứng về cấu trúc vốn thay đổi, thù lao điều hành giảm, chi trả cổ tức, hoặc các khoản đầu tư bị thay đổi. Tuy nhiên, hầu hết các nghiên cứu đều phát hiện rằng lợi nhuận bất thường tích cực không có mối liên hệ có ý nghĩa thống kê với những thay đổi trong các biến số thực xảy ra sau đó sau sự can thiệp của nhà đầu tư hoạt động.</w:t>
      </w:r>
    </w:p>
    <w:p>
      <w:pPr>
        <w:spacing w:after="80"/>
      </w:pPr>
      <w:r>
        <w:rPr>
          <w:b w:val="0"/>
          <w:i w:val="0"/>
        </w:rPr>
        <w:t>2. Các nghiên cứu về lợi nhuận cổ phiếu trong dài hạn: Hai nghiên cứu, mỗi nghiên cứu công bố năm 2015, đáng được đặc biệt chú ý. Thứ nhất, Bebchuk, Brav và Jiang phát hiện rằng lợi nhuận cổ phiếu mua và nắm giữ (buy and hold) trung bình là dương trong ba năm và năm năm sau khi nộp Schedule 13D. Khi làm vậy, họ kiểm soát lợi nhuận của danh mục thị trường và lợi nhuận của các danh mục quy mô nhỏ, giá trị và đà tăng (thường được gọi là mô hình bốn nhân tố của lợi nhuận cổ phiếu). Những lợi nhuận bất thường dài hạn trung bình tích cực này cũng đã được tìm thấy trong các nghiên cứu khác. Tuy nhiên, khi Bebchuk, Brav và Jiang xem xét lợi nhuận theo năm dương lịch trong ba năm và năm năm trước và sau ngày nộp hồ sơ, họ thấy chúng không có ý nghĩa thống kê so với mức không. Điều này cho thấy rằng một nhà đầu tư hoạt động không thể đánh bại hiệu suất của mô hình lợi nhuận cổ phiếu bốn nhân tố.</w:t>
      </w:r>
    </w:p>
    <w:p>
      <w:pPr>
        <w:spacing w:after="80"/>
      </w:pPr>
      <w:r>
        <w:rPr>
          <w:b w:val="0"/>
          <w:i w:val="0"/>
        </w:rPr>
        <w:t>Một nghiên cứu thứ hai của Becht, Franks, Grant và Wagner đưa ra một góc nhìn khác biệt đáng kể. Vượt ra ngoài việc chỉ báo cáo tác động của việc công bố sự hình thành một khối cổ phần (ở Mỹ xảy ra khi nộp Schedule 13D), họ tập trung một cách độc đáo vào kết quả của sự can thiệp của nhà đầu tư hoạt động. Không ngạc nhiên, họ phát hiện rằng một kết quả thành công có giá trị, nhưng đáng ngạc nhiên hơn, họ phát hiện rằng thị trường dường như chỉ định giá một số lượng hạn chế các kết quả thành công. Khi kết quả được công bố là một thương vụ thâu tóm (takeover), thông báo này tạo ra lợi nhuận bất thường trung bình 9,7%; tương tự, thông báo về tái cấu trúc tạo ra lợi nhuận bất thường 5,6%; nhưng thay đổi trong thành phần hội đồng quản trị chỉ mang lại lợi nhuận bất thường trung bình khiêm tốn hơn là 4,5%. Cuối cùng, thay đổi về chi trả (dù đạt được qua cổ tức hay mua lại cổ phiếu) dẫn đến lợi nhuận bất thường âm là -0,2%.</w:t>
      </w:r>
    </w:p>
    <w:p>
      <w:pPr>
        <w:spacing w:after="80"/>
      </w:pPr>
      <w:r>
        <w:rPr>
          <w:b w:val="0"/>
          <w:i w:val="0"/>
        </w:rPr>
        <w:t>Phần lớn phụ thuộc vào việc liệu có một kết quả thành công hay không; trong trường hợp các thương vụ can thiệp của nhà đầu tư hoạt động ở Bắc Mỹ, lợi nhuận hằng năm theo trọng số giá trị là 6,6% đối với các thương vụ có kết quả thành công nhưng là âm 1,2% đối với các thương vụ không có kết quả như vậy. Tóm lại, mặc dù phần lớn các thương vụ ở Bắc Mỹ thực sự tạo ra một kết quả thành công, rõ ràng vẫn có mặt trái. Trừ khi nhà đầu tư hoạt động theo đuổi một thương vụ thâu tóm hoặc tái cấu trúc, ngay cả những thương vụ can thiệp thành công dường như cũng chỉ mang lại giá trị khiêm tốn, nếu có, cho cổ đông.</w:t>
      </w:r>
    </w:p>
    <w:p>
      <w:pPr>
        <w:spacing w:after="80"/>
      </w:pPr>
      <w:r>
        <w:rPr>
          <w:b w:val="0"/>
          <w:i w:val="0"/>
        </w:rPr>
        <w:t>Cuối cùng, trong tất cả các nghiên cứu này, việc chỉ tập trung vào lợi nhuận bất thường trung bình có thể bỏ sót phần lớn câu chuyện. Một tỷ lệ đáng kể các công ty mục tiêu thu được lợi nhuận bất thường dài hạn âm. Trên thực tế, một nghiên cứu phát hiện rằng một tỷ lệ nhỏ hơn một nửa các công ty mục tiêu (52%) thu được lợi nhuận bất thường âm trong khoảng từ một tháng trước đến một năm sau giai đoạn nộp hồ sơ, và một nghiên cứu khác (có một tác giả trùng với nghiên cứu Bebchuk ở trên) củng cố phát hiện này rằng một tỷ lệ đáng kể các công ty mục tiêu thu được lợi nhuận bất thường âm.</w:t>
      </w:r>
    </w:p>
    <w:p>
      <w:pPr>
        <w:pStyle w:val="Heading5"/>
      </w:pPr>
      <w:r>
        <w:rPr>
          <w:rFonts w:ascii="Calibri" w:hAnsi="Calibri"/>
          <w:b/>
          <w:i/>
          <w:sz w:val="22"/>
        </w:rPr>
        <w:t>Bình luận và Câu hỏi</w:t>
      </w:r>
    </w:p>
    <w:p>
      <w:pPr>
        <w:spacing w:after="80"/>
      </w:pPr>
      <w:r>
        <w:rPr>
          <w:b w:val="0"/>
          <w:i w:val="0"/>
        </w:rPr>
        <w:t>1. Bạn nghĩ gì về cuộc tranh luận này? Dữ liệu cho thấy có lợi nhuận dương trong ngắn hạn. Đồng thời, tuy nhiên, Giáo sư Coffee và cộng sự kết luận rằng các mục tiêu của quỹ đầu cơ (hedge fund) thường trải qua sự "sụt giảm mạnh" trong nghiên cứu và phát triển. Tại sao lại như vậy và bạn có thể dung hòa hai số liệu thống kê này không?</w:t>
      </w:r>
    </w:p>
    <w:p>
      <w:pPr>
        <w:spacing w:after="80"/>
      </w:pPr>
      <w:r>
        <w:rPr>
          <w:b w:val="0"/>
          <w:i w:val="0"/>
        </w:rPr>
        <w:t xml:space="preserve">2. Sự tham gia của nhà đầu tư hoạt động ít nhất đôi khi có thể dẫn đến lợi nhuận dài hạn âm. Theo một số cách, điều tương tự cũng đúng với các thương vụ thâu tóm thù địch (hostile takeover) trong thập niên 1980. </w:t>
      </w:r>
      <w:r>
        <w:rPr>
          <w:b w:val="0"/>
          <w:i/>
        </w:rPr>
        <w:t>Xem</w:t>
      </w:r>
      <w:r>
        <w:rPr>
          <w:b w:val="0"/>
          <w:i w:val="0"/>
        </w:rPr>
        <w:t xml:space="preserve"> J. Robert Brown, Jr., </w:t>
      </w:r>
      <w:r>
        <w:rPr>
          <w:b w:val="0"/>
          <w:i/>
        </w:rPr>
        <w:t>In Defense of Management Buyouts</w:t>
      </w:r>
      <w:r>
        <w:rPr>
          <w:b w:val="0"/>
          <w:i w:val="0"/>
        </w:rPr>
        <w:t xml:space="preserve"> , 65 Tulane L. Rev. 57, 101 (1990) (lưu ý rằng "[m]ột số nghiên cứu dài hạn về tác động của các thương vụ thâu tóm thù địch đã kết luận rằng, trung bình, bên chào mua chịu khoản lỗ ròng.").</w:t>
      </w:r>
    </w:p>
    <w:p>
      <w:pPr>
        <w:spacing w:after="80"/>
      </w:pPr>
      <w:r>
        <w:rPr>
          <w:b w:val="0"/>
          <w:i w:val="0"/>
        </w:rPr>
        <w:t>3. Cuộc tranh luận về các nhà đầu tư hoạt động chủ yếu tập trung vào tác động của họ đối với công ty mục tiêu. Đây có phải là trọng tâm thích hợp không? Liệu các nhà đầu tư hoạt động có cũng thay đổi hành vi của những công ty mà họ không nhắm đến không? Điều đó có thể xảy ra như thế nào? Như Chủ tịch của Blackrock đã quan sát trong một lá thư gửi khách hàng: "Đối mặt với những áp lực này, ngày càng nhiều nhà lãnh đạo doanh nghiệp đã phản ứng bằng những hành động có thể mang lại lợi nhuận tức thì cho cổ đông, như mua lại cổ phiếu hoặc tăng cổ tức, trong khi đầu tư thiếu vào đổi mới sáng tạo, lực lượng lao động có tay nghề hoặc các khoản chi tiêu vốn thiết yếu cần thiết để duy trì tăng trưởng dài hạn." Điều này có giải quyết được vấn đề về lợi ích và tác hại của các nhà đầu tư hoạt động không?</w:t>
      </w:r>
    </w:p>
    <w:p>
      <w:pPr>
        <w:pStyle w:val="Heading3"/>
      </w:pPr>
      <w:r>
        <w:rPr>
          <w:rFonts w:ascii="Calibri" w:hAnsi="Calibri"/>
          <w:b/>
          <w:i w:val="0"/>
          <w:sz w:val="26"/>
        </w:rPr>
        <w:t>B. Các cuộc tranh giành ủy quyền (Proxy Contest) và Luật Tiểu bang</w:t>
      </w:r>
    </w:p>
    <w:p>
      <w:pPr>
        <w:spacing w:after="80"/>
      </w:pPr>
      <w:r>
        <w:rPr>
          <w:b w:val="0"/>
          <w:i w:val="0"/>
        </w:rPr>
        <w:t>Các cuộc tranh giành ủy quyền chủ yếu diễn ra trong bối cảnh các yêu cầu của luật tiểu bang điều chỉnh các cuộc họp cổ đông và quyền biểu quyết. Nói chung, một cuộc tranh giành bao gồm nỗ lực của cả hai bên nhằm thuyết phục các cổ đông không liên kết ủng hộ danh sách ứng viên của mình. Tuy nhiên, ban quản lý có một số công cụ sẵn có có thể ảnh hưởng đến cuộc tranh giành. Một số mang tính cấu trúc. Một trong những công cụ quan trọng nhất là hội đồng quản trị theo nhiệm kỳ so le (staggered board).</w:t>
      </w:r>
    </w:p>
    <w:p>
      <w:pPr>
        <w:pStyle w:val="Heading4"/>
      </w:pPr>
      <w:r>
        <w:rPr>
          <w:rFonts w:ascii="Calibri" w:hAnsi="Calibri"/>
          <w:b/>
          <w:i w:val="0"/>
          <w:sz w:val="23"/>
        </w:rPr>
        <w:t>Lucian Arye Bebchuk, John C. Coates IV &amp; Guhan Subramanian,</w:t>
      </w:r>
      <w:r>
        <w:br/>
      </w:r>
      <w:r>
        <w:rPr>
          <w:rFonts w:ascii="Calibri" w:hAnsi="Calibri"/>
          <w:b/>
          <w:i w:val="0"/>
          <w:sz w:val="23"/>
        </w:rPr>
        <w:t xml:space="preserve"> </w:t>
      </w:r>
      <w:r>
        <w:rPr>
          <w:rFonts w:ascii="Calibri" w:hAnsi="Calibri"/>
          <w:b/>
          <w:i/>
          <w:sz w:val="23"/>
        </w:rPr>
        <w:t>The Powerful Antitakeover Force of Staggered Boards:</w:t>
      </w:r>
      <w:r>
        <w:br/>
      </w:r>
      <w:r>
        <w:rPr>
          <w:rFonts w:ascii="Calibri" w:hAnsi="Calibri"/>
          <w:b/>
          <w:i/>
          <w:sz w:val="23"/>
        </w:rPr>
        <w:t xml:space="preserve"> Theory, Evidence, and Policy</w:t>
      </w:r>
    </w:p>
    <w:p>
      <w:pPr>
        <w:spacing w:after="80"/>
      </w:pPr>
      <w:r>
        <w:rPr>
          <w:b w:val="0"/>
          <w:i w:val="0"/>
        </w:rPr>
        <w:t>54 Stan. L. Rev. 887, 893–99 (2002)</w:t>
      </w:r>
    </w:p>
    <w:p>
      <w:pPr>
        <w:spacing w:after="80"/>
      </w:pPr>
      <w:r>
        <w:rPr>
          <w:b w:val="0"/>
          <w:i w:val="0"/>
        </w:rPr>
        <w:t>Luật mặc định ở tất cả các tiểu bang yêu cầu tất cả giám đốc phải được bầu tại mỗi cuộc họp cổ đông thường niên. Tuy nhiên, tất cả các tiểu bang đều cung cấp một ngoại lệ đối với yêu cầu này nếu hội đồng quản trị được tổ chức theo nhiệm kỳ so le. Trong một công ty có hội đồng quản trị so le, các giám đốc được nhóm thành các lớp (thường là ba), với mỗi lớp được bầu tại các cuộc họp thường niên liên tiếp. Ví dụ, một hội đồng quản trị có mười hai giám đốc có thể được nhóm thành ba lớp, với bốn giám đốc ứng cử tại cuộc họp thường niên năm 2001, bốn giám đốc khác ứng cử tái bầu vào năm 2002, và bốn giám đốc còn lại ứng cử tái bầu vào năm 2003. Với ba lớp, các giám đốc trong mỗi lớp sẽ được bầu với nhiệm kỳ ba năm.</w:t>
      </w:r>
    </w:p>
    <w:p>
      <w:pPr>
        <w:spacing w:after="80"/>
      </w:pPr>
      <w:r>
        <w:rPr>
          <w:b w:val="0"/>
          <w:i w:val="0"/>
        </w:rPr>
        <w:t>Ba mươi chín khu vực pháp lý, bao gồm Delaware và California, cho phép tối đa ba lớp. New York cho phép tới bốn lớp giám đốc, và Arizona cho phép ba lớp "hoặc trong phạm vi không mâu thuẫn với quyền biểu quyết tích lũy, nhiều hơn." Mười tiểu bang khác chưa giải quyết vấn đề này.</w:t>
      </w:r>
    </w:p>
    <w:p>
      <w:pPr>
        <w:spacing w:after="80"/>
      </w:pPr>
      <w:r>
        <w:rPr>
          <w:b w:val="0"/>
          <w:i w:val="0"/>
        </w:rPr>
        <w:t>* * *</w:t>
      </w:r>
    </w:p>
    <w:p>
      <w:pPr>
        <w:spacing w:after="80"/>
      </w:pPr>
      <w:r>
        <w:rPr>
          <w:b w:val="0"/>
          <w:i w:val="0"/>
        </w:rPr>
        <w:t>Mặc dù hội đồng quản trị luân phiên (staggered board) đã là một phần của bối cảnh luật doanh nghiệp trong nhiều thập kỷ, chúng trở nên phổ biến trong làn sóng thâu tóm thập niên 1980. Ngày nay, trong một mẫu gồm 2,421 công ty đại chúng lớn của Hoa Kỳ, 59% có hội đồng quản trị luân phiên. Ngoài ra, đã có sự gia tăng đáng kể về tỷ lệ hội đồng quản trị luân phiên trong số các công ty niêm yết đại chúng giai đoạn 1991–92 (34%) so với 1999–2000 (82%). Các số liệu thống kê về IPO cho thấy rằng, trừ khi có những thay đổi lớn trong môi trường pháp lý hoặc chính trị, tỷ lệ hội đồng quản trị luân phiên sẽ chỉ còn tăng thêm nữa trong số các tập đoàn lớn của Hoa Kỳ trong những năm tới.</w:t>
      </w:r>
    </w:p>
    <w:p>
      <w:pPr>
        <w:spacing w:after="80"/>
      </w:pPr>
      <w:r>
        <w:rPr>
          <w:b w:val="0"/>
          <w:i w:val="0"/>
        </w:rPr>
        <w:t>* * *</w:t>
      </w:r>
    </w:p>
    <w:p>
      <w:pPr>
        <w:spacing w:after="80"/>
      </w:pPr>
      <w:r>
        <w:rPr>
          <w:b w:val="0"/>
          <w:i w:val="0"/>
        </w:rPr>
        <w:t>Hai lý do biện minh không liên quan đến thâu tóm đã được đưa ra để biện minh cho hội đồng quản trị luân phiên. Thứ nhất, chúng tạo điều kiện thuận lợi cho tính độc lập của các giám đốc bên ngoài. Lập luận này cho rằng, các giám đốc độc lập sẽ ít bị ảnh hưởng bởi các nhà điều hành nếu họ có nhiệm kỳ ba năm thay vì một năm. Thứ hai, chúng làm giảm tỷ lệ luân chuyển hàng năm trong hội đồng quản trị, từ đó thúc đẩy sự ổn định của hội đồng. Lập luận cho rằng, nhìn chung là tốt khi luôn có một số giám đốc giàu kinh nghiệm và dày dạn, những người có tầm nhìn mà chỉ có thời gian ngồi trong hội đồng mới mang lại. Nếu hội đồng không luân phiên, về mặt lý thuyết có khả năng tất cả các thành viên hội đồng trong một năm nhất định đều là người mới. Hội đồng quản trị luân phiên ngăn chặn kết quả này bằng cách đảm bảo rằng nhiều nhất chỉ một phần ba số thành viên hội đồng là người mới.</w:t>
      </w:r>
    </w:p>
    <w:p>
      <w:pPr>
        <w:spacing w:after="80"/>
      </w:pPr>
      <w:r>
        <w:rPr>
          <w:b w:val="0"/>
          <w:i w:val="0"/>
        </w:rPr>
        <w:t>Tuy nhiên, một hội đồng quản trị luân phiên được áp đặt thông qua điều lệ công ty là một công cụ quá thô thiển và không cần thiết để đạt được hai lợi ích này. Về tính độc lập của hội đồng, một quy chế nội bộ (bylaw) thiết lập hội đồng quản trị luân phiên sẽ đủ để mang lại cho các giám đốc độc lập quyền tự chủ khỏi ban điều hành để họ có thể giám sát hiệu quả. Bởi vì các nhà điều hành không thể sửa đổi quy chế nội bộ mà không có sự chấp thuận của đa số toàn bộ hội đồng, một hội đồng có đa số độc lập sẽ không bị hủy bỏ tính luân phiên trái với ý muốn của các giám đốc độc lập. Do đó, một quy chế nội bộ sẽ đạt được mục tiêu độc lập mà không, như sẽ được làm rõ dưới đây, cản trở bên chào mua thù địch theo bất kỳ cách nào.</w:t>
      </w:r>
    </w:p>
    <w:p>
      <w:pPr>
        <w:spacing w:after="80"/>
      </w:pPr>
      <w:r>
        <w:rPr>
          <w:b w:val="0"/>
          <w:i w:val="0"/>
        </w:rPr>
        <w:t>Tương tự, về sự ổn định của hội đồng, một quy chế nội bộ về hội đồng quản trị luân phiên sẽ đạt được mục tiêu ngăn chặn tỷ lệ luân chuyển quá mức, và ngay cả một công ty không có hội đồng quản trị luân phiên cũng có thể có một quy ước hoặc chính sách yêu cầu rằng các danh sách ứng viên hàng năm bao gồm ít nhất hai phần ba giám đốc đương nhiệm trong hoạt động kinh doanh thông thường. Một chính sách hoặc quy chế nội bộ như vậy sẽ được tuân theo trong tiến trình sự việc bình thường. Về mặt thực nghiệm, ngay cả ở những công ty không có bất kỳ chính sách hoặc quy tắc nào chống lại việc thay thế hơn một phần ba hội đồng trong bất kỳ năm nào, tỷ lệ luân chuyển cao như vậy hiếm khi, nếu có, xảy ra ngoài bối cảnh thay đổi quyền kiểm soát. Trong hoạt động kinh doanh bình thường, hầu hết các ứng viên tranh cử trong danh sách của người nội bộ thường là những người đã đang phục vụ trong hội đồng. Do đó, một quy ước, chính sách hoặc quy chế nội bộ nên mang lại tính độc lập và sự ổn định mong muốn của hội đồng trong tiến trình sự việc bình thường theo cách tập trung hơn so với hội đồng quản trị luân phiên.</w:t>
      </w:r>
    </w:p>
    <w:p>
      <w:pPr>
        <w:spacing w:after="80"/>
      </w:pPr>
      <w:r>
        <w:rPr>
          <w:b w:val="0"/>
          <w:i w:val="0"/>
        </w:rPr>
        <w:t>Tất nhiên, trong một tình huống, một quy ước, chính sách hoặc quy chế nội bộ sẽ không đủ—trong trường hợp thay đổi quyền kiểm soát thù địch. Khi một bên mua giành được quyền kiểm soát, việc họ thay thế các giám đốc bằng một danh sách giám đốc mới là điều tự nhiên, giả sử rằng họ không bị điều lệ công ty ngăn chặn. Do đó, các giải pháp thay thế không đạt đến mức sửa đổi điều lệ sẽ không có khả năng thắng thế trong trường hợp thâu tóm thù địch.</w:t>
      </w:r>
    </w:p>
    <w:p>
      <w:pPr>
        <w:spacing w:after="80"/>
      </w:pPr>
      <w:r>
        <w:rPr>
          <w:b w:val="0"/>
          <w:i w:val="0"/>
        </w:rPr>
        <w:t>Nhưng mong muốn về sự ổn định của hội đồng không còn hợp lý trong trường hợp thay đổi quyền kiểm soát thù địch. Lập luận về tính liên tục giả định rằng có một nhóm nào đó làm việc phần lớn hài hòa, và rằng nhóm như vậy sẽ được hưởng lợi từ việc giữ lại đa số thành viên giàu kinh nghiệm mà các thành viên mới có thể và sẽ sẵn lòng học hỏi từ họ. Nhưng trong trường hợp thâu tóm thù địch, các giám đốc cũ và mới sẽ không tạo thành một nhóm hài hòa. Trong trường hợp như vậy, sự ổn định của hội đồng thực sự có thể khá có hại. Trên thực tế, các lập luận về sự ổn định của hội đồng, thông qua các loại thuốc độc “dead hand” và “no hand”, đã bị Tòa án Chancery Delaware và Tòa án Tối cao Delaware bác bỏ. Do đó, hội đồng quản trị luân phiên dựa trên điều lệ là quá bao trùm vì chúng mang lại sự ổn định của hội đồng khi cả biện minh kinh doanh lẫn sự ủng hộ trong án lệ Delaware đều yếu nhất.</w:t>
      </w:r>
    </w:p>
    <w:p>
      <w:pPr>
        <w:spacing w:after="80"/>
      </w:pPr>
      <w:r>
        <w:rPr>
          <w:b w:val="0"/>
          <w:i w:val="0"/>
        </w:rPr>
        <w:t>2. Các biện minh chống thâu tóm.</w:t>
      </w:r>
    </w:p>
    <w:p>
      <w:pPr>
        <w:spacing w:after="80"/>
      </w:pPr>
      <w:r>
        <w:rPr>
          <w:b w:val="0"/>
          <w:i w:val="0"/>
        </w:rPr>
        <w:t>Lý do thứ ba thường được đưa ra để giải thích hội đồng quản trị luân phiên là chúng khiến các cuộc thâu tóm thù địch trở nên khó khăn hơn. . . . [T] biện minh này có thể là ngoài ý muốn khi hội đồng quản trị luân phiên lần đầu xuất hiện, nhưng điểm mấu chốt là sự tương tác giữa hội đồng quản trị luân phiên và thuốc độc (poison pill) tạo ra một hàng phòng thủ mạnh mẽ chống lại bên chào mua thù địch. Một viên thuốc cung cấp sự bảo vệ thâu tóm tương đối yếu nếu mục tiêu dễ bị tổn thương trước một cuộc chiến tranh ủy nhiệm (proxy fight) nhanh chóng, bởi vì hội đồng của mục tiêu có thể mua lại viên thuốc bất cứ lúc nào; một hội đồng quản trị luân phiên không có thuốc cũng không hiệu quả chống lại một lời chào mua, vì khó có khả năng các giám đốc mục tiêu sẽ tiếp tục kháng cự nếu bên chào mua đã giành được đa số cổ phiếu của mục tiêu. Tuy nhiên, khi kết hợp với một hội đồng quản trị luân phiên hiệu quả, một viên thuốc cung cấp sự bảo vệ chống thâu tóm đáng kể: viên thuốc chặn mọi việc mua cổ phiếu vượt quá ngưỡng kích hoạt, và hội đồng quản trị luân phiên buộc bên chào mua phải trải qua hai cuộc chiến tranh ủy nhiệm để giành quyền kiểm soát hội đồng và mua lại viên thuốc.</w:t>
      </w:r>
    </w:p>
    <w:p>
      <w:pPr>
        <w:spacing w:after="80"/>
      </w:pPr>
      <w:r>
        <w:rPr>
          <w:b w:val="0"/>
          <w:i w:val="0"/>
        </w:rPr>
        <w:t>Các số liệu thống kê về tỷ lệ hội đồng quản trị luân phiên nhất quán với quan điểm rằng hội đồng quản trị luân phiên ít nhất một phần được thúc đẩy bởi các cân nhắc chống thâu tóm. . . . [H]ội đồng quản trị luân phiên tương đối ít phổ biến hơn ở các công ty nhỏ hơn, nơi quyền sở hữu thường tập trung hơn và các cuộc thâu tóm thù địch có thể khó khăn hơn hoặc bất khả thi (nếu người nội bộ nắm giữ cổ phần kiểm soát). Hơn nữa, hội đồng quản trị luân phiên ít phổ biến hơn nhiều trước làn sóng thâu tóm thập niên 1980, mặc dù các lập luận về sự ổn định và tính độc lập của hội đồng (có lẽ) áp dụng với lực lượng tương đương trước năm 1980 cũng như sau đó.</w:t>
      </w:r>
    </w:p>
    <w:p>
      <w:pPr>
        <w:pStyle w:val="Heading5"/>
      </w:pPr>
      <w:r>
        <w:rPr>
          <w:rFonts w:ascii="Calibri" w:hAnsi="Calibri"/>
          <w:b/>
          <w:i/>
          <w:sz w:val="22"/>
        </w:rPr>
        <w:t>Bình luận và Câu hỏi</w:t>
      </w:r>
    </w:p>
    <w:p>
      <w:pPr>
        <w:spacing w:after="80"/>
      </w:pPr>
      <w:r>
        <w:rPr>
          <w:b w:val="0"/>
          <w:i w:val="0"/>
        </w:rPr>
        <w:t xml:space="preserve">1. Hội đồng quản trị luân phiên đã giảm đáng kể trong những năm gần đây, đặc biệt là ở các công ty lớn hơn. Đến cuối năm 2014, chỉ 7% trong S&amp;P 500 có hội đồng quản trị phân loại (classified board), giảm từ 45% vào năm 2004. Điều gì giải thích sự thay đổi này? Bất chấp sự sụt giảm, có một số bằng chứng cho thấy cổ đông có thể được hưởng lợi từ các điều khoản này. </w:t>
      </w:r>
      <w:r>
        <w:rPr>
          <w:b w:val="0"/>
          <w:i/>
        </w:rPr>
        <w:t>Xem</w:t>
      </w:r>
      <w:r>
        <w:rPr>
          <w:b w:val="0"/>
          <w:i w:val="0"/>
        </w:rPr>
        <w:t xml:space="preserve"> Alicia J. Davis, </w:t>
      </w:r>
      <w:r>
        <w:rPr>
          <w:b w:val="0"/>
          <w:i/>
        </w:rPr>
        <w:t>The Institutional Appetite for “Quack Corporate Governance,</w:t>
      </w:r>
      <w:r>
        <w:rPr>
          <w:b w:val="0"/>
          <w:i w:val="0"/>
        </w:rPr>
        <w:t xml:space="preserve"> ” 2015 Colum. Bus. L. Rev. 1, 41–42 (ghi nhận bằng chứng trong tài liệu cho thấy rằng “hội đồng quản trị phân loại có thể mang lại tính liên tục và ổn định nâng cao giá trị.”).</w:t>
      </w:r>
    </w:p>
    <w:p>
      <w:pPr>
        <w:spacing w:after="80"/>
      </w:pPr>
      <w:r>
        <w:rPr>
          <w:b w:val="0"/>
          <w:i w:val="0"/>
        </w:rPr>
        <w:t>2. Các điều khoản về hội đồng quản trị luân phiên thường xuất hiện trong điều lệ thành lập công ty. Các sửa đổi điều lệ phải được cổ đông chấp thuận. Điều này không mang lại cho cổ đông đủ thẩm quyền để ngăn chặn việc sử dụng hội đồng quản trị luân phiên sao?</w:t>
      </w:r>
    </w:p>
    <w:p>
      <w:pPr>
        <w:spacing w:after="80"/>
      </w:pPr>
      <w:r>
        <w:rPr>
          <w:b w:val="0"/>
          <w:i w:val="0"/>
        </w:rPr>
        <w:t>3. Sự hiện diện của hội đồng quản trị luân phiên có thể thực sự khuyến khích một cuộc chiến tranh ủy nhiệm như thế nào? Có phải trường hợp những người nổi dậy luôn tìm kiếm đa số trong hội đồng không? Tại sao có hoặc tại sao không?</w:t>
      </w:r>
    </w:p>
    <w:p>
      <w:pPr>
        <w:spacing w:after="80"/>
      </w:pPr>
      <w:r>
        <w:rPr>
          <w:b w:val="0"/>
          <w:i w:val="0"/>
        </w:rPr>
        <w:t xml:space="preserve">4. Một số bang đã tham gia vào cuộc tranh luận này. Oklahoma và Indiana đã thông qua các đạo luật yêu cầu hội đồng quản trị luân phiên. Do đó, ở Indiana, một công ty phải cung cấp hội đồng quản trị luân phiên trừ khi, trong vòng 30 ngày kể từ khi đăng ký với SEC theo Mục 12(g), hội đồng chọn không tuân thủ yêu cầu này. </w:t>
      </w:r>
      <w:r>
        <w:rPr>
          <w:b w:val="0"/>
          <w:i/>
        </w:rPr>
        <w:t>Xem</w:t>
      </w:r>
      <w:r>
        <w:rPr>
          <w:b w:val="0"/>
          <w:i w:val="0"/>
        </w:rPr>
        <w:t xml:space="preserve"> Ind. Code Ann. § 23-1-33-6(c). Tại sao một bang lại muốn áp đặt loại yêu cầu này? Các lợi thế là gì? Các bất lợi là gì? Để thảo luận về điều khoản ở Oklahoma, xem Steven J. Cleveland, </w:t>
      </w:r>
      <w:r>
        <w:rPr>
          <w:b w:val="0"/>
          <w:i/>
        </w:rPr>
        <w:t>A failure of Substance and a Failure of Process: The Circular Odyssey of Oklahoma's Corporate Law Amendments in 2010, 2012 and 2013</w:t>
      </w:r>
      <w:r>
        <w:rPr>
          <w:b w:val="0"/>
          <w:i w:val="0"/>
        </w:rPr>
        <w:t xml:space="preserve"> , 67 Okla. L. Rev. 221 (2015).</w:t>
      </w:r>
    </w:p>
    <w:p>
      <w:pPr>
        <w:spacing w:after="80"/>
      </w:pPr>
      <w:r>
        <w:rPr>
          <w:b w:val="0"/>
          <w:i w:val="0"/>
        </w:rPr>
        <w:t>5. Những cơ chế cấu trúc nào khác có thể được sử dụng để tác động đến một cuộc chiến tranh ủy nhiệm? Các công ty thường xuyên dựa vào các quy chế nội bộ về thông báo trước, yêu cầu những người nổi dậy phải thông báo cho hội đồng trước 90 hoặc 120 ngày trước cuộc họp. Những thiết bị này có thể có tác động như thế nào đến một cuộc chiến tranh ủy nhiệm?</w:t>
      </w:r>
    </w:p>
    <w:p>
      <w:pPr>
        <w:spacing w:after="80"/>
      </w:pPr>
      <w:r>
        <w:rPr>
          <w:b w:val="0"/>
          <w:i w:val="0"/>
        </w:rPr>
        <w:t>—————</w:t>
      </w:r>
    </w:p>
    <w:p>
      <w:pPr>
        <w:spacing w:after="80"/>
      </w:pPr>
      <w:r>
        <w:rPr>
          <w:b w:val="0"/>
          <w:i w:val="0"/>
        </w:rPr>
        <w:t>Ngoài các điều khoản mang tính cấu trúc như hội đồng quản trị phân kỳ (staggered boards), ban điều hành còn có nhiều chiến thuật khác có thể dùng trong một cuộc tranh chấp ủy quyền (proxy contest). Có lẽ thiết thực nhất là khả năng đàm phán và đạt thỏa thuận với phe nổi dậy hoặc các đồng minh tiềm năng của họ. Tính hợp pháp của những cách tiếp cận như vậy phụ thuộc vào việc áp dụng các nghĩa vụ tín thác (fiduciary duties) của hội đồng quản trị.</w:t>
      </w:r>
    </w:p>
    <w:p>
      <w:pPr>
        <w:pStyle w:val="Heading4"/>
      </w:pPr>
      <w:r>
        <w:rPr>
          <w:rFonts w:ascii="Calibri" w:hAnsi="Calibri"/>
          <w:b/>
          <w:i w:val="0"/>
          <w:sz w:val="23"/>
        </w:rPr>
        <w:t>Portnoy v. Cryo-Cell International</w:t>
      </w:r>
    </w:p>
    <w:p>
      <w:pPr>
        <w:spacing w:after="80"/>
      </w:pPr>
      <w:r>
        <w:rPr>
          <w:b w:val="0"/>
          <w:i w:val="0"/>
        </w:rPr>
        <w:t>Tòa án Chancery Delaware</w:t>
      </w:r>
      <w:r>
        <w:br/>
      </w:r>
      <w:r>
        <w:rPr>
          <w:b w:val="0"/>
          <w:i w:val="0"/>
        </w:rPr>
        <w:t xml:space="preserve"> 940 A.2d 43 (2008)</w:t>
      </w:r>
    </w:p>
    <w:p>
      <w:pPr>
        <w:spacing w:after="80"/>
      </w:pPr>
      <w:r>
        <w:rPr>
          <w:b w:val="0"/>
          <w:i w:val="0"/>
        </w:rPr>
        <w:t>STRINE, PHÓ CHÁNH ÁN:</w:t>
      </w:r>
    </w:p>
    <w:p>
      <w:pPr>
        <w:spacing w:after="80"/>
      </w:pPr>
      <w:r>
        <w:rPr>
          <w:b w:val="0"/>
          <w:i w:val="0"/>
        </w:rPr>
        <w:t>Vụ án này liên quan đến một khiếu nại đối với kết quả của một cuộc bầu cử doanh nghiệp có tranh chấp. Cryo-Cell International, Inc. (“Cryo-Cell” hay “Công ty”) là một công ty đại chúng nhỏ đã chật vật để thành công. Đến đầu năm 2007, một số cổ đông lớn của công ty đang cân nhắc phát động một cuộc tranh chấp ủy quyền để thay thế hội đồng quản trị.</w:t>
      </w:r>
    </w:p>
    <w:p>
      <w:pPr>
        <w:spacing w:after="80"/>
      </w:pPr>
      <w:r>
        <w:rPr>
          <w:b w:val="0"/>
          <w:i w:val="0"/>
        </w:rPr>
        <w:t>Một trong những cổ đông đó, Andrew Filipowski, đã lợi dụng nỗi sợ bị thay thế của ban điều hành để đạt được một thỏa thuận cho bản thân được đưa vào danh sách của ban điều hành cho cuộc họp thường niên năm 2007. Một cổ đông khác, nguyên đơn David Portnoy, đã nộp một danh sách bất đồng chính kiến (“Danh sách Portnoy”).</w:t>
      </w:r>
    </w:p>
    <w:p>
      <w:pPr>
        <w:spacing w:after="80"/>
      </w:pPr>
      <w:r>
        <w:rPr>
          <w:b w:val="0"/>
          <w:i w:val="0"/>
        </w:rPr>
        <w:t>Bước vào tuần diễn ra cuộc họp thường niên, tổng giám đốc điều hành của Cryo-Cell, bị đơn Mercedes Walton, vô cùng tuyệt vọng vì, theo lời bà, “hội đồng quản trị và ban điều hành hiện tại đang thua với tỷ lệ cách biệt cực lớn.” Ngoài việc thực sự yêu cầu FBI can thiệp vào cuộc tranh chấp ủy quyền theo phe ban điều hành, Walton còn dựng lên một kế hoạch với Filipowski. Kế hoạch đó liên quan đến việc Walton đóng vai “bà mối” bằng cách tìm những cổ đông sẵn sàng bán cổ phần của họ cho Filipowski. Đổi lại cho liên minh này, Walton hứa với Filipowski rằng nếu “Danh sách Ban điều hành” của họ thắng, hội đồng quản trị Cryo-Cell sẽ, dùng quyền lực của mình với tư cách giám đốc doanh nghiệp, mở rộng hội đồng để thêm một ghế nữa mà người được Filipowski chỉ định sẽ ngồi vào. Người được chỉ định đó là một cấp dưới, người trong quá khứ gần đây đã giải quyết một cuộc điều tra của SEC về giao dịch nội gián bằng cách đồng ý nộp lại lợi nhuận giao dịch và chịu trách nhiệm liên đới đối với lợi nhuận giao dịch do những người nhận tin của anh ta tạo ra. Kế hoạch này không được tiết lộ cho các cổ đông Cryo-Cell, những người không nhận ra rằng nếu họ bỏ phiếu cho ban điều hành, thực tế họ sẽ bầu ra một hội đồng bảy thành viên, chứ không phải sáu, với hai, chứ không phải một, đại diện của Filipowski.</w:t>
      </w:r>
    </w:p>
    <w:p>
      <w:pPr>
        <w:spacing w:after="80"/>
      </w:pPr>
      <w:r>
        <w:rPr>
          <w:b w:val="0"/>
          <w:i w:val="0"/>
        </w:rPr>
        <w:t>* * *</w:t>
      </w:r>
    </w:p>
    <w:p>
      <w:pPr>
        <w:spacing w:after="80"/>
      </w:pPr>
      <w:r>
        <w:rPr>
          <w:b w:val="0"/>
          <w:i w:val="0"/>
        </w:rPr>
        <w:t>Ngay cả sau khi sử dụng những phương pháp này, Walton và hội đồng của bà vẫn bước vào ngày diễn ra cuộc họp thường niên với nỗi lo thất bại. Họ đã thuê phòng họp từ thời điểm bắt đầu 11 giờ sáng chỉ đến 1 giờ chiều. Nhưng Walton không muốn đóng việc bỏ phiếu và kiểm phiếu khi các bài trình bày theo lịch trình tại cuộc họp kết thúc. Vì vậy bà để các thành viên trong nhóm điều hành của mình thực hiện những bài trình bày dài, không theo lịch trình, để cho phe bà thêm thời gian thu thập phiếu và đảm bảo rằng họ đã khóa chặt được hai khối phiếu then chốt. Bà đã bác bỏ các đề nghị đóng việc bỏ phiếu.</w:t>
      </w:r>
    </w:p>
    <w:p>
      <w:pPr>
        <w:spacing w:after="80"/>
      </w:pPr>
      <w:r>
        <w:rPr>
          <w:b w:val="0"/>
          <w:i w:val="0"/>
        </w:rPr>
        <w:t>Ngay cả sau những màn độc diễn kéo dài thời gian (filibusters), Walton vẫn ôm nỗi nghi ngờ rằng Danh sách Ban điều hành sẽ thắng nếu việc bỏ phiếu được kiểm và cuộc họp được kết thúc. Vì vậy, vào khoảng 2 giờ chiều, Walton tuyên bố một giờ nghỉ ăn trưa rất muộn, được cho là để đáp lại một yêu cầu được đưa ra từ lâu trước đó.</w:t>
      </w:r>
    </w:p>
    <w:p>
      <w:pPr>
        <w:spacing w:after="80"/>
      </w:pPr>
      <w:r>
        <w:rPr>
          <w:b w:val="0"/>
          <w:i w:val="0"/>
        </w:rPr>
        <w:t>Thực tế, Walton muốn giờ nghỉ đó để có thêm thời gian tìm kiếm phiếu và để bà có thể xác nhận rằng các cổ đông lớn nắm giữ khối cổ phần lớn đã chuyển phiếu của họ sang ủng hộ Danh sách Ban điều hành. Chỉ sau khi xác nhận được những sự chuyển phiếu đó, Walton mới tiếp tục cuộc họp vào khoảng 4 giờ 45 chiều, tuyên bố đóng việc bỏ phiếu, và cho kiểm phiếu.</w:t>
      </w:r>
    </w:p>
    <w:p>
      <w:pPr>
        <w:spacing w:after="80"/>
      </w:pPr>
      <w:r>
        <w:rPr>
          <w:b w:val="0"/>
          <w:i w:val="0"/>
        </w:rPr>
        <w:t>Kết quả kiểm phiếu sau cuộc họp cho thấy Danh sách Ban điều hành thắng sát nút với tỷ lệ cách biệt cực nhỏ. Ngay sau đó, Walton bắt đầu chuẩn bị thêm người được Filipowski chỉ định vào hội đồng quản trị Cryo-Cell. Chỉ sau khi khiếu nại này được Portnoy đưa ra đối với cuộc bầu cử thì quá trình đó mới chậm lại, và chỉ vì lý do hiển nhiên là vụ kiện đã được khởi xướng.</w:t>
      </w:r>
    </w:p>
    <w:p>
      <w:pPr>
        <w:spacing w:after="80"/>
      </w:pPr>
      <w:r>
        <w:rPr>
          <w:b w:val="0"/>
          <w:i w:val="0"/>
        </w:rPr>
        <w:t>* * *</w:t>
      </w:r>
    </w:p>
    <w:p>
      <w:pPr>
        <w:spacing w:after="80"/>
      </w:pPr>
      <w:r>
        <w:rPr>
          <w:b w:val="0"/>
          <w:i w:val="0"/>
        </w:rPr>
        <w:t>Portnoy cho rằng mọi khía cạnh trong quan hệ giao dịch của những người đương nhiệm với Filipowski đều bị vấy bẩn bởi hành vi sai trái về nghĩa vụ tín thác. Theo cách ông nhìn nhận, những người đương nhiệm đã vạch rõ những đặc điểm then chốt mà họ tìm kiếm ở các thành viên hội đồng bổ sung—kinh nghiệm trong ngành chăm sóc sức khỏe và ngành tế bào gốc—và Filipowski không có những đặc điểm đó. Walton, cùng một hội đồng mà Portnoy mô tả đúng đắn là có mọi dấu hiệu cho thấy phần lớn đều nghe theo sự dẫn dắt của bà mà không đặt nhiều câu hỏi, chỉ đơn thuần thỏa thuận một cuộc mặc cả để thêm Filipowski vào Danh sách Ban điều hành, không phải vì họ nghĩ rằng sự phục vụ của ông sẽ giúp ích cho Cryo-Cell mà vì nó sẽ đảm bảo rằng khối phiếu lớn mà Filipowski kiểm soát sẽ bỏ phiếu cho việc tái đắc cử của họ. Nghĩa là, đây là một quyết định được thúc đẩy bởi động cơ cố thủ vị trí (entrenchment). Portnoy lập luận rằng thỏa thuận được thực hiện giữa Walton và những người đương nhiệm khác, một bên, với Filipowski, bên kia, để thêm Filipowski vào Danh sách Ban điều hành đổi lấy sự ủng hộ của ông trong cuộc tranh chấp ủy quyền, đã cấu thành một thỏa thuận mua phiếu bất hợp pháp.</w:t>
      </w:r>
    </w:p>
    <w:p>
      <w:pPr>
        <w:spacing w:after="80"/>
      </w:pPr>
      <w:r>
        <w:rPr>
          <w:b w:val="0"/>
          <w:i w:val="0"/>
        </w:rPr>
        <w:t>Về khiếu nại này, vốn có chút cơ sở, tôi phán quyết có lợi cho các bị đơn. Kết luận của tôi dựa trên nhiều lý do. Trước hết, tôi lưu ý rằng một thỏa thuận kiểu này, xét về mặt ngôn từ, nằm gọn trong định nghĩa truyền thống về cái được gọi là “mua phiếu” (vote buying) được sử dụng trong án lệ của chúng ta. Như được định nghĩa bởi Phó Chánh án Hartnett trong phán quyết quan trọng của ông trong Schreiber v. Carney, “[m]ua phiếu . . . đơn giản là một thỏa thuận bỏ phiếu được hỗ trợ bởi một khoản đối giá mang tính cá nhân đối với cổ đông, theo đó cổ đông tách rời quyền bỏ phiếu theo ý mình và bỏ phiếu theo sự chỉ đạo của bên đề nghị.” Trong vụ án này, tôi không nghi ngờ gì rằng thỏa thuận bỏ phiếu giữa Nhóm Filipowski và những người đương nhiệm chỉ được Filipowski đồng ý sau khi ông được đề nghị ứng cử vào Danh sách Ban điều hành. Điều tôi nghi ngờ hơn là liệu một thỏa thuận kiểu này—nơi những người đương nhiệm đề nghị một người nổi dậy tiềm năng một ghế trong danh sách ban điều hành để đổi lấy sự ủng hộ bỏ phiếu của người nổi dậy tiềm năng đó—có nên kích hoạt kiểu giám sát tăng cường (heightened scrutiny) vốn được áp dụng một cách đúng đắn cho những thỏa thuận đáng ngờ hơn hay không.</w:t>
      </w:r>
    </w:p>
    <w:p>
      <w:pPr>
        <w:spacing w:after="80"/>
      </w:pPr>
      <w:r>
        <w:rPr>
          <w:b w:val="0"/>
          <w:i w:val="0"/>
        </w:rPr>
        <w:t>Nói rằng luật công ty đã chật vật tìm cách giải quyết vấn đề cái gọi là "mua phiếu bầu" (vote buying) không phải là xúc phạm gì các thẩm phán hay học giả luật công ty, bởi câu hỏi về việc những lời dụ dỗ và thỏa thuận nào có thể được thiết lập một cách hợp pháp để củng cố một liên minh bỏ phiếu chắc chắn cũng lâu đời như chính khái niệm về một thực thể chính trị vậy. Vì những lý do rất thực tế này, Schreiber đã từ chối nói rằng bất kỳ kiểu thỏa thuận nào liên quan đến việc trao đổi lợi ích (consideration) gắn với việc một cổ đông đồng ý bỏ phiếu theo một cách cụ thể đều là mua phiếu bầu bị cấm. Thật vậy, những học giả lỗi lạc đã trăn trở (tính từ mà tôi rút ra từ công trình của họ) về cách xử lý những thỏa thuận như vậy, với phần lớn kết luận rằng những lệnh cấm tuyệt đối vừa không khả thi vừa không hữu ích cho các cổ đông đa dạng hóa. Việc không có lệnh cấm tuyệt đối (per se ban) đối với những thỏa thuận như vậy cũng không có gì đáng ngạc nhiên vì một lý do hiển nhiên khác: các thỏa thuận bỏ phiếu liên quan đến cổ phiếu công ty thực ra đã được luật công ty theo quy chế của chúng ta dự liệu tới. Thường thì những thỏa thuận như vậy có tác dụng dự định là tạo thành một liên minh bỏ phiếu giữa các cổ đông, kèm theo yêu cầu rằng các bên ký kết phải bỏ phiếu để bầu lẫn nhau vào hội đồng quản trị.</w:t>
      </w:r>
    </w:p>
    <w:p>
      <w:pPr>
        <w:spacing w:after="80"/>
      </w:pPr>
      <w:r>
        <w:rPr>
          <w:b w:val="0"/>
          <w:i w:val="0"/>
        </w:rPr>
        <w:t>* * *</w:t>
      </w:r>
    </w:p>
    <w:p>
      <w:pPr>
        <w:spacing w:after="80"/>
      </w:pPr>
      <w:r>
        <w:rPr>
          <w:b w:val="0"/>
          <w:i w:val="0"/>
        </w:rPr>
        <w:t>Nhưng ở vị trí thuận lợi bên trong thì khác với việc ngồi trong hội đồng quản trị, và sự khác biệt đó gợi ý rằng việc áp dụng tiêu chuẩn công bằng toàn diện (entire fairness standard) cho những thỏa thuận như vậy là quá đà. Nếu thỏa thuận duy nhất đang được xét đến chỉ là một lời hứa thêm một kẻ nổi loạn tiềm năng vào danh sách ứng viên của ban quản lý (management slate) để đổi lấy sự ủng hộ bỏ phiếu của kẻ nổi loạn đó, thì thỏa thuận ấy phải chịu sự giám sát của cổ đông dưới một hình thức hiển nhiên nhưng vẫn đầy sức mạnh. Sự giám sát đó diễn ra ngay tại thùng phiếu.</w:t>
      </w:r>
    </w:p>
    <w:p>
      <w:pPr>
        <w:spacing w:after="80"/>
      </w:pPr>
      <w:r>
        <w:rPr>
          <w:b w:val="0"/>
          <w:i w:val="0"/>
        </w:rPr>
        <w:t>Ở đây, cụ thể là, các cổ đông Cryo-Cell đã đi bỏ phiếu với hiểu biết rằng Filipowski đã được thêm vào Danh sách Ứng viên của Ban quản lý (Management Slate). Những cổ đông đó cũng biết rằng Filipowski đã cam kết bỏ phiếu số cổ phần của Nhóm Filipowski (Filipowski Group) cho Danh sách Ứng viên của Ban quản lý. Mặc dù không được công bố công khai rằng việc Filipowski đồng ý bỏ phiếu cho Danh sách Ứng viên của Ban quản lý đã được đặt điều kiện là ông được thêm vào danh sách đó, và rằng những người đương nhiệm đã thêm Filipowski vào Danh sách Ứng viên của Ban quản lý để đổi lấy sự ủng hộ của ông, tôi cho rằng suy luận đó là không thể nhầm lẫn đối với bất kỳ cổ đông lý trí nào. Chắc chắn Portnoy đã biết điều đó, người biết rằng Filipowski đã không hài lòng về kết quả hoạt động của Công ty, và đã có ý định chạy một danh sách ứng viên cùng với Portnoy, chỉ để rồi giành cho mình một chỗ trong Danh sách Ứng viên của Ban quản lý. Do đó, Portnoy ở vị thế thuận lợi để chỉ ra rằng Filipowski đã cam kết ủng hộ những người đương nhiệm mà chính Filipowski mới chỉ gần đây đã đặt dấu hỏi nghiêm trọng về sự khôn ngoan và lòng trung thành của họ với cổ đông.</w:t>
      </w:r>
    </w:p>
    <w:p>
      <w:pPr>
        <w:spacing w:after="80"/>
      </w:pPr>
      <w:r>
        <w:rPr>
          <w:b w:val="0"/>
          <w:i w:val="0"/>
        </w:rPr>
        <w:t xml:space="preserve">Với việc cử tri đoàn có cơ hội tự mình quyết định liệu Filipowski có nên phục vụ hay không, tôi cho rằng việc áp dụng phép thử công bằng nội tại (intrinsic fairness test) cho tình huống này là không khôn ngoan, xét theo luật án lệ (common law) của chúng ta. Như Portnoy muốn, lẽ ra tôi phải đưa ra phán đoán về việc liệu Walton và những người đương nhiệm khác có bao giờ nghĩ Filipowski là một thành viên hội đồng quản trị có lợi cho Cryo-Cell </w:t>
      </w:r>
      <w:r>
        <w:rPr>
          <w:b w:val="0"/>
          <w:i/>
        </w:rPr>
        <w:t>nếu không vì</w:t>
      </w:r>
      <w:r>
        <w:rPr>
          <w:b w:val="0"/>
          <w:i w:val="0"/>
        </w:rPr>
        <w:t xml:space="preserve"> mong muốn củng cố vị thế của họ để giành lá phiếu của ông hay không. Tôi ít do dự khi kết luận rằng Walton không hề háo hức muốn có Filipowski trong hội đồng quản trị của bà. Bà và các đồng nghiệp chỉ thấy ý tưởng đó dễ chịu khi đối mặt với thực tế gần như chắc chắn thất bại nếu Filipowski cùng Portnoy chạy một danh sách ứng viên đối lập, và vẫn gặp rủi ro lớn ngay cả khi Filipowski ủng hộ Danh sách Ứng viên của Ban quản lý. Nói cách khác, tôi không nghi ngờ gì rằng Filipowski được thêm vào Danh sách Ứng viên của Ban quản lý chủ yếu là để giành lá phiếu của ông. Nhưng tôi cũng không nghi ngờ gì rằng Walton và hội đồng quản trị đã xác định Filipowski là một ứng viên đáng tin cậy với một số phẩm chất hữu ích.</w:t>
      </w:r>
    </w:p>
    <w:p>
      <w:pPr>
        <w:spacing w:after="80"/>
      </w:pPr>
      <w:r>
        <w:rPr>
          <w:b w:val="0"/>
          <w:i w:val="0"/>
        </w:rPr>
        <w:t>Ý tưởng cho rằng các thẩm phán nên nhai đi nhai lại những tính toán phức tạp mà các hội đồng quản trị đương nhiệm đưa ra khi cân nhắc có nên thêm vào danh sách ứng viên của ban quản lý những ứng viên do một cổ đông lớn đề xuất, kẻ mà những gợi ý mềm mỏng như nhung đang che giấu một nắm đấm siết chặt không thể nhầm lẫn, dường như đi ngược lại nhiều lý do chính đáng cho quy tắc phán đoán kinh doanh (business judgment rule). May thay, có một động lực thực tiễn và mang tính công dân trong phần lớn các mối quan hệ con người của quốc gia chúng ta, kể cả trong thương mại, theo đó những xung đột quan điểm được giải quyết một cách hòa bình thông qua nhường nhịn và trao đổi. Khi các cổ đông có thể tự mình quyết định liệu có nên đưa vào ghế một ứng viên đã giành được một chỗ trong danh sách ứng viên của ban quản lý thông qua sự mặc cả như vậy hay không, thì việc xây dựng một tiêu chuẩn liên quan đến khả năng can dự quá mức và thiếu chính xác của tòa án dường như là không khôn ngoan.</w:t>
      </w:r>
    </w:p>
    <w:p>
      <w:pPr>
        <w:spacing w:after="80"/>
      </w:pPr>
      <w:r>
        <w:rPr>
          <w:b w:val="0"/>
          <w:i w:val="0"/>
        </w:rPr>
        <w:t>* * *</w:t>
      </w:r>
    </w:p>
    <w:p>
      <w:pPr>
        <w:spacing w:after="80"/>
      </w:pPr>
      <w:r>
        <w:rPr>
          <w:b w:val="0"/>
          <w:i w:val="0"/>
        </w:rPr>
        <w:t>Theo quan điểm của tôi, chỉ một lời đề nghị về một vị trí trong danh sách ứng viên của ban quản lý không nên bị coi là một thỏa thuận mua phiếu bầu phải chịu phép thử công bằng toàn diện, và vì lý do đó, tôi không thấy có lý do gì để lên án việc thêm Filipowski vào Danh sách Ứng viên của Ban quản lý. Như một vấn đề thay thế, các bị đơn đã thuyết phục được tôi rằng không có gì bất công khi hợp sức với Filipowski theo cách này. Về điểm này, tôi lưu ý rằng không có một dấu hiệu nào cho thấy Filipowski tìm cách nhận các khoản thanh toán tài chính từ Cryo-Cell dưới hình thức hợp đồng hay phí tư vấn hay những thỏa thuận tương tự khác. Điều ông tìm kiếm là ảnh hưởng lên hội đồng quản trị của một công ty mà ông sở hữu một số lượng lớn cổ phần, một quyền sở hữu tạo cho ông động lực gia tăng giá trị công ty. Các cổ đông biết ông tìm một ghế và ông phải giành được lá phiếu của họ để vào được hội đồng quản trị.</w:t>
      </w:r>
    </w:p>
    <w:p>
      <w:pPr>
        <w:spacing w:after="80"/>
      </w:pPr>
      <w:r>
        <w:rPr>
          <w:b w:val="0"/>
          <w:i w:val="0"/>
        </w:rPr>
        <w:t>Vì tất cả những lý do này, tôi kết luận rằng đòn tấn công của Portnoy vào khía cạnh này trong các giao dịch của những người đương nhiệm với Filipowski là thất bại.</w:t>
      </w:r>
    </w:p>
    <w:p>
      <w:pPr>
        <w:spacing w:after="80"/>
      </w:pPr>
      <w:r>
        <w:rPr>
          <w:b w:val="0"/>
          <w:i w:val="0"/>
        </w:rPr>
        <w:t>B. Lời Hứa Về Một Ghế Thứ Hai Trong Hội Đồng Quản Trị Cho Nhóm Filipowski</w:t>
      </w:r>
    </w:p>
    <w:p>
      <w:pPr>
        <w:spacing w:after="80"/>
      </w:pPr>
      <w:r>
        <w:rPr>
          <w:b w:val="0"/>
          <w:i w:val="0"/>
        </w:rPr>
        <w:t>Tuy nhiên, tôi đi đến một kết luận khác về thỏa thuận sau đó được đạt với Filipowski ngay trước cuộc họp thường niên. Như tôi đã nhận định trước đó, Walton (hành động ít nhất là với thẩm quyền biểu kiến của các đồng nghiệp trong hội đồng quản trị, những người cực kỳ tôn trọng sự lãnh đạo của bà) đã hứa với Filipowski rằng nếu Danh sách Ứng viên của Ban quản lý thắng, đa số hội đồng quản trị đương nhiệm sẽ sử dụng quyền hạn của mình theo điều lệ công ty (bylaws) để mở rộng hội đồng quản trị Cryo-Cell từ sáu thành bảy thành viên và bổ nhiệm vào ghế mới người được Filipowski chỉ định, Roszak. Lời hứa đó được đưa ra để đáp lại yêu cầu của Roszak—với tư cách người đàm phán của Filipowski—và được đưa ra để đổi lấy lời hứa của Filipowski rằng ông sẽ ra ngoài mua thêm cổ phần (và do đó là thêm lá phiếu).</w:t>
      </w:r>
    </w:p>
    <w:p>
      <w:pPr>
        <w:spacing w:after="80"/>
      </w:pPr>
      <w:r>
        <w:rPr>
          <w:b w:val="0"/>
          <w:i w:val="0"/>
        </w:rPr>
        <w:t>* * *</w:t>
      </w:r>
    </w:p>
    <w:p>
      <w:pPr>
        <w:spacing w:after="80"/>
      </w:pPr>
      <w:r>
        <w:rPr>
          <w:b w:val="0"/>
          <w:i w:val="0"/>
        </w:rPr>
        <w:t>"[C]ác giám đốc của các công ty Delaware có nghĩa vụ tín thác (fiduciary duty) phải công bố đầy đủ và công bằng mọi thông tin trọng yếu nằm trong tầm kiểm soát của hội đồng quản trị khi hội đồng tìm kiếm hành động của cổ đông." Nghĩa vụ công bố đó "gắn liền với các bản tuyên bố ủy quyền (proxy statements) và bất kỳ công bố nào khác nhằm dự liệu cho hành động của cổ đông." "Một sự kiện bị bỏ sót là trọng yếu nếu có khả năng đáng kể rằng một cổ đông hợp lý sẽ coi nó là quan trọng khi quyết định bỏ phiếu như thế nào."</w:t>
      </w:r>
    </w:p>
    <w:p>
      <w:pPr>
        <w:spacing w:after="80"/>
      </w:pPr>
      <w:r>
        <w:rPr>
          <w:b w:val="0"/>
          <w:i w:val="0"/>
        </w:rPr>
        <w:t>Vào ngày họ bỏ phiếu, các cổ đông Cryo-Cell biết rằng một lá phiếu cho Danh sách Ứng viên của Ban quản lý sẽ đưa sáu giám đốc vào ghế, bao gồm cả Filipowski. Họ hẳn phải biết rằng sự ủng hộ của Filipowski dành cho Danh sách Ứng viên của Ban quản lý phần lớn được thúc đẩy bởi việc chính ông được đưa vào danh sách.</w:t>
      </w:r>
    </w:p>
    <w:p>
      <w:pPr>
        <w:spacing w:after="80"/>
      </w:pPr>
      <w:r>
        <w:rPr>
          <w:b w:val="0"/>
          <w:i w:val="0"/>
        </w:rPr>
        <w:t>Điều mà các cổ đông Cryo-Cell không biết là Walton đã hứa rằng hội đồng quản trị sẽ sử dụng quyền hạn tín thác của mình để mở rộng hội đồng quản trị lên bảy thành viên và bổ nhiệm một người khác do Filipowski chỉ định. Vấn đề nan giải là các cổ đông Cryo-Cell không biết rằng Filipowski rõ ràng có ý định chỉ định Roszak, một người mà quá khứ gần đây của anh ta hẳn sẽ đè nặng lên tâm trí của một cổ đông lý trí đang cân nhắc liệu có nên đưa anh ta vào ghế với tư cách người được tín thác hay không. Thật vậy, tại phiên tòa, các bị đơn đã cố tình nói rằng họ chỉ quyết định đưa Filipowski vào sau khi kết luận rằng hành vi của Roszak trong tình huống Blue Rhino không làm dấy lên nghi ngờ về phẩm chất tốt đẹp của chính Filipowski.</w:t>
      </w:r>
    </w:p>
    <w:p>
      <w:pPr>
        <w:spacing w:after="80"/>
      </w:pPr>
      <w:r>
        <w:rPr>
          <w:b w:val="0"/>
          <w:i w:val="0"/>
        </w:rPr>
        <w:t>Khi kết luận như vậy, tôi không ngần ngại lưu ý niềm tin của mình rằng Walton biết Roszak sẽ là người được Filipowski chỉ định trước cuộc họp, nhưng cũng rằng kết luận cuối cùng của tôi rằng đây là một thỏa thuận trọng yếu lẽ ra phải được công bố sẽ không thay đổi nếu điều đó không đúng. Các cổ đông hẳn sẽ thấy là trọng yếu khi biết rằng sự hợp tác của ban quản lý công ty với Filipowski giờ đã mở rộng thành một mặc cả theo đó ông sẽ mua thêm nhiều cổ phần và lá phiếu để đổi lấy việc có hai ghế trong hội đồng quản trị. Một cổ đông hợp lý có thể đã đi đến kết luận rằng họ không muốn Filipowski có quá nhiều ảnh hưởng—và chắc chắn là không muốn nếu Roszak, nhân viên của ông với thành tích đáng ngờ, sẽ trở thành tiếng vọng được bảo đảm của ông trong hội đồng quản trị.</w:t>
      </w:r>
    </w:p>
    <w:p>
      <w:pPr>
        <w:spacing w:after="80"/>
      </w:pPr>
      <w:r>
        <w:rPr>
          <w:b w:val="0"/>
          <w:i w:val="0"/>
        </w:rPr>
        <w:t>* * *</w:t>
      </w:r>
    </w:p>
    <w:p>
      <w:pPr>
        <w:spacing w:after="80"/>
      </w:pPr>
      <w:r>
        <w:rPr>
          <w:b w:val="0"/>
          <w:i w:val="0"/>
        </w:rPr>
        <w:t>Giờ tôi đến với khiếu nại cuối cùng của Portnoy. Đó là về cách Walton điều hành cuộc họp.</w:t>
      </w:r>
    </w:p>
    <w:p>
      <w:pPr>
        <w:spacing w:after="80"/>
      </w:pPr>
      <w:r>
        <w:rPr>
          <w:b w:val="0"/>
          <w:i w:val="0"/>
        </w:rPr>
        <w:t>Như một vấn đề ban đầu, tôi từ chối dùng điều này như một cái cớ để mổ xẻ sự khác biệt giữa một giờ nghỉ trưa và một lần tạm hoãn chính thức. Ngôn từ trong điều lệ của Cryo-Cell tạo ra một lập luận có vẻ hợp lý rằng một lần tạm hoãn chính thức không thể được tuyên bố nếu không có sự chấp thuận của cổ đông, và có sự nghi ngờ liệu Walton có đủ số phiếu ủy quyền (proxy) trong tay cho mục đích đó hay không. Theo quan điểm của tôi, Portnoy không ở vị thế để phản đối thẩm quyền của Walton trong việc "quyết định mọi vấn đề thủ tục liên quan đến việc điều hành cuộc họp, bao gồm cả việc tạm hoãn," miễn là bà ấy làm điều đó với thiện chí. . . .</w:t>
      </w:r>
    </w:p>
    <w:p>
      <w:pPr>
        <w:spacing w:after="80"/>
      </w:pPr>
      <w:r>
        <w:rPr>
          <w:b w:val="0"/>
          <w:i w:val="0"/>
        </w:rPr>
        <w:t>Tuy nhiên, điều kém chắc chắn hơn là liệu Walton có hành xử bất công trong việc điều hành cuộc họp hay không. Thực tế là bà ấy đã không nghỉ "lupper" (bữa trưa muộn) gần ba tiếng đồng hồ vào lúc 2 giờ chiều để những người tham dự cuộc họp có thể ăn uống. Bởi vì Walton đã thực hiện hành động ảnh hưởng đến việc tiến hành bầu cử ban giám đốc theo một cách có khả năng quan trọng, các bị đơn phải chịu trách nhiệm chứng minh rằng hành động của Walton "được thúc đẩy bởi mối quan tâm thiện chí vì lợi ích tốt nhất của các cổ đông, chứ không phải bởi mong muốn củng cố vị trí [của chính bà ấy]." Họ đã thất bại trong việc chứng minh rằng các chiến thuật của Walton được thực hiện với thiện chí vị tha.</w:t>
      </w:r>
    </w:p>
    <w:p>
      <w:pPr>
        <w:spacing w:after="80"/>
      </w:pPr>
      <w:r>
        <w:rPr>
          <w:b w:val="0"/>
          <w:i w:val="0"/>
        </w:rPr>
        <w:t>Hành vi của Walton trong ngày hôm đó tương tự như một trọng tài bóng đá tham nhũng, với ý định kéo dài thêm thời gian để trận đấu chỉ kết thúc khi đội mà bà ấy ưa thích đã có được thế dẫn chắc chắn. Rất sớm trong cuộc họp, trình tự sự kiện đã được lên kế hoạch đã diễn ra xong và mọi câu hỏi của cổ đông đều đã được trả lời.</w:t>
      </w:r>
    </w:p>
    <w:p>
      <w:pPr>
        <w:spacing w:after="80"/>
      </w:pPr>
      <w:r>
        <w:rPr>
          <w:b w:val="0"/>
          <w:i w:val="0"/>
        </w:rPr>
        <w:t>* * *</w:t>
      </w:r>
    </w:p>
    <w:p>
      <w:pPr>
        <w:spacing w:after="80"/>
      </w:pPr>
      <w:r>
        <w:rPr>
          <w:b w:val="0"/>
          <w:i w:val="0"/>
        </w:rPr>
        <w:t>Tất nhiên, các bị đơn nói rằng Danh sách của Portnoy lẽ ra phải nhận ra nhu cầu tiếp tục tìm kiếm phiếu bầu trong khoảng thời gian Walton đang trì hoãn, và rằng Danh sách của Portnoy đã không đủ cần mẫn trong việc đảm bảo rằng lợi thế ban đầu của mình được bảo toàn bằng cách chăm sóc tận tình đàn cừu trao quyền ủy nhiệm của mình. Và người ta không thể không ngần ngại tạo ra một tiền lệ giúp biến những sự trì hoãn tính bằng giờ, thay vì ngày hay tuần, thành những vấn đề có thể đưa ra xét xử.</w:t>
      </w:r>
    </w:p>
    <w:p>
      <w:pPr>
        <w:spacing w:after="80"/>
      </w:pPr>
      <w:r>
        <w:rPr>
          <w:b w:val="0"/>
          <w:i w:val="0"/>
        </w:rPr>
        <w:t>Tuy nhiên, không thể bỏ qua sự bất công trong hành vi của Walton, một sự biện minh dựa trên kết quả không phải là biện pháp bào chữa cho những hành động ảnh hưởng đến việc bầu cử giám đốc được thực hiện vì "một mục đích bất công" và theo một cách thức lừa dối bất công. Nếu một người tham gia tranh cử đảm nhận vai trò chủ trì cuộc họp, người đó có nghĩa vụ làm điều đó một cách công bằng. Walton đã không làm như vậy. Bà ấy câu giờ để phe của mình có thể thắng cuộc chơi, biết rằng nếu cuộc chơi kết thúc đúng như lịch trình, phe của bà ấy sẽ thua. Sau đó bà ấy đã không trung thực về những lý do trì hoãn.</w:t>
      </w:r>
    </w:p>
    <w:p>
      <w:pPr>
        <w:spacing w:after="80"/>
      </w:pPr>
      <w:r>
        <w:rPr>
          <w:b w:val="0"/>
          <w:i w:val="0"/>
        </w:rPr>
        <w:t>Vì tất cả những lý do này, tôi nhận thấy rằng Portnoy đã chứng minh được rằng những vi phạm nghiêm trọng nghĩa vụ ủy thác (fiduciary duty) đã làm hoen ố cuộc bầu cử. Trước khi xem xét biện pháp khắc phục nào cần áp đặt, tôi phải đề cập ngắn gọn đến lập luận của các bị đơn rằng hành vi bất công của phe họ nên bị bỏ qua vì Portnoy có "bàn tay không sạch" (unclean hands). Sau khi làm điều đó, tôi sẽ đề cập đến những hàm ý về biện pháp khắc phục từ các phát hiện của mình.</w:t>
      </w:r>
    </w:p>
    <w:p>
      <w:pPr>
        <w:spacing w:after="80"/>
      </w:pPr>
      <w:r>
        <w:rPr>
          <w:b w:val="0"/>
          <w:i w:val="0"/>
        </w:rPr>
        <w:t>* * *</w:t>
      </w:r>
    </w:p>
    <w:p>
      <w:pPr>
        <w:spacing w:after="80"/>
      </w:pPr>
      <w:r>
        <w:rPr>
          <w:b w:val="0"/>
          <w:i w:val="0"/>
        </w:rPr>
        <w:t>Giờ tôi đến với câu hỏi về biện pháp khắc phục thích hợp. Mặc dù Portnoy muốn tôi chỉ đơn giản tuyên bố danh sách của ông ấy là bên thắng cuộc, tôi không tin đó là biện pháp khắc phục thích hợp nhất. Xét đến mức độ sít sao của cuộc tranh cử và thực tế rằng Filipowski thực sự đã có được quyền sở hữu hưởng lợi đối với số cổ phần mà ông ấy đã bỏ phiếu, tôi nghĩ biện pháp khắc phục tốt nhất để bảo vệ lợi ích của các cổ đông Cryo-Cell với tư cách một nhóm là ra lệnh tổ chức một cuộc họp bất thường (special meeting) sớm, tại đó một cuộc bầu cử mới sẽ được tiến hành và chủ trì bởi một thẩm phán đặc biệt (special master). Cho đến lúc đó, những người đương nhiệm đã ngồi trong ban giám đốc Cryo-Cell trước cuộc họp thường niên năm 2007 sẽ tiếp tục tại vị; yêu sách nắm giữ chức vụ của Filipowski không có tính chính đáng từ trước và ông ấy phải rời khỏi ban giám đốc cho đến khi được các cổ đông bầu chọn.</w:t>
      </w:r>
    </w:p>
    <w:p>
      <w:pPr>
        <w:spacing w:after="80"/>
      </w:pPr>
      <w:r>
        <w:rPr>
          <w:b w:val="0"/>
          <w:i w:val="0"/>
        </w:rPr>
        <w:t>* * *</w:t>
      </w:r>
    </w:p>
    <w:p>
      <w:pPr>
        <w:spacing w:after="80"/>
      </w:pPr>
      <w:r>
        <w:rPr>
          <w:b w:val="0"/>
          <w:i w:val="0"/>
        </w:rPr>
        <w:t>Một cách phù hợp hơn để giải quyết những lo ngại về chi phí là yêu cầu Danh sách Ban Quản lý (Management Slate) chịu chi phí cho các nỗ lực vận động ủy nhiệm của chính họ, chi phí cho công ty tổ chức cuộc họp, và chi phí cho một thẩm phán đặc biệt để điều hành cuộc họp. Điều này sẽ đảm bảo rằng các cổ đông Cryo-Cell không bị tổn hại bởi yêu cầu phải tổ chức thêm một cuộc họp. Xét đến hành vi sai trái của Danh sách Ban Quản lý, đây là một biện pháp khắc phục phù hợp và tương xứng. Biện pháp khắc phục này cũng sẽ không đặt Danh sách Ban Quản lý vào thế bất lợi so với bất kỳ danh sách nổi dậy nào, nó chỉ đơn giản san bằng sân chơi.</w:t>
      </w:r>
    </w:p>
    <w:p>
      <w:pPr>
        <w:spacing w:after="80"/>
      </w:pPr>
      <w:r>
        <w:rPr>
          <w:b w:val="0"/>
          <w:i w:val="0"/>
        </w:rPr>
        <w:t>* * *</w:t>
      </w:r>
    </w:p>
    <w:p>
      <w:pPr>
        <w:spacing w:after="80"/>
      </w:pPr>
      <w:r>
        <w:rPr>
          <w:b w:val="0"/>
          <w:i w:val="0"/>
        </w:rPr>
        <w:t>Về các nghĩa vụ tài chính áp đặt lên các bị đơn, tôi lưu ý rằng tôi tập trung trách nhiệm của họ vào việc khắc phục những tổn hại mà họ đã gây ra cho công ty theo một cách tương xứng và mang tính xây dựng. Tôi bác bỏ yêu cầu của Portnoy về việc buộc các bị đơn hoặc Cryo-Cell phải trả chi phí kiện tụng và vận động ủy nhiệm của ông ấy. Tôi làm như vậy vừa để tôn trọng cách tiếp cận theo Quy tắc Mỹ truyền thống (American Rule) mà nền luật học của chúng ta theo đuổi, vừa như một hệ quả thích đáng cho việc Portnoy dây dưa với Archibald, một chuỗi hành vi mà tôi không tin là khiến ông ấy mất quyền được khắc phục nhưng cũng nên có một hệ quả nào đó. Bằng việc bác bỏ yêu cầu của Portnoy về việc hoàn trả chi phí kiện tụng và chi phí ủy nhiệm của ông ấy, tôi giới hạn rủi ro của các bị đơn ở việc phải trả chi phí tổ chức một cuộc họp bất thường, điều này không nên quá nặng nề nếu các bên biết điều, và thẩm phán đặc biệt sẽ đảm bảo điều đó.</w:t>
      </w:r>
    </w:p>
    <w:p>
      <w:pPr>
        <w:spacing w:after="80"/>
      </w:pPr>
      <w:r>
        <w:rPr>
          <w:b w:val="0"/>
          <w:i w:val="0"/>
        </w:rPr>
        <w:t>Các bên phải hợp tác về ngày và địa điểm thích hợp cho một cuộc họp bất thường sớm và trình một lệnh phù hợp, trước khi yêu cầu một cuộc hội ý trong tuần này với tòa án, tại đó lệnh sẽ được hoàn tất và một thẩm phán đặc biệt sẽ được chỉ định.</w:t>
      </w:r>
    </w:p>
    <w:p>
      <w:pPr>
        <w:pStyle w:val="Heading5"/>
      </w:pPr>
      <w:r>
        <w:rPr>
          <w:rFonts w:ascii="Calibri" w:hAnsi="Calibri"/>
          <w:b/>
          <w:i/>
          <w:sz w:val="22"/>
        </w:rPr>
        <w:t>Bình luận và Câu hỏi</w:t>
      </w:r>
    </w:p>
    <w:p>
      <w:pPr>
        <w:spacing w:after="80"/>
      </w:pPr>
      <w:r>
        <w:rPr>
          <w:b w:val="0"/>
          <w:i w:val="0"/>
        </w:rPr>
        <w:t>1. Ai thực sự đã thắng trong vụ án này? Lập trường của các bên liên quan như thế nào khi vụ án được giải quyết?</w:t>
      </w:r>
    </w:p>
    <w:p>
      <w:pPr>
        <w:spacing w:after="80"/>
      </w:pPr>
      <w:r>
        <w:rPr>
          <w:b w:val="0"/>
          <w:i w:val="0"/>
        </w:rPr>
        <w:t>2. Bạn nghĩ gì về phân tích hành vi mua phiếu bầu trong vụ án này? Nguyên đơn lập luận rằng thỏa thuận giữa ban quản lý và Filipowski được thúc đẩy bởi mục đích cố thủ vị trí và do đó là một "thỏa thuận mua phiếu bầu bất hợp pháp." Tuy nhiên, thay vì đưa thỏa thuận này vào tiêu chuẩn công bằng toàn diện (entire fairness), tòa án kết luận rằng việc "giám sát thích đáng diễn ra ngay tại hòm phiếu." Bạn có đồng ý với cách tiếp cận này không?</w:t>
      </w:r>
    </w:p>
    <w:p>
      <w:pPr>
        <w:spacing w:after="80"/>
      </w:pPr>
      <w:r>
        <w:rPr>
          <w:b w:val="0"/>
          <w:i w:val="0"/>
        </w:rPr>
        <w:t>3. Khi kết luận rằng thỏa thuận mua phiếu bầu là hợp lệ, tòa án lưu ý rằng Filipowski không nhận được bất kỳ khoản thanh toán tài chính nào mà chỉ nhận được một vị trí trong hội đồng quản trị, mang lại cho ông ảnh hưởng tại một công ty mà ông nắm giữ số lượng cổ phần đáng kể. Với lập luận của tòa án rằng việc giám sát có thể diễn ra tại hòm phiếu, liệu hình thức đối价 (tiền bạc hay ảnh hưởng) có quan trọng không? Giả sử cho câu hỏi này rằng số tiền của bất kỳ khoản thanh toán nào đã được công bố.</w:t>
      </w:r>
    </w:p>
    <w:p>
      <w:pPr>
        <w:spacing w:after="80"/>
      </w:pPr>
      <w:r>
        <w:rPr>
          <w:b w:val="0"/>
          <w:i w:val="0"/>
        </w:rPr>
        <w:t>4. Tòa án gợi ý rằng họ sẽ không sẵn sàng xem xét các vấn đề thủ tục liên quan đến cách tiến hành cuộc họp nhưng lại bày tỏ lo ngại về tính công bằng của việc tạm nghỉ "lupper". Về vấn đề đó, Bị đơn phải chịu trách nhiệm chứng minh rằng hành động đó được "thúc đẩy" bởi thiện chí. Vì việc tạm nghỉ "lupper" cũng là một vấn đề thủ tục, ranh giới phân chia giữa những vấn đề mà tòa án sẽ xem xét và những vấn đề mà tòa án sẽ không xem xét là gì?</w:t>
      </w:r>
    </w:p>
    <w:p>
      <w:pPr>
        <w:spacing w:after="80"/>
      </w:pPr>
      <w:r>
        <w:rPr>
          <w:b w:val="0"/>
          <w:i w:val="0"/>
        </w:rPr>
        <w:t>5. Ban quản lý biết rằng họ sắp thua cuộc bỏ phiếu và do đó đã trì hoãn cuộc họp để thu thập thêm phiếu bầu. Làm sao ban quản lý biết được kết quả kiểm phiếu ở giai đoạn này của cuộc tranh giành quyền đại diện (proxy contest)? Cổ đông nổi dậy có cùng thông tin đó không?</w:t>
      </w:r>
    </w:p>
    <w:p>
      <w:pPr>
        <w:spacing w:after="80"/>
      </w:pPr>
      <w:r>
        <w:rPr>
          <w:b w:val="0"/>
          <w:i w:val="0"/>
        </w:rPr>
        <w:t>6. Bạn nghĩ gì về biện pháp khắc phục trong vụ án này? Sau phán quyết, Portnoy có những lựa chọn nào? Trên thực tế, Portnoy đã không đề cử một danh sách giám đốc đối thủ và những người được ban quản lý đề cử đã được bầu mà không có sự phản đối nào.</w:t>
      </w:r>
    </w:p>
    <w:p>
      <w:pPr>
        <w:spacing w:after="80"/>
      </w:pPr>
      <w:r>
        <w:rPr>
          <w:b w:val="0"/>
          <w:i w:val="0"/>
        </w:rPr>
        <w:t>7. Tòa án đã bác bỏ yêu cầu của Portnoy rằng các Bị đơn phải trả phí cho ông. Cơ sở để bác bỏ là gì? Điều đó có thể ảnh hưởng như thế nào đến các thách thức trong tương lai đối với hành vi của ban quản lý trong các cuộc tranh giành quyền đại diện?</w:t>
      </w:r>
    </w:p>
    <w:p>
      <w:pPr>
        <w:pStyle w:val="Heading3"/>
      </w:pPr>
      <w:r>
        <w:rPr>
          <w:rFonts w:ascii="Calibri" w:hAnsi="Calibri"/>
          <w:b/>
          <w:i w:val="0"/>
          <w:sz w:val="26"/>
        </w:rPr>
        <w:t>C. Các cuộc tranh giành quyền đại diện và Kết quả bỏ phiếu tạm thời</w:t>
      </w:r>
    </w:p>
    <w:p>
      <w:pPr>
        <w:spacing w:after="80"/>
      </w:pPr>
      <w:r>
        <w:rPr>
          <w:b w:val="0"/>
          <w:i w:val="0"/>
        </w:rPr>
        <w:t>Hầu hết cổ phiếu của các công ty đại chúng được nắm giữ bởi các chủ sở hữu theo tên phố (street name owners). Họ bỏ phiếu cho cổ phần của mình phần lớn không phải bằng cách ký thẻ ủy quyền (proxy card) mà bằng cách gửi chỉ thị bỏ phiếu cho Broadridge, một đại lý hoạt động thay mặt cho các nhà môi giới và ngân hàng. Broadridge tổng hợp các chỉ thị và đưa chúng vào một thẻ ủy quyền được nộp cho công ty. Do đó, Broadridge biết được kết quả ngay khi chúng được gửi vào. Thông tin này có thể ảnh hưởng đến quá trình ủy quyền.</w:t>
      </w:r>
    </w:p>
    <w:p>
      <w:pPr>
        <w:pStyle w:val="Heading4"/>
      </w:pPr>
      <w:r>
        <w:rPr>
          <w:rFonts w:ascii="Calibri" w:hAnsi="Calibri"/>
          <w:b/>
          <w:i w:val="0"/>
          <w:sz w:val="23"/>
        </w:rPr>
        <w:t>Red Oak Fund, L.P. v. Digirad Corporation</w:t>
      </w:r>
    </w:p>
    <w:p>
      <w:pPr>
        <w:spacing w:after="80"/>
      </w:pPr>
      <w:r>
        <w:rPr>
          <w:b w:val="0"/>
          <w:i w:val="0"/>
        </w:rPr>
        <w:t>Tòa án Chancery Delaware</w:t>
      </w:r>
      <w:r>
        <w:br/>
      </w:r>
      <w:r>
        <w:rPr>
          <w:b w:val="0"/>
          <w:i w:val="0"/>
        </w:rPr>
        <w:t xml:space="preserve"> C.A. No. 8559-VCN (ngày 23 tháng 10 năm 2013)</w:t>
      </w:r>
    </w:p>
    <w:p>
      <w:pPr>
        <w:spacing w:after="80"/>
      </w:pPr>
      <w:r>
        <w:rPr>
          <w:b w:val="0"/>
          <w:i w:val="0"/>
        </w:rPr>
        <w:t>Red Oak, một công ty hợp danh hữu hạn Delaware có trụ sở tại Thành phố New York, đầu tư vào các công ty đại chúng và tư nhân thường có vốn hóa thị trường dưới 200 triệu đô la. Trước cuộc tranh giành quyền đại diện, Red Oak là cổ đông lớn thứ tư của Digirad, sở hữu 5,6% cổ phiếu phổ thông của công ty. David Sandberg ("Sandberg") là thành viên quản lý của Red Oak Partners, LLC, công ty là tổng công ty hợp danh của Red Oak.</w:t>
      </w:r>
    </w:p>
    <w:p>
      <w:pPr>
        <w:spacing w:after="80"/>
      </w:pPr>
      <w:r>
        <w:rPr>
          <w:b w:val="0"/>
          <w:i w:val="0"/>
        </w:rPr>
        <w:t>Digirad, một công ty Delaware có trụ sở tại Poway, California, là nhà cung cấp quốc gia về "dịch vụ tim mạch hạt nhân tại phòng khám và dịch vụ chẩn đoán hình ảnh siêu âm cho các phòng khám bác sĩ và bệnh viện." Công ty cũng vận hành "hoạt động kinh doanh bán máy ảnh hạt nhân và dịch vụ sản phẩm."</w:t>
      </w:r>
    </w:p>
    <w:p>
      <w:pPr>
        <w:spacing w:after="80"/>
      </w:pPr>
      <w:r>
        <w:rPr>
          <w:b w:val="0"/>
          <w:i w:val="0"/>
        </w:rPr>
        <w:t>Digirad có năm giám đốc: Eberwein, người giữ chức chủ tịch, cùng với Gillman, Climaco, Hawkins và Sayward (gọi chung là "Hội đồng quản trị"). Hội đồng quản trị sẽ được bầu lại tại cuộc họp cổ đông thường niên năm 2013 của Digirad, được tổ chức vào ngày 3 tháng 5 năm 2013 ("Cuộc bầu cử").</w:t>
      </w:r>
    </w:p>
    <w:p>
      <w:pPr>
        <w:spacing w:after="80"/>
      </w:pPr>
      <w:r>
        <w:rPr>
          <w:b/>
          <w:i w:val="0"/>
        </w:rPr>
        <w:t>III. BỐI CẢNH</w:t>
      </w:r>
    </w:p>
    <w:p>
      <w:pPr>
        <w:spacing w:after="80"/>
      </w:pPr>
      <w:r>
        <w:rPr>
          <w:b w:val="0"/>
          <w:i w:val="0"/>
        </w:rPr>
        <w:t>Vào thời điểm diễn ra cuộc Bầu cử, Tổng Giám đốc Điều hành của Digirad là Todd Clyde (“Clyde”), và Giám đốc Tài chính là Jeffrey Keyes (“Keyes”). Hai vị lãnh đạo này là những người tham gia nhiều nhất vào hành vi đang bị xem xét trong vụ kiện này.</w:t>
      </w:r>
    </w:p>
    <w:p>
      <w:pPr>
        <w:spacing w:after="80"/>
      </w:pPr>
      <w:r>
        <w:rPr>
          <w:b w:val="0"/>
          <w:i w:val="0"/>
        </w:rPr>
        <w:t>Sau khi nắm giữ 5.6% cổ phần tại Digirad, Red Oak thông báo vào ngày 27 tháng 2 rằng họ sẽ đề cử một danh sách gồm năm giám đốc để thay thế Hội đồng Quản trị tại cuộc Bầu cử. Digirad đã nộp bản tuyên bố ủy quyền chính thức (definitive proxy statement) lên Ủy ban Chứng khoán và Giao dịch (“SEC”) vào ngày 4 tháng 4. Từ đó cho đến ngày Bầu cử, cả Digirad và Red Oak đều phát hành thông cáo báo chí và thư tranh cử nhằm khuyến khích các cổ đông bỏ phiếu cho các ứng viên tương ứng của mình.</w:t>
      </w:r>
    </w:p>
    <w:p>
      <w:pPr>
        <w:spacing w:after="80"/>
      </w:pPr>
      <w:r>
        <w:rPr>
          <w:b w:val="0"/>
          <w:i w:val="0"/>
        </w:rPr>
        <w:t xml:space="preserve">A. </w:t>
      </w:r>
      <w:r>
        <w:rPr>
          <w:b w:val="0"/>
          <w:i/>
        </w:rPr>
        <w:t>Các Tuyên bố Sai lệch Trọng yếu Được Cho là Có Liên quan đến Việc Tán dương Kết quả Bầu cử Sơ bộ</w:t>
      </w:r>
    </w:p>
    <w:p>
      <w:pPr>
        <w:spacing w:after="80"/>
      </w:pPr>
      <w:r>
        <w:rPr>
          <w:b w:val="0"/>
          <w:i w:val="0"/>
        </w:rPr>
        <w:t>Tuyên bố sai lệch trọng yếu đầu tiên liên quan đến thông tin có khả năng được chia sẻ giữa John Grau (“Grau”), người đại diện thu thập phiếu ủy quyền (proxy solicitor) của Digirad, và Tyson Bauer (“Bauer”), một chuyên viên phân tích nghiên cứu cổ phiếu phía bán (sell-side) tại Kansas City Capital Associates. Eberwein hiểu rằng Bauer am hiểu về cơ cấu cổ đông của Digirad, bao gồm một số cổ đông lớn hơn của công ty. Vào ngày 23 tháng 4, Eberwein yêu cầu Gillman nói chuyện với Bauer và Ross Taylor (“Taylor”), một Quản lý Danh mục Đầu tư tại Somerset Capital Advisors (“Somerset”), về việc thuyết phục Somerset, một cổ đông của Digirad, ủng hộ ban lãnh đạo trong cuộc Bầu cử dựa trên cam kết cải thiện chương trình mua lại cổ phiếu đang diễn ra của Digirad. Vào cuối tháng 3, Digirad đã tăng chương trình mua lại từ $4 triệu lên $12 triệu.</w:t>
      </w:r>
    </w:p>
    <w:p>
      <w:pPr>
        <w:spacing w:after="80"/>
      </w:pPr>
      <w:r>
        <w:rPr>
          <w:b w:val="0"/>
          <w:i w:val="0"/>
        </w:rPr>
        <w:t>Bauer làm chứng rằng Gillman nói với ông rằng ban lãnh đạo tin rằng họ không thể thua cuộc Bầu cử nếu nhận được sự ủng hộ mà họ mong đợi từ các công ty cố vấn ủy quyền (proxy advisor firms). Ngay sau đó, vào ngày 24 tháng 4, Bauer yêu cầu “bằng chứng không thể chối cãi” hoặc một số bằng chứng khác chứng minh tại sao Digirad lại “tự tin đến vậy” rằng họ “sẽ thắng,” đây là thông tin mà cuối cùng ông đang tìm kiếm thay cho Taylor. Gillman dường như đã nói với Bauer rằng Grau sẽ liên lạc với ông. Bauer làm chứng rằng, trong suốt những cuộc trò chuyện hạn chế này, Gillman không cung cấp cho ông bất kỳ tên cổ đông, tỷ lệ phần trăm phiếu bầu, hay chi tiết kiểm phiếu ủy quyền sơ bộ nào khác.</w:t>
      </w:r>
    </w:p>
    <w:p>
      <w:pPr>
        <w:spacing w:after="80"/>
      </w:pPr>
      <w:r>
        <w:rPr>
          <w:b w:val="0"/>
          <w:i w:val="0"/>
        </w:rPr>
        <w:t>Trong lúc đó, và sau các buổi thuyết trình của Digirad và Red Oak, cả Institutional Shareholder Services (“ISS”) và Glass, Lewis &amp; Co., L.L.C. (“Glass Lewis”) đều khuyến nghị vào ngày 22 tháng 4 rằng các cổ đông của Digirad nên bỏ phiếu bầu lại Hội đồng Quản trị. Ban lãnh đạo nhanh chóng công bố khuyến nghị này ra công chúng, phát hành một thông cáo báo chí vào sáng ngày 23 tháng 4.</w:t>
      </w:r>
    </w:p>
    <w:p>
      <w:pPr>
        <w:spacing w:after="80"/>
      </w:pPr>
      <w:r>
        <w:rPr>
          <w:b w:val="0"/>
          <w:i w:val="0"/>
        </w:rPr>
        <w:t>Trong vòng một ngày, Grau và Bauer bắt đầu một chuỗi ba cuộc trò chuyện qua điện thoại. Grau nghĩ rằng Bauer là “ai đó đang làm việc với [c]ông ty, người sẽ hỗ trợ . . . trong việc tiếp cận các cổ đông có thể là khách hàng của ông ấy.” Cuộc gọi đầu tiên với Bauer vào ngày 24 tháng 4, Grau làm chứng, khiến ông “rất bối rối” vì “[Bauer] muốn biết nhiều thông tin hơn mức [Grau] từng nghĩ bất kỳ ai quan tâm.” Nhưng Grau, tin rằng “vào thời điểm đó [Bauer] là người đại diện của Digirad,” vẫn chia sẻ “một vài con số phác thảo nhanh về nơi [ông] nghĩ cuộc bỏ phiếu đang diễn ra . . . có tính đến . . . nơi cuộc bỏ phiếu sẽ đứng khi tính đến khuyến nghị của ISS.” Ghi chú của Bauer từ ba cuộc trò chuyện với Grau liệt kê một loạt các phân tích tỷ lệ phần trăm cho thấy ban lãnh đạo lúc đầu dẫn trước 34% so với 12%, sau đó 45% so với 10%, và cuối cùng ban lãnh đạo ở mức chỉ dưới 50% với 63% số cổ phần được tính vào. Những tỷ lệ phần trăm này, Bauer làm chứng, phản ánh ý kiến của Grau và Digirad về số phiếu dự kiến—đặc biệt dựa trên các khuyến nghị vừa được công bố của ISS và Glass Lewis ủng hộ ban lãnh đạo—chứ không phải là một bản kiểm phiếu chính thức hay danh sách các cổ đông đã nộp phiếu ủy quyền.</w:t>
      </w:r>
    </w:p>
    <w:p>
      <w:pPr>
        <w:spacing w:after="80"/>
      </w:pPr>
      <w:r>
        <w:rPr>
          <w:b w:val="0"/>
          <w:i w:val="0"/>
        </w:rPr>
        <w:t>Bauer và Grau đưa ra những quan điểm trái ngược nhau về lý do tại sao các tỷ lệ phần trăm phiếu dự kiến lại được chia sẻ. Bauer cho rằng “không có mục đích gì để [Grau] gọi cho [ông] với những con số đó” trừ khi Grau muốn ông chia sẻ chúng với các cổ đông. Trái ngược hoàn toàn, Grau làm chứng rằng chính Bauer là người “muốn biết” thông tin đó. Nhất quán với suy nghĩ rằng “Bauer đang làm việc cho [Digirad],” Grau còn làm chứng rằng ông không biết Bauer đang có các cuộc trò chuyện với Taylor của Somerset; rằng ông không có ý định để Bauer truyền đạt những con số này cho các cổ đông; và rằng ông sẽ không đưa cho Bauer các con số phiếu dự kiến nếu ông biết Bauer sẽ chia sẻ thông tin đó với các cổ đông.</w:t>
      </w:r>
    </w:p>
    <w:p>
      <w:pPr>
        <w:spacing w:after="80"/>
      </w:pPr>
      <w:r>
        <w:rPr>
          <w:b w:val="0"/>
          <w:i w:val="0"/>
        </w:rPr>
        <w:t>Tuyên bố sai lệch trọng yếu thứ hai về các bản kiểm phiếu ủy quyền sơ bộ xảy ra trong một cuộc trò chuyện giữa Eberwein và Taylor. Lời khai mâu thuẫn trực tiếp về việc liệu Eberwein có mô tả kết quả bầu cử sơ bộ là một “thắng lợi áp đảo” (landslide) hay không, với Taylor làm chứng rằng Eberwein đã nói vậy và Eberwein làm chứng rằng ông không nói vậy. Bất kể Eberwein có từng nói “thắng lợi áp đảo” hay không, bằng chứng đều nhất quán cho thấy Eberwein không tiết lộ cho Taylor những con số cụ thể, ngoài một đề cập đang gây tranh cãi về một vài quỹ chỉ số (index funds), hay nguồn thông tin cụ thể của ông về các bản kiểm phiếu bầu sơ bộ.</w:t>
      </w:r>
    </w:p>
    <w:p>
      <w:pPr>
        <w:spacing w:after="80"/>
      </w:pPr>
      <w:r>
        <w:rPr>
          <w:b w:val="0"/>
          <w:i w:val="0"/>
        </w:rPr>
        <w:t>Somerset, cùng với ba trong số năm cổ đông lớn nhất khác của Digirad (bao gồm cả Red Oak), đã bỏ phiếu cho danh sách của Red Oak.</w:t>
      </w:r>
    </w:p>
    <w:p>
      <w:pPr>
        <w:spacing w:after="80"/>
      </w:pPr>
      <w:r>
        <w:rPr>
          <w:b w:val="0"/>
          <w:i w:val="0"/>
        </w:rPr>
        <w:t xml:space="preserve">B. </w:t>
      </w:r>
      <w:r>
        <w:rPr>
          <w:b w:val="0"/>
          <w:i/>
        </w:rPr>
        <w:t>Phiếu Ủy quyền Được Nộp cho Cổ phiếu Quỹ của Digirad</w:t>
      </w:r>
    </w:p>
    <w:p>
      <w:pPr>
        <w:spacing w:after="80"/>
      </w:pPr>
      <w:r>
        <w:rPr>
          <w:b w:val="0"/>
          <w:i w:val="0"/>
        </w:rPr>
        <w:t>Vào đầu tháng 4, các đại diện thu thập phiếu ủy quyền đối thủ—Grau của InvestorCom, Inc. đại diện cho Digirad và Peter Casey (“Casey”) của Alliance Advisors đại diện cho Red Oak—nhận thấy một vấn đề về số lượng cổ phiếu được quyền bỏ phiếu tại cuộc Bầu cử. Grau so sánh danh sách ngày chốt quyền (record date) 12 tháng 3 từ Depository Trust Company (“DTC”) với bản tuyên bố ủy quyền của Digirad, điều này tiết lộ cái mà ông mô tả là sự “dư thừa” (overhang) của DTC khoảng 1,075,000 cổ phiếu. Dư thừa có nghĩa là danh sách cổ phiếu Digirad do DTC nắm giữ dưới tên phố (street name) bao gồm nhiều cổ phiếu hơn số cổ phiếu mà Digirad xác định trong bản ủy quyền của mình là đủ điều kiện bỏ phiếu. Casey cũng nhận ra sự dư thừa và hỏi nhóm của Grau liệu sự khác biệt có phải do cổ phiếu quỹ của Digirad hay không. Nhóm của Grau xác nhận vào ngày 8 tháng 4 rằng cổ phiếu quỹ là nguyên nhân của sự chênh lệch, nhưng khi Casey hỏi trong một email trả lời cùng ngày rằng Digirad giữ cổ phiếu quỹ của mình ở đâu, không ai trả lời.</w:t>
      </w:r>
    </w:p>
    <w:p>
      <w:pPr>
        <w:spacing w:after="80"/>
      </w:pPr>
      <w:r>
        <w:rPr>
          <w:b w:val="0"/>
          <w:i w:val="0"/>
        </w:rPr>
        <w:t>Digirad giữ cổ phiếu quỹ đã mua lại từ chương trình mua lại cổ phiếu của mình tại công ty môi giới Raymond James &amp; Co. (“Raymond James”), dường như dưới tên phố. Đến ngày 12 tháng 3, ngày chốt quyền cho cuộc Bầu cử, Digirad giữ 1,073,641 cổ phiếu quỹ với công ty môi giới này. Dan Warnock (“Warnock”), một thành viên trong nhóm tài chính của Keyes, là quản lý kế toán của Digirad chịu trách nhiệm “đảm bảo rằng hoạt động tài chính qua tài khoản [cổ phiếu quỹ Raymond James] là phù hợp.” Trách nhiệm của Warnock bao gồm việc nhận các bảng sao kê định kỳ từ Raymond James về tài khoản này.</w:t>
      </w:r>
    </w:p>
    <w:p>
      <w:pPr>
        <w:spacing w:after="80"/>
      </w:pPr>
      <w:r>
        <w:rPr>
          <w:b w:val="0"/>
          <w:i w:val="0"/>
        </w:rPr>
        <w:t>Vào ngày 9 tháng 4, Warnock nhận được “một email từ Raymond James được chuyển qua Broadridge,” yêu cầu một phiếu ủy quyền cho cuộc Bầu cử. Với ấn tượng rằng có thể cá nhân ông sở hữu cổ phiếu Digirad tại Raymond James, Warnock nhấp vào một liên kết điện tử trong email, liên kết này có lẽ đã dẫn ông đến một trang web mà qua đó ông nộp một phiếu ủy quyền ủng hộ ban lãnh đạo. Như Keyes làm chứng, “[Warnock] không thấy rõ khi mở liên kết rằng có bao nhiêu cổ phiếu . . . sẽ được bỏ phiếu hay việc chúng có thể là cổ phiếu quỹ của công ty.”</w:t>
      </w:r>
    </w:p>
    <w:p>
      <w:pPr>
        <w:spacing w:after="80"/>
      </w:pPr>
      <w:r>
        <w:rPr>
          <w:b w:val="0"/>
          <w:i w:val="0"/>
        </w:rPr>
        <w:t>Đến ít nhất ngày 15 tháng 4, chưa đầy ba tuần trước cuộc Bầu cử, các đại diện thu thập phiếu ủy quyền đã nhận được các báo cáo sơ bộ từ Broadridge. Trong cuộc Bầu cử, chức năng của Broadridge là trở thành một bên thứ ba độc lập tiếp nhận các phiếu ủy quyền và chia sẻ các bảng kiểm phiếu của mình trong các báo cáo định kỳ với Digirad và Red Oak. Tất nhiên, khi ngày càng nhiều cổ đông nộp phiếu ủy quyền mới, các báo cáo sơ bộ của Broadridge thay đổi.</w:t>
      </w:r>
    </w:p>
    <w:p>
      <w:pPr>
        <w:spacing w:after="80"/>
      </w:pPr>
      <w:r>
        <w:rPr>
          <w:b w:val="0"/>
          <w:i w:val="0"/>
        </w:rPr>
        <w:t>Broadridge chỉ cung cấp các báo cáo sơ bộ về cuộc Bầu cử cho các đại diện thu thập phiếu ủy quyền, chứ không cho các cổ đông của Digirad. Grau định dạng lại các báo cáo của Broadridge trước khi gửi chúng cho Digirad, trong khi Casey hoặc chỉ chuyển tiếp hoặc cũng định dạng lại tương tự các báo cáo trước khi chia sẻ chúng với Red Oak. Các báo cáo từ Broadridge không nêu tên các chủ sở hữu hưởng lợi đã nộp phiếu ủy quyền; thay vào đó, chúng liệt kê theo tên phố của đơn vị lưu ký các phiếu ủy quyền đã nộp cho ban lãnh đạo, cho danh sách của Red Oak, và cho việc giữ lại phiếu (withhold). Được trang bị các báo cáo sơ bộ của Broadridge, Grau và Casey, làm việc độc lập, thường có thể tìm ra cách các cổ đông tổ chức, lớn hơn của Digirad đang bỏ phiếu.</w:t>
      </w:r>
    </w:p>
    <w:p>
      <w:pPr>
        <w:spacing w:after="80"/>
      </w:pPr>
      <w:r>
        <w:rPr>
          <w:b w:val="0"/>
          <w:i w:val="0"/>
        </w:rPr>
        <w:t>Digirad và Red Oak đã sử dụng các báo cáo sơ bộ của Broadridge và thông tin cổ đông mà các công ty chuyên vận động đại diện cổ đông (proxy solicitor) của họ thu thập được để xây dựng và tinh chỉnh chiến lược vận động của mình. Grau thừa nhận rằng lời khuyên chiến lược của ông có thể thay đổi đôi chút trong một cuộc bỏ phiếu cụ thể nếu khách hàng của ông dẫn trước với khoảng cách lớn trong các báo cáo sơ bộ, nhưng ông khai rằng, nhìn chung, ông “sẽ không bao giờ ngừng vận động đại diện cổ đông bởi vì chưa kết thúc thì vẫn chưa ngã ngũ.” Ngược lại, Sandberg mô tả chiến lược vận động của Red Oak trong suốt Cuộc bầu cử là một “quá trình linh hoạt” và một phân tích “chi phí[-]lợi ích” phụ thuộc phần lớn vào các kết quả sơ bộ. Ví dụ, Sandberg khai rằng sẽ là một “yếu tố thay đổi cuộc chơi” nếu Red Oak biết rằng các báo cáo Broadridge dẫn đến Cuộc bầu cử là không chính xác.</w:t>
      </w:r>
    </w:p>
    <w:p>
      <w:pPr>
        <w:spacing w:after="80"/>
      </w:pPr>
      <w:r>
        <w:rPr>
          <w:b w:val="0"/>
          <w:i w:val="0"/>
        </w:rPr>
        <w:t>Sau khi Warnock vô tình và không hề hay biết đã bỏ phiếu cho cổ phiếu quỹ, các báo cáo sơ bộ từ Broadridge gửi cho Digirad và Red Oak phản ánh rằng một khối lớn tại Raymond James—hơn một triệu cổ phiếu, khoảng 6% cổ phiếu đang lưu hành của Digirad—đã bỏ phiếu ủng hộ ban lãnh đạo. Đọc các báo cáo Broadridge, cả Grau và Casey có lẽ đều nhận ra rằng một cổ đông lớn như vậy (hoặc một nhóm cổ đông) có thể có giá trị đối với khách hàng tương ứng của họ, và mỗi người bắt đầu tìm cách xác định ai là người sở hữu thực sự (beneficial owner) số cổ phiếu đó.</w:t>
      </w:r>
    </w:p>
    <w:p>
      <w:pPr>
        <w:spacing w:after="80"/>
      </w:pPr>
      <w:r>
        <w:rPr>
          <w:b w:val="0"/>
          <w:i w:val="0"/>
        </w:rPr>
        <w:t>Đến ngày 25 tháng 4, Casey vẫn chưa thể xác định được cổ đông bí ẩn đó. Ngày 26 tháng 4, ông lại hỏi nhóm của Grau rằng Digirad giữ cổ phiếu quỹ của mình ở đâu, nhưng Grau dứt khoát từ chối cung cấp thông tin đó. Grau sau đó khai rằng, vào thời điểm trả lời đó, ông chưa nghĩ rằng cổ phiếu quỹ đã được bỏ phiếu, và hơn nữa, việc cung cấp thông tin bổ sung như vậy không phải là thông lệ trong ngành.</w:t>
      </w:r>
    </w:p>
    <w:p>
      <w:pPr>
        <w:spacing w:after="80"/>
      </w:pPr>
      <w:r>
        <w:rPr>
          <w:b w:val="0"/>
          <w:i w:val="0"/>
        </w:rPr>
        <w:t>Khoảng thời gian này, Grau bắt đầu có chút may mắn trong việc khám phá ai sở hữu cổ phiếu Raymond James. Ngày 24 tháng 4, ông đã hỏi về việc Clyde giữ cổ phiếu cá nhân của mình ở đâu, nghĩ rằng khối lớn đó có thể thuộc sở hữu của một người nội bộ. Clyde lưu ý rằng ông giữ một số cổ phiếu với một công ty môi giới và phần còn lại được giữ tại Raymond James. Grau sau đó đề nghị Clyde kết nối ông với ai đó tại Raymond James, người có thể trả lời một số câu hỏi của ông.</w:t>
      </w:r>
    </w:p>
    <w:p>
      <w:pPr>
        <w:spacing w:after="80"/>
      </w:pPr>
      <w:r>
        <w:rPr>
          <w:b w:val="0"/>
          <w:i w:val="0"/>
        </w:rPr>
        <w:t>Riêng trong một email vào sáng ngày 26 tháng 4, Grau hỏi Keyes liệu Digirad có giữ cổ phiếu quỹ của mình tại Raymond James không. Trước khi Keyes trả lời câu hỏi, Grau đã gửi email cho Eberwein, Clyde và Keyes để thông báo rằng ông đang trở nên “lo ngại rằng vì lý do nào đó Raymond James đã bỏ phiếu cho 1.000.000 cổ phiếu đang được giữ trong quỹ như một phần của việc mua lại cổ phiếu.” Trong một email ngày 27 tháng 4 gửi cho Keyes, Grau dường như đã kết luận rằng Raymond James đã bỏ phiếu cho cổ phiếu quỹ của Digirad. Không ai trong số Eberwein, Clyde hoặc Keyes vào thời điểm đó dường như đã thông báo cho bất kỳ ai khác tại Digirad về lá phiếu đại diện được nộp cho cổ phiếu quỹ.</w:t>
      </w:r>
    </w:p>
    <w:p>
      <w:pPr>
        <w:spacing w:after="80"/>
      </w:pPr>
      <w:r>
        <w:rPr>
          <w:b w:val="0"/>
          <w:i w:val="0"/>
        </w:rPr>
        <w:t>Trong cùng email gửi cho Keyes, Grau giải thích rằng ông sẽ “loại trừ” cổ phiếu quỹ khỏi các cập nhật trong tương lai, dựa trên các báo cáo sơ bộ của Broadridge, mà ông sẽ gửi cho Digirad. Để rõ ràng, các báo cáo sơ bộ của Broadridge mà Grau và Casey nhận được vẫn phản ánh khoảng một triệu cổ phiếu quỹ tại Raymond James bỏ phiếu ủng hộ ban lãnh đạo, nhưng Grau đã “loại nó ra khỏi báo cáo bỏ phiếu của [mình] và mọi thư từ khác gửi đến [Digirad].” Casey không có cùng hiểu biết đó; ông và Red Oak vẫn hoạt động dựa trên giả định rằng các báo cáo Broadridge phản ánh các lá phiếu đại diện được nộp cho cổ phiếu có quyền biểu quyết.</w:t>
      </w:r>
    </w:p>
    <w:p>
      <w:pPr>
        <w:spacing w:after="80"/>
      </w:pPr>
      <w:r>
        <w:rPr>
          <w:b w:val="0"/>
          <w:i w:val="0"/>
        </w:rPr>
        <w:t>Keyes đã nhiều lần khai rằng ông không biết chắc chắn vào bất kỳ thời điểm nào trước Cuộc bầu cử rằng một lá phiếu đại diện đã được nộp cho cổ phiếu quỹ. Tuy nhiên, quyết định của Grau loại khối Raymond James ra khỏi các cập nhật trong tương lai gửi cho Digirad cho thấy ít nhất ông khá tin chắc rằng cổ phiếu quỹ đã được bỏ phiếu, và Keyes cùng Digirad vẫn tiếp tục dựa vào Grau trong suốt Cuộc bầu cử.</w:t>
      </w:r>
    </w:p>
    <w:p>
      <w:pPr>
        <w:spacing w:after="80"/>
      </w:pPr>
      <w:r>
        <w:rPr>
          <w:b w:val="0"/>
          <w:i w:val="0"/>
        </w:rPr>
        <w:t>Ngay sau đó, Keyes có một cuộc trò chuyện với thanh tra bầu cử độc lập, được ghi lại trong một lá thư ngày 1 tháng 5, trong đó ông thông báo cho thanh tra rằng Digirad có 1.073.641 cổ phiếu quỹ được giữ tại Raymond James, số cổ phiếu này “không nên được coi là đang lưu hành cho mục đích của Cuộc họp Thường niên năm 2013 của [Digirad].” Keyes khai rằng ông cho rằng thông báo cho thanh tra độc lập là một cách thích hợp để đạt được “một kết quả bỏ phiếu chính xác”; ông cũng khai rằng Digirad vẫn chưa thông báo cho Broadridge, Red Oak hoặc Casey về việc nghi ngờ cổ phiếu quỹ đã được bỏ phiếu.</w:t>
      </w:r>
    </w:p>
    <w:p>
      <w:pPr>
        <w:spacing w:after="80"/>
      </w:pPr>
      <w:r>
        <w:rPr>
          <w:b w:val="0"/>
          <w:i w:val="0"/>
        </w:rPr>
        <w:t>Lá phiếu tranh cử ngày 2 tháng 5 do Broadridge phát hành vẫn bao gồm cổ phiếu quỹ bỏ phiếu ủng hộ ban lãnh đạo. Dựa trên lá phiếu tranh cử đó và báo cáo bổ sung vào sáng ngày Bầu cử, Sandberg đã gửi email cho danh sách ứng viên của mình vào ngày 3 tháng 5 để thông báo rằng họ đã thua “với tỷ lệ xấp xỉ 46% so với 34%.” Email quy kết thất bại là “do mất ISS”; tuy nhiên, như Sandberg đã khai, ông không biết cho đến sau Cuộc bầu cử về cái được cho là “yếu tố thay đổi cuộc chơi”—rằng các báo cáo Broadridge đã liệt kê một lá phiếu đại diện được nộp cho cổ phiếu quỹ của Digirad. Tại phiên tòa, mặc dù Sandberg thừa nhận tầm quan trọng của khuyến nghị ISS trong cuộc tranh cử đại diện, ông vẫn khăng khăng rằng “nếu [Red Oak] biết rằng cuộc bỏ phiếu sát sao hơn thông tin [Broadridge] mà [nó] đang nhận được và [nó] đã vận động mạnh mẽ hơn, [ông] nghĩ [Red Oak] đã thắng.”</w:t>
      </w:r>
    </w:p>
    <w:p>
      <w:pPr>
        <w:spacing w:after="80"/>
      </w:pPr>
      <w:r>
        <w:rPr>
          <w:b w:val="0"/>
          <w:i w:val="0"/>
        </w:rPr>
        <w:t>Ngày 10 tháng 5, Digirad công bố kết quả cuối cùng của Cuộc bầu cử. Thanh tra độc lập xác nhận rằng Hội đồng quản trị đã được bầu lại trước danh sách ứng viên của Red Oak với tỷ lệ 40% so với 34%. Khoảng cách 6% giữa email ngày 3 tháng 5 của Sandberg ghi kết quả 46%–34% và kết quả bỏ phiếu cuối cùng ngày 10 tháng 5 là 40%–34% chính là cổ phiếu quỹ của Digirad mà có thể không được tính hợp pháp trong một cuộc bỏ phiếu cổ đông.</w:t>
      </w:r>
    </w:p>
    <w:p>
      <w:pPr>
        <w:spacing w:after="80"/>
      </w:pPr>
      <w:r>
        <w:rPr>
          <w:b w:val="0"/>
          <w:i w:val="0"/>
        </w:rPr>
        <w:t>* * *</w:t>
      </w:r>
    </w:p>
    <w:p>
      <w:pPr>
        <w:spacing w:after="80"/>
      </w:pPr>
      <w:r>
        <w:rPr>
          <w:b w:val="0"/>
          <w:i w:val="0"/>
        </w:rPr>
        <w:t xml:space="preserve">A. </w:t>
      </w:r>
      <w:r>
        <w:rPr>
          <w:b w:val="0"/>
          <w:i/>
        </w:rPr>
        <w:t>Các Kết quả Sơ bộ của Cuộc bầu cử</w:t>
      </w:r>
    </w:p>
    <w:p>
      <w:pPr>
        <w:spacing w:after="80"/>
      </w:pPr>
      <w:r>
        <w:rPr>
          <w:b w:val="0"/>
          <w:i w:val="0"/>
        </w:rPr>
        <w:t>Red Oak lập luận rằng các Bị đơn đã đưa ra những tuyên bố gây hiểu lầm trọng yếu trước Cuộc bầu cử bằng cách chia sẻ thông tin không công khai về các kết quả sơ bộ theo hai cách: việc Grau chia sẻ các dự đoán bỏ phiếu với Bauer và việc Eberwein đưa ra những dự đoán đầy tự tin với Taylor.</w:t>
      </w:r>
    </w:p>
    <w:p>
      <w:pPr>
        <w:spacing w:after="80"/>
      </w:pPr>
      <w:r>
        <w:rPr>
          <w:b w:val="0"/>
          <w:i w:val="0"/>
        </w:rPr>
        <w:t>Tòa án trước tiên xác định rằng các tuyên bố của Grau không mang tính trọng yếu. Cả Grau và Bauer đều thừa nhận rằng chúng phản ánh các lá phiếu đại diện dự kiến của Digirad, chứ không phải các lá phiếu thực tế. Grau khai rằng ông không “thổi phồng khoảng cách dẫn trước” trong những cuộc trò chuyện này bằng cách bao gồm cổ phiếu quỹ. Ưu thế của bằng chứng cho thấy rằng những cuộc trò chuyện này không nhằm mục đích được chia sẻ với cổ đông và không được thực hiện với bất kỳ hiểu biết nào rằng Bauer sẽ chia sẻ thông tin với cổ đông. Chúng được thực hiện với ý định hoàn toàn ngược lại—Grau nghĩ rằng Bauer đang làm việc cho Digirad.</w:t>
      </w:r>
    </w:p>
    <w:p>
      <w:pPr>
        <w:spacing w:after="80"/>
      </w:pPr>
      <w:r>
        <w:rPr>
          <w:b w:val="0"/>
          <w:i w:val="0"/>
        </w:rPr>
        <w:t>Tương tự, Tòa án xác định rằng các tuyên bố của Eberwein không mang tính trọng yếu. Lời khai mâu thuẫn về việc liệu có bất kỳ bình luận nào về “thắng lợi áp đảo” được đưa ra hay không, và mặc dù Eberwein có thể đã đề cập tên một số quỹ nhất định, ưu thế của bằng chứng không cho thấy rằng Eberwein đã nói với Taylor về các lá phiếu đại diện thực tế được nộp bởi bất kỳ cổ đông cụ thể nào.</w:t>
      </w:r>
    </w:p>
    <w:p>
      <w:pPr>
        <w:spacing w:after="80"/>
      </w:pPr>
      <w:r>
        <w:rPr>
          <w:b w:val="0"/>
          <w:i w:val="0"/>
        </w:rPr>
        <w:t>Lập luận cuối cùng của Red Oak là những tuyên bố này đã tạo ra một quá trình bầu cử không công bằng vì tình trạng của Digirad là một công ty vốn hóa siêu nhỏ (microcap). Sandberg khai rằng ngay cả những gợi ý với cổ đông về kết quả sơ bộ mạnh mẽ cho ban lãnh đạo trong một cuộc bầu cử của một công ty đại chúng có quy mô như Digirad cũng có thể có ít nhất hai tác động gây bất lợi: chúng có thể “gây áp lực buộc một số cổ đông không muốn bỏ phiếu chống lại phe rõ ràng đang thắng,” và chúng thậm chí có thể “khiến cổ đông không muốn bỏ phiếu chút nào.” Động thái tiềm ẩn khó khăn giữa ban lãnh đạo và cổ đông này không biện minh cho việc buộc các công ty vốn hóa siêu nhỏ phải chịu thêm nghĩa vụ ủy thác (fiduciary duty) hoặc yêu cầu thêm các biện pháp bảo vệ chống lại một quá trình bầu cử không công bằng.</w:t>
      </w:r>
    </w:p>
    <w:p>
      <w:pPr>
        <w:spacing w:after="80"/>
      </w:pPr>
      <w:r>
        <w:rPr>
          <w:b w:val="0"/>
          <w:i w:val="0"/>
        </w:rPr>
        <w:t>Vì tính toàn vẹn của quá trình bầu cử là một phần thiết yếu trong nền tảng của luật doanh nghiệp Delaware, nên Tòa án rất coi trọng các cáo buộc về một quá trình bầu cử không công bằng do việc công bố thông tin gây nhầm lẫn hoặc không đầy đủ. Nhưng Tòa án cũng không xem nhẹ việc tuyên bố một cuộc bầu cử là vô hiệu hoặc áp đặt biện pháp khắc phục công bằng là ra lệnh tổ chức một cuộc bầu cử mới. Các cuộc bầu cử công bằng nên dựa trên việc công bố mọi thông tin trọng yếu cho các cổ đông, nhưng ở đây Tòa án không thể tuyên bố Cuộc bầu cử vô hiệu vì thiếu công bố thông tin đầy đủ dựa trên những suy đoán về các cáo buộc sai lệch mà không được chứng minh bằng sự vượt trội của chứng cứ. Những cáo buộc sai lệch này không làm cho Cuộc bầu cử trở nên vô hiệu.</w:t>
      </w:r>
    </w:p>
    <w:p>
      <w:pPr>
        <w:spacing w:after="80"/>
      </w:pPr>
      <w:r>
        <w:rPr>
          <w:b w:val="0"/>
          <w:i w:val="0"/>
        </w:rPr>
        <w:t xml:space="preserve">B. </w:t>
      </w:r>
      <w:r>
        <w:rPr>
          <w:b w:val="0"/>
          <w:i/>
        </w:rPr>
        <w:t>Giấy ủy quyền cho cổ phiếu quỹ và các báo cáo sơ bộ của</w:t>
      </w:r>
      <w:r>
        <w:rPr>
          <w:b w:val="0"/>
          <w:i w:val="0"/>
        </w:rPr>
        <w:t xml:space="preserve"> Broadridge </w:t>
      </w:r>
    </w:p>
    <w:p>
      <w:pPr>
        <w:spacing w:after="80"/>
      </w:pPr>
      <w:r>
        <w:rPr>
          <w:b w:val="0"/>
          <w:i w:val="0"/>
        </w:rPr>
        <w:t>Tiếp theo, Red Oak lập luận rằng các Bị đơn đã vi phạm nghĩa vụ tín thác của họ và tạo ra một quá trình bầu cử không công bằng bằng cách không công bố một cách khẳng định cho Red Oak, với tư cách cá nhân, hoặc cùng với các cổ đông còn lại của Digirad, rằng các báo cáo của Broadridge là không chính xác. Theo ý kiến của Sandberg, việc biết rằng lợi thế sơ bộ 12% của ban quản lý lẽ ra chỉ nên là 6% sẽ là một "bước ngoặt" đối với chiến lược vận động ủy quyền của Red Oak.</w:t>
      </w:r>
    </w:p>
    <w:p>
      <w:pPr>
        <w:spacing w:after="80"/>
      </w:pPr>
      <w:r>
        <w:rPr>
          <w:b w:val="0"/>
          <w:i w:val="0"/>
        </w:rPr>
        <w:t xml:space="preserve">Các chứng cứ không chứng minh rằng các Bị đơn đã khiến cổ phiếu quỹ được giữ tại Raymond James bị đem ra bỏ phiếu. Chỉ sau khi Red Oak khởi kiện vụ này và quá trình thu thập chứng cứ diễn ra sau đó, các Bị đơn mới biết được cách một giấy ủy quyền đã được nộp cho cổ phiếu quỹ như thế nào. Điều còn bỏ ngỏ, hoặc ít nhất là không được tiết lộ trong quá trình tố tụng này, là chính xác làm thế nào Raymond James lại đi vận động một giấy ủy quyền cho cổ phiếu quỹ của Digirad. Nhưng điều rõ ràng từ các chứng cứ là không thể nói rằng các Bị đơn đã trực tiếp gây ra việc bỏ phiếu cho cổ phiếu quỹ. Keyes đã làm chứng rằng không ai chỉ thị cho Warnock bỏ phiếu cho cổ phiếu quỹ. Như Red Oak đã thừa nhận, việc bỏ phiếu là "vô tình", và không có chứng cứ nào mâu thuẫn với kết luận này. Chắc chắn rằng, việc một công ty giữ cổ phiếu quỹ dưới tên phố (street name) tại một công ty môi giới bán lẻ, rồi sau đó công ty này vận động một giấy ủy quyền cho cổ phiếu quỹ của mình, là không đạt "thông lệ tốt nhất" về quản trị, nhưng ngay cả "chính sách rất bất thường là duy trì các cổ phiếu [quỹ] của mình dưới tên phố tại một tài khoản môi giới bán lẻ" cũng không phải là một hành vi doanh nghiệp bất hợp pháp </w:t>
      </w:r>
      <w:r>
        <w:rPr>
          <w:b w:val="0"/>
          <w:i/>
        </w:rPr>
        <w:t>đương nhiên</w:t>
      </w:r>
      <w:r>
        <w:rPr>
          <w:b w:val="0"/>
          <w:i w:val="0"/>
        </w:rPr>
        <w:t>.</w:t>
      </w:r>
    </w:p>
    <w:p>
      <w:pPr>
        <w:spacing w:after="80"/>
      </w:pPr>
      <w:r>
        <w:rPr>
          <w:b w:val="0"/>
          <w:i w:val="0"/>
        </w:rPr>
        <w:t>Câu hỏi pháp lý bao trùm ở đây là liệu các Bị đơn có vi phạm nghĩa vụ tín thác của họ hoặc tạo ra một quá trình bầu cử không công bằng bằng cách không thông báo cho Red Oak về sự nghi ngờ của họ hay không. Theo Red Oak, nghĩa vụ này sẽ phát sinh khi các Bị đơn biết, hoặc ít nhất bắt đầu hành động dựa trên giả định, rằng Raymond James đã bỏ phiếu cho cổ phiếu quỹ, mà Tòa án xác định là vào thời điểm email ngày 27 tháng 4 của Grau gửi cho Keyes. Theo lý thuyết này, việc được cho là đã "gây nhầm lẫn" cho Red Oak đặt ra câu hỏi về tính công bằng của cuộc bầu cử. Điều này đặt ra một câu hỏi mới lạ.</w:t>
      </w:r>
    </w:p>
    <w:p>
      <w:pPr>
        <w:spacing w:after="80"/>
      </w:pPr>
      <w:r>
        <w:rPr>
          <w:b w:val="0"/>
          <w:i w:val="0"/>
        </w:rPr>
        <w:t>Lập luận cho rằng có nghĩa vụ công bố thông tin như vậy cho một cổ đông để sử dụng trong chiến lược vận động ủy quyền của mình là không thuyết phục. Nó xung đột với các nguyên tắc đã được thiết lập vững chắc rằng việc công bố thông tin trọng yếu, khi được luật Delaware yêu cầu vì các giám đốc tìm kiếm hành động của cổ đông, phải được thực hiện cho tất cả các cổ đông để thông tin cho các quyết định bỏ phiếu của họ. Do đó, nếu Hội đồng quản trị có nghĩa vụ với Red Oak là công bố rằng các báo cáo của Broadridge là không chính xác, thì đó phải là nghĩa vụ mà Hội đồng quản trị nợ tất cả các cổ đông.</w:t>
      </w:r>
    </w:p>
    <w:p>
      <w:pPr>
        <w:spacing w:after="80"/>
      </w:pPr>
      <w:r>
        <w:rPr>
          <w:b w:val="0"/>
          <w:i w:val="0"/>
        </w:rPr>
        <w:t>Không có thẩm quyền nào của Delaware được trích dẫn ủng hộ quan điểm rằng Hội đồng quản trị có nghĩa vụ tín thác phải công bố cho các cổ đông của mình hoặc các báo cáo của Broadridge hoặc việc bỏ phiếu cho cổ phiếu quỹ, điều chỉ có thể thấy được trong các báo cáo. Red Oak đã thừa nhận rằng Broadridge không cung cấp các báo cáo sơ bộ này cho công chúng hoặc cho các cổ đông của Digirad. Các cuộc tranh giành ủy quyền diễn ra mọi lúc mà không cần ban quản lý công bố các báo cáo kiểm phiếu ủy quyền sơ bộ, và Tòa án không muốn tìm ra một sự vi phạm nghĩa vụ tín thác trong hoàn cảnh này đối với một thông lệ phổ biến và vô hại như vậy mà không có một lập luận cực kỳ thuyết phục bắt nguồn từ luật Delaware, điều mà Red Oak đã không đưa ra. Vì Digirad chưa bao giờ công bố một cách khẳng định các báo cáo sơ bộ của Broadridge cho tất cả các cổ đông, hoặc thậm chí cho một số cổ đông (như Red Oak), nên cũng không thể nói rằng Digirad đã đảm nhận nghĩa vụ công bố liệu các báo cáo có còn chính xác hay không. Kiểu bất đối xứng thông tin này có vẻ là một sai lầm trung thực và đáng tiếc, chứ không phải là bất cứ điều gì gần với hành vi sai trái cố ý.</w:t>
      </w:r>
    </w:p>
    <w:p>
      <w:pPr>
        <w:spacing w:after="80"/>
      </w:pPr>
      <w:r>
        <w:rPr>
          <w:b w:val="0"/>
          <w:i w:val="0"/>
        </w:rPr>
        <w:t>Theo đó, Hội đồng quản trị không có nghĩa vụ tín thác phải công bố cho Red Oak rằng một số thành viên của họ có thể đã biết, hoặc ít nhất đã giả định, rằng các báo cáo sơ bộ của Broadridge không phản ánh chính xác số cổ phiếu thực sự có thể được bỏ phiếu tại Cuộc bầu cử. Các báo cáo sơ bộ của Broadridge là "sơ bộ" theo chính các điều khoản của chúng—nghĩa là chúng có thể thay đổi và do đó có thể không chính xác. Tòa án không tin rằng việc đảm bảo tính chính xác của các báo cáo này, mà không có sự chứng minh về điều gì đó tương tự như hành vi sai trái cố ý hoặc việc tự nguyện công bố cho các cổ đông, là một vấn đề thuộc luật Delaware. Do đó, các Bị đơn đã không vi phạm nghĩa vụ tín thác của họ ở đây theo bất kỳ cách nào có thể biện minh cho một cuộc bầu cử mới.</w:t>
      </w:r>
    </w:p>
    <w:p>
      <w:pPr>
        <w:spacing w:after="80"/>
      </w:pPr>
      <w:r>
        <w:rPr>
          <w:b w:val="0"/>
          <w:i w:val="0"/>
        </w:rPr>
        <w:t>Hơn nữa, Red Oak đã không chứng minh được lý do tại sao Tòa án nên tuyên bố một quá trình bầu cử không công bằng vì việc Red Oak dựa vào các báo cáo sơ bộ không chính xác của Broadridge. Đó là một cơ sở quá mang tính suy đoán để vô hiệu hóa một cuộc bầu cử bằng cách lập luận rằng chiến lược vận động của một người lẽ ra đã khác nếu người đó biết vào lúc đó những gì người đó biết bây giờ. Biện pháp khắc phục theo Mục 225 mà không dựa trên sự vi phạm nghĩa vụ tín thác sẽ đòi hỏi phải chứng minh một quá trình bầu cử không công bằng đối với các cổ đông—và Red Oak đã không chứng minh bằng sự vượt trội của chứng cứ rằng làm thế nào một chiến lược vận động ủy quyền dựa trên các báo cáo sơ bộ của Broadridge liệt kê không chính xác số cổ phiếu quỹ của Digirad được nộp ủy quyền một cách vô tình lại cấu thành một quá trình bầu cử không công bằng đối với toàn thể các cổ đông, ngay cả khi sự bất đối xứng thông tin đó gây bất lợi cho Red Oak. Việc bỏ phiếu vô tình cho cổ phiếu quỹ và việc không công bố rằng các báo cáo của Broadridge là không chính xác không làm cho Cuộc bầu cử trở nên vô hiệu.</w:t>
      </w:r>
    </w:p>
    <w:p>
      <w:pPr>
        <w:spacing w:after="80"/>
      </w:pPr>
      <w:r>
        <w:rPr>
          <w:b w:val="0"/>
          <w:i w:val="0"/>
        </w:rPr>
        <w:t>* * *</w:t>
      </w:r>
    </w:p>
    <w:p>
      <w:pPr>
        <w:spacing w:after="80"/>
      </w:pPr>
      <w:r>
        <w:rPr>
          <w:b/>
          <w:i w:val="0"/>
        </w:rPr>
        <w:t>VI. KẾT LUẬN</w:t>
      </w:r>
    </w:p>
    <w:p>
      <w:pPr>
        <w:spacing w:after="80"/>
      </w:pPr>
      <w:r>
        <w:rPr>
          <w:b w:val="0"/>
          <w:i w:val="0"/>
        </w:rPr>
        <w:t>Vì những lý do nêu trên, Tòa án nhận thấy rằng Hội đồng quản trị đã không vi phạm nghĩa vụ tín thác của mình bằng cách đưa ra bất kỳ tuyên bố sai lệch trọng yếu hoặc thiếu sót nào trong Cuộc bầu cử. Ngoài ra, Tòa án nhận thấy rằng Red Oak đã không chứng minh được rằng các Bị đơn bằng cách nào đó khác đã tạo ra một quá trình bầu cử không công bằng. Do đó, Tòa án nhận thấy Cuộc bầu cử là hợp lệ, và các Bị đơn được quyền có phán quyết có lợi cho họ.</w:t>
      </w:r>
    </w:p>
    <w:p>
      <w:pPr>
        <w:spacing w:after="80"/>
      </w:pPr>
      <w:r>
        <w:rPr>
          <w:b w:val="0"/>
          <w:i w:val="0"/>
        </w:rPr>
        <w:t>Một lệnh thi hành sẽ được ban hành.</w:t>
      </w:r>
    </w:p>
    <w:p>
      <w:pPr>
        <w:spacing w:after="80"/>
      </w:pPr>
      <w:r>
        <w:rPr>
          <w:b w:val="0"/>
          <w:i w:val="0"/>
        </w:rPr>
        <w:t>—————</w:t>
      </w:r>
    </w:p>
    <w:p>
      <w:pPr>
        <w:pStyle w:val="Heading5"/>
      </w:pPr>
      <w:r>
        <w:rPr>
          <w:rFonts w:ascii="Calibri" w:hAnsi="Calibri"/>
          <w:b/>
          <w:i/>
          <w:sz w:val="22"/>
        </w:rPr>
        <w:t>Bình luận và Câu hỏi</w:t>
      </w:r>
    </w:p>
    <w:p>
      <w:pPr>
        <w:spacing w:after="80"/>
      </w:pPr>
      <w:r>
        <w:rPr>
          <w:b w:val="0"/>
          <w:i w:val="0"/>
        </w:rPr>
        <w:t>1. Chính xác thì kết quả "bỏ phiếu tạm thời" là gì? Ai sở hữu thông tin đó và làm thế nào nó lại lọt vào tay Broadridge?</w:t>
      </w:r>
    </w:p>
    <w:p>
      <w:pPr>
        <w:spacing w:after="80"/>
      </w:pPr>
      <w:r>
        <w:rPr>
          <w:b w:val="0"/>
          <w:i w:val="0"/>
        </w:rPr>
        <w:t>2. Giá trị của thông tin bỏ phiếu tạm thời trong một cuộc tranh chấp là gì? Nó có thể ảnh hưởng đến kết quả của một cuộc chiến ủy quyền như thế nào?</w:t>
      </w:r>
    </w:p>
    <w:p>
      <w:pPr>
        <w:spacing w:after="80"/>
      </w:pPr>
      <w:r>
        <w:rPr>
          <w:b w:val="0"/>
          <w:i w:val="0"/>
        </w:rPr>
        <w:t>3. Bạn có đồng ý với quyết định của tòa án không? Ai đã tạo ra lỗi trong dữ liệu tạm thời trong trường hợp này? Có cách nào để đảm bảo tính chính xác của thông tin mà không yêu cầu công ty tiết lộ lỗi cho Red Oak không?</w:t>
      </w:r>
    </w:p>
    <w:p>
      <w:pPr>
        <w:spacing w:after="80"/>
      </w:pPr>
      <w:r>
        <w:rPr>
          <w:b w:val="0"/>
          <w:i w:val="0"/>
        </w:rPr>
        <w:t xml:space="preserve">4. Trong trường hợp này, Broadridge đã cung cấp thông tin bỏ phiếu tạm thời cho cả hai bên trong cuộc tranh chấp ủy quyền. Có nên có bất kỳ giới hạn nào đối với quyền của cổ đông được nhận thông tin bỏ phiếu tạm thời hoặc sơ bộ không? Các nhà môi giới được miễn trừ khỏi các quy tắc ủy quyền liên quan đến việc chuyển tiếp tài liệu cho chủ sở hữu theo tên đường phố theo Quy tắc 14a-2(a). Tuy nhiên, việc miễn trừ này phụ thuộc vào việc nhà môi giới (và đại lý của họ) không làm gì hơn ngoài việc yêu cầu chỉ dẫn bỏ phiếu một cách "công bằng". Liệu yêu cầu về tính công bằng này có áp dụng cho việc tiết lộ thông tin bỏ phiếu tạm thời phát sinh từ việc thu thập chỉ dẫn bỏ phiếu không? Ủy ban Cố vấn Nhà đầu tư của SEC đã đưa ra quan điểm rằng có. </w:t>
      </w:r>
      <w:r>
        <w:rPr>
          <w:b w:val="0"/>
          <w:i/>
        </w:rPr>
        <w:t>Xem</w:t>
      </w:r>
      <w:r>
        <w:rPr>
          <w:b w:val="0"/>
          <w:i w:val="0"/>
        </w:rPr>
        <w:t xml:space="preserve"> Recommendations of the Investor as Owner Subcommittee: Impartiality in the Disclosure of Preliminary Voting Results, Investor Advisory Committee, Oct. 9, 2014, available at http://www.sec.gov/spotlight/investor-advisory-committee-2012/investor-as-owner-impartiality.pdf .</w:t>
      </w:r>
    </w:p>
    <w:p>
      <w:pPr>
        <w:pStyle w:val="Heading3"/>
      </w:pPr>
      <w:r>
        <w:rPr>
          <w:rFonts w:ascii="Calibri" w:hAnsi="Calibri"/>
          <w:b/>
          <w:i w:val="0"/>
          <w:sz w:val="26"/>
        </w:rPr>
        <w:t>D. Các cuộc tranh chấp ủy quyền và thuốc độc</w:t>
      </w:r>
    </w:p>
    <w:p>
      <w:pPr>
        <w:spacing w:after="80"/>
      </w:pPr>
      <w:r>
        <w:rPr>
          <w:b/>
          <w:i w:val="0"/>
        </w:rPr>
        <w:t>Những tác động kỷ luật của các cuộc tranh chấp ủy quyền</w:t>
      </w:r>
    </w:p>
    <w:p>
      <w:pPr>
        <w:spacing w:after="80"/>
      </w:pPr>
      <w:r>
        <w:rPr>
          <w:b w:val="0"/>
          <w:i w:val="0"/>
        </w:rPr>
        <w:t xml:space="preserve">Thuốc độc ban đầu được đưa ra để ngăn chặn các cuộc thâu tóm thù địch. Tuy nhiên, các chiến thuật phòng thủ ngày càng được sử dụng nhiều hơn trong bối cảnh các cuộc tranh chấp ủy quyền. Khung phân tích để thách thức thuốc độc vẫn là quy tắc phán đoán kinh doanh được sửa đổi lần đầu tiên được đặt ra trong </w:t>
      </w:r>
      <w:r>
        <w:rPr>
          <w:b w:val="0"/>
          <w:i/>
        </w:rPr>
        <w:t>Unocal.</w:t>
      </w:r>
      <w:r>
        <w:rPr>
          <w:b w:val="0"/>
          <w:i w:val="0"/>
        </w:rPr>
        <w:t xml:space="preserve"> Tuy nhiên, các tòa án đã định hình phân tích để phù hợp với hoàn cảnh của một cuộc tranh chấp ủy quyền, như trường hợp tiếp theo minh họa.</w:t>
      </w:r>
    </w:p>
    <w:p>
      <w:pPr>
        <w:pStyle w:val="Heading4"/>
      </w:pPr>
      <w:r>
        <w:rPr>
          <w:rFonts w:ascii="Calibri" w:hAnsi="Calibri"/>
          <w:b/>
          <w:i w:val="0"/>
          <w:sz w:val="23"/>
        </w:rPr>
        <w:t>Unitrin Inc. v. American General Corp.</w:t>
      </w:r>
    </w:p>
    <w:p>
      <w:pPr>
        <w:spacing w:after="80"/>
      </w:pPr>
      <w:r>
        <w:rPr>
          <w:b w:val="0"/>
          <w:i w:val="0"/>
        </w:rPr>
        <w:t>Tòa án Tối cao Delaware</w:t>
      </w:r>
      <w:r>
        <w:br/>
      </w:r>
      <w:r>
        <w:rPr>
          <w:b w:val="0"/>
          <w:i w:val="0"/>
        </w:rPr>
        <w:t xml:space="preserve"> 651 A.2d 1361 (1995)</w:t>
      </w:r>
    </w:p>
    <w:p>
      <w:pPr>
        <w:spacing w:after="80"/>
      </w:pPr>
      <w:r>
        <w:rPr>
          <w:b w:val="0"/>
          <w:i w:val="0"/>
        </w:rPr>
        <w:t>HOLLAND , THẨM PHÁN :</w:t>
      </w:r>
    </w:p>
    <w:p>
      <w:pPr>
        <w:spacing w:after="80"/>
      </w:pPr>
      <w:r>
        <w:rPr>
          <w:b w:val="0"/>
          <w:i w:val="0"/>
        </w:rPr>
        <w:t xml:space="preserve">[American General đã đưa ra đề nghị mua lại Unitrin. Unitrin đã phản hồi bằng cách áp dụng một loại thuốc độc và một chương trình mua lại cổ phần. Chương trình mua lại liên quan đến việc Unitrin mua lại tối đa 10 triệu cổ phiếu của chính mình. Kết quả của việc mua lại, tỷ lệ cổ phần do các giám đốc của Unitrin nắm giữ sẽ tăng từ 23% lên 28%. Tòa án Chancery phát hiện rằng, theo </w:t>
      </w:r>
      <w:r>
        <w:rPr>
          <w:b w:val="0"/>
          <w:i/>
        </w:rPr>
        <w:t>Unocal</w:t>
      </w:r>
      <w:r>
        <w:rPr>
          <w:b w:val="0"/>
          <w:i w:val="0"/>
        </w:rPr>
        <w:t xml:space="preserve"> , kế hoạch mua lại không hợp lý so với mối đe dọa đặt ra. Trên thực tế, tòa án cấp dưới lập luận rằng, với thuốc độc đã được áp dụng, kế hoạch mua lại là "không cần thiết". Khi kháng cáo, Tòa án Tối cao không đồng ý và đảo ngược.]</w:t>
      </w:r>
    </w:p>
    <w:p>
      <w:pPr>
        <w:spacing w:after="80"/>
      </w:pPr>
      <w:r>
        <w:rPr>
          <w:b w:val="0"/>
          <w:i w:val="0"/>
        </w:rPr>
        <w:t>* * *</w:t>
      </w:r>
    </w:p>
    <w:p>
      <w:pPr>
        <w:spacing w:after="80"/>
      </w:pPr>
      <w:r>
        <w:rPr>
          <w:b w:val="0"/>
          <w:i w:val="0"/>
        </w:rPr>
        <w:t>Việc xem xét các trường hợp áp dụng Unocal cho thấy mối tương quan trực tiếp giữa các phát hiện về tính tương xứng hoặc không tương xứng và quyết định tư pháp về việc liệu một phản ứng phòng thủ có mang tính khắc nghiệt hay không vì nó có tính chất cưỡng chế hoặc ngăn chặn. Trong Time, ví dụ, Tòa án này kết luận rằng phản ứng phòng thủ của hội đồng quản trị Time là hợp lý và tương xứng vì nó không nhằm mục đích 'ép buộc' cổ đông của mình chấp nhận một phương án do ban quản lý đề xuất, tức là không có tính cưỡng chế, và vì nó không ngăn cản Paramount đưa ra đề nghị cho công ty Time-Warner kết hợp, tức là không có tính ngăn chặn. Xem Paramount Communications, Inc. v. Time, Inc., Del. Supr., 571 A.2d 1140, 1154–55 (1990) (trích dẫn để so sánh như các phản ứng không tương xứng mang tính cưỡng chế hoặc ngăn chặn Mills Acquisition Co. v. Macmillan, Inc., Del. Supr., 559 A.2d 1261 (1989), và AC Acquisitions Corp. v. Anderson, Clayton &amp; Co., Del. Ch., 519 A.2d 103 (1986)).</w:t>
      </w:r>
    </w:p>
    <w:p>
      <w:pPr>
        <w:spacing w:after="80"/>
      </w:pPr>
      <w:r>
        <w:rPr>
          <w:b w:val="0"/>
          <w:i w:val="0"/>
        </w:rPr>
        <w:t>* * *</w:t>
      </w:r>
    </w:p>
    <w:p>
      <w:pPr>
        <w:spacing w:after="80"/>
      </w:pPr>
      <w:r>
        <w:rPr>
          <w:b w:val="0"/>
          <w:i w:val="0"/>
        </w:rPr>
        <w:t>Tuy nhiên, nếu một biện pháp phòng thủ không mang tính khắc nghiệt, vì nó không có tính cưỡng chế hoặc ngăn chặn, thì bài kiểm tra tính tương xứng của Unocal yêu cầu trọng tâm của việc giám sát tư pháp tăng cường chuyển sang "phạm vi hợp lý". Paramount Communications, Inc. v. QVC Network, Inc., Del. Supr., 637 A.2d 34, 45–46 (1994). Các phản ứng phòng thủ đúng đắn và tương xứng được dự định và cho phép để ngăn chặn các mối đe dọa được nhận thức. Khi một công ty không phải để bán, hội đồng quản trị là người bảo vệ pháo đài doanh nghiệp thời trung cổ theo ẩn dụ và là người bảo vệ cổ đông của công ty. Việc một hành động phòng thủ không được có tính cưỡng chế hoặc ngăn chặn không ngăn cản hội đồng quản trị phản ứng phòng thủ trước khi một người đấu giá đang ở cổng pháo đài doanh nghiệp.</w:t>
      </w:r>
    </w:p>
    <w:p>
      <w:pPr>
        <w:spacing w:after="80"/>
      </w:pPr>
      <w:r>
        <w:rPr>
          <w:b w:val="0"/>
          <w:i w:val="0"/>
        </w:rPr>
        <w:t>Lý do quyết định cho tiêu chuẩn "phạm vi hợp lý" là nhu cầu của hội đồng quản trị về sự linh hoạt trong việc thực hiện nghĩa vụ ủy thác của mình đối với công ty và cổ đông khi phòng thủ chống lại các mối đe dọa được nhận thức. Yêu cầu đi kèm là sự kiềm chế tư pháp. Do đó, nếu phản ứng phòng thủ của hội đồng quản trị không mang tính khắc nghiệt (ngăn chặn hoặc cưỡng chế) và nằm trong "phạm vi hợp lý", thì tòa án không được thay thế phán đoán của mình bằng phán đoán của hội đồng quản trị. Paramount Communications, Inc. v. QVC Network, Inc., 637 A.2d at 45–46.</w:t>
      </w:r>
    </w:p>
    <w:p>
      <w:pPr>
        <w:spacing w:after="80"/>
      </w:pPr>
      <w:r>
        <w:rPr>
          <w:b w:val="0"/>
          <w:i w:val="0"/>
        </w:rPr>
        <w:t>* * *</w:t>
      </w:r>
    </w:p>
    <w:p>
      <w:pPr>
        <w:spacing w:after="80"/>
      </w:pPr>
      <w:r>
        <w:rPr>
          <w:b w:val="0"/>
          <w:i w:val="0"/>
        </w:rPr>
        <w:t>Một cuộc tự chào mua có giới hạn và không phân biệt đối xử, giống như một số biện pháp phòng vệ khác, có thể cản trở một vụ chào mua thù địch hiện tại, nhưng tự nó không mang tính cưỡng chế. Hơn nữa, nó không nhất thiết loại trừ các vụ chào mua trong tương lai hoặc các cuộc tranh giành ủy quyền (proxy contest) của các cổ đông từ chối tham gia vào việc mua lại. Cf. AC Acquisitions Corp. v. Anderson, Clayton &amp; Co., Del. Ch., 519 A.2d 103 (1986) (ra lệnh cấm một cuộc tự chào mua mang tính cưỡng chế và kế hoạch tái cấu trúc). Việc mua lại cổ phần có chọn lọc trên thị trường của một công ty đại chúng, như Chương trình Mua lại của Unitrin, nói chung không phân biệt đối xử vì tất cả cổ đông đều có thể tự nguyện đạt được lợi ích tương tự bằng cách bán cổ phần. Xem Larry E. Ribstein, Takeover Defenses and the Corporate Contract, 78 Geo. L.J. 71, 129–31 (1989). Xem thêm Michael Bradley &amp; Michael Rosenzweig, Defensive Stock Repurchases, 99 Harv. L. Rev. 1377 (1986). Ở đây, không có bằng chứng nào trong hồ sơ này cho thấy Chương trình Mua lại mang tính cưỡng chế.</w:t>
      </w:r>
    </w:p>
    <w:p>
      <w:pPr>
        <w:spacing w:after="80"/>
      </w:pPr>
      <w:r>
        <w:rPr>
          <w:b w:val="0"/>
          <w:i w:val="0"/>
        </w:rPr>
        <w:t>Chúng tôi đã xác định rằng hồ sơ trong vụ án này dường như phản ánh rằng một cuộc tranh giành ủy quyền vẫn là một phương án khả thi (dù có nhiều vấn đề hơn) cho American General ngay cả khi Chương trình Mua lại được hoàn thành toàn bộ. Tuy nhiên, Tòa án Chancery phải xác định liệu Chương trình Mua lại của Unitrin chỉ cản trở khả năng của American General trong việc tiến hành một cuộc tranh giành ủy quyền và thực hiện một vụ sáp nhập, hay liệu nó thực sự mang tính loại trừ (preclusive) vì thành công của American General sẽ hoặc là bất khả thi về mặt toán học hoặc là không thể đạt được trên thực tế. Nếu Tòa án Chancery kết luận rằng Chương trình Mua lại của Unitrin không mang tính hà khắc (draconian) vì nó không mang tính loại trừ, thì một câu hỏi vẫn còn phải được trả lời trong quá trình xem xét tính tương xứng (proportionality review): liệu Chương trình Mua lại có nằm trong phạm vi hợp lý hay không?</w:t>
      </w:r>
    </w:p>
    <w:p>
      <w:pPr>
        <w:spacing w:after="80"/>
      </w:pPr>
      <w:r>
        <w:rPr>
          <w:b w:val="0"/>
          <w:i w:val="0"/>
        </w:rPr>
        <w:t>Tòa án Chancery đã xác định rằng Hội đồng quản trị Unitrin tin tưởng một cách hợp lý rằng Đề nghị của American General là không thỏa đáng và rằng việc áp dụng một viên thuốc độc (poison pill) là một phản ứng phòng vệ tương xứng. Khi xét xử lại, khi áp dụng tiêu chuẩn pháp lý đúng đắn cho các tình tiết thực tế của vụ án này, Tòa án Chancery có thể kết luận rằng việc thực hiện Chương trình Mua lại có giới hạn cũng nằm trong phạm vi các phản ứng phòng vệ bổ sung hợp lý mà Hội đồng quản trị Unitrin có thể sử dụng. Khi xem xét liệu Chương trình Mua lại có nằm trong phạm vi hợp lý hay không, Tòa án Chancery nên xem xét liệu: (1) đó có phải là một hình thức quyết định kinh doanh được luật pháp cho phép mà hội đồng quản trị có thể thường xuyên đưa ra trong bối cảnh không có vụ thâu tóm hay không; (2) với tư cách là một phản ứng phòng vệ đối với Đề nghị của American General, nó có giới hạn và tương xứng về mức độ hay quy mô với mức độ hay quy mô của mối đe dọa hay không (tức là, giả sử mối đe dọa tương đối "nhẹ", thì phản ứng có tương đối "nhẹ" không?); (3) với Chương trình Mua lại, Hội đồng quản trị Unitrin đã nhận thức đúng đắn rằng không phải tất cả cổ đông đều giống nhau, và đã cung cấp tính thanh khoản ngay lập tức cho những cổ đông muốn điều đó.</w:t>
      </w:r>
    </w:p>
    <w:p>
      <w:pPr>
        <w:pStyle w:val="Heading5"/>
      </w:pPr>
      <w:r>
        <w:rPr>
          <w:rFonts w:ascii="Calibri" w:hAnsi="Calibri"/>
          <w:b/>
          <w:i/>
          <w:sz w:val="22"/>
        </w:rPr>
        <w:t>Bình luận và Câu hỏi</w:t>
      </w:r>
    </w:p>
    <w:p>
      <w:pPr>
        <w:spacing w:after="80"/>
      </w:pPr>
      <w:r>
        <w:rPr>
          <w:b w:val="0"/>
          <w:i w:val="0"/>
        </w:rPr>
        <w:t xml:space="preserve">1. </w:t>
      </w:r>
      <w:r>
        <w:rPr>
          <w:b w:val="0"/>
          <w:i/>
        </w:rPr>
        <w:t>Unitrin</w:t>
      </w:r>
      <w:r>
        <w:rPr>
          <w:b w:val="0"/>
          <w:i w:val="0"/>
        </w:rPr>
        <w:t xml:space="preserve"> liên quan đến một thách thức đối với một chương trình mua lại. Tuy nhiên, tòa án đã thảo luận về tác động của hành động này đối với các cuộc tranh giành ủy quyền. Tại sao?</w:t>
      </w:r>
    </w:p>
    <w:p>
      <w:pPr>
        <w:spacing w:after="80"/>
      </w:pPr>
      <w:r>
        <w:rPr>
          <w:b w:val="0"/>
          <w:i w:val="0"/>
        </w:rPr>
        <w:t>2. Theo tòa án, một chiến thuật phòng vệ không thể mang tính cưỡng chế hoặc loại trừ. Dựa trên phân tích trong vụ án này, một kế hoạch mua lại hoặc viên thuốc độc sẽ loại trừ một cuộc tranh giành ủy quyền như thế nào? Một cổ đông có thể phải đưa ra bằng chứng gì?</w:t>
      </w:r>
    </w:p>
    <w:p>
      <w:pPr>
        <w:spacing w:after="80"/>
      </w:pPr>
      <w:r>
        <w:rPr>
          <w:b w:val="0"/>
          <w:i w:val="0"/>
        </w:rPr>
        <w:t>3. Mặc dù chương trình mua lại sẽ làm tăng số lượng cổ phần có khả năng ủng hộ ban lãnh đạo, tòa án lập luận rằng kết quả phụ thuộc vào "giá trị của các vấn đề mà American General đưa ra, chứ không phải quy mô cổ phần mà nó nắm giữ." Tòa án tiếp tục kết luận rằng "[n]ếu American General đưa ra một mức giá hấp dẫn làm nền tảng cho một cuộc tranh giành ủy quyền, nó có thể thắng, bất kể quyền biểu quyết tuyệt đối của các giám đốc cổ đông là 23% hay 28%." Bạn có đồng ý với phân tích này không? Chiến thắng trong một cuộc tranh giành ủy quyền có đơn thuần chỉ là vấn đề có lập luận tốt hơn không?</w:t>
      </w:r>
    </w:p>
    <w:p>
      <w:pPr>
        <w:spacing w:after="80"/>
      </w:pPr>
      <w:r>
        <w:rPr>
          <w:b w:val="0"/>
          <w:i w:val="0"/>
        </w:rPr>
        <w:t xml:space="preserve">4. Khi đánh giá tác động của một chiến thuật phòng vệ đối với một cuộc tranh giành ủy quyền, liệu tiêu chuẩn </w:t>
      </w:r>
      <w:r>
        <w:rPr>
          <w:b w:val="0"/>
          <w:i/>
        </w:rPr>
        <w:t>Unocal</w:t>
      </w:r>
      <w:r>
        <w:rPr>
          <w:b w:val="0"/>
          <w:i w:val="0"/>
        </w:rPr>
        <w:t xml:space="preserve"> có phải là cách tiếp cận đúng đắn không? Trong phạm vi chiến thuật đó làm nản lòng hoặc ngăn cản một cuộc tranh giành ủy quyền, liệu các tòa án có nên dựa vào một tiêu chuẩn xem xét thậm chí cao hơn như tiêu chuẩn </w:t>
      </w:r>
      <w:r>
        <w:rPr>
          <w:b w:val="0"/>
          <w:i/>
        </w:rPr>
        <w:t>Blasius</w:t>
      </w:r>
      <w:r>
        <w:rPr>
          <w:b w:val="0"/>
          <w:i w:val="0"/>
        </w:rPr>
        <w:t xml:space="preserve"> không? Một câu trả lời có thể được tìm thấy trong </w:t>
      </w:r>
      <w:r>
        <w:rPr>
          <w:b w:val="0"/>
          <w:i/>
        </w:rPr>
        <w:t>Yucaipa Am. Alliance Fund II, L.P. v. Riggio</w:t>
      </w:r>
      <w:r>
        <w:rPr>
          <w:b w:val="0"/>
          <w:i w:val="0"/>
        </w:rPr>
        <w:t xml:space="preserve"> , 1 A.3d 310 (Del. Ch. 2010).</w:t>
      </w:r>
    </w:p>
    <w:p>
      <w:pPr>
        <w:spacing w:after="80"/>
      </w:pPr>
      <w:r>
        <w:rPr>
          <w:b w:val="0"/>
          <w:i w:val="0"/>
        </w:rPr>
        <w:t>5. Giả sử một chiến thuật phòng vệ không mang tính "loại trừ", liệu những hành động này có thể "nghiêng" cuộc tranh giành theo hướng có lợi cho ban lãnh đạo không? Một viên thuốc độc vẫn còn hiệu lực có thể làm điều đó như thế nào?</w:t>
      </w:r>
    </w:p>
    <w:p>
      <w:pPr>
        <w:spacing w:after="80"/>
      </w:pPr>
      <w:r>
        <w:rPr>
          <w:b w:val="0"/>
          <w:i w:val="0"/>
        </w:rPr>
        <w:t>6. Tòa án trong vụ án này mô tả viên thuốc độc là "một thiết bị thâu tóm hiệu quả đã dẫn đến sự biến đổi đáng chú ý như vậy trên thị trường kiểm soát công ty đến mức các bên chào mua thù địch khi tiến hành trong khi các biện pháp phòng vệ như vậy đang hiện hữu thường sẽ phải kết hợp các cuộc tranh giành ủy quyền với các đề nghị chào mua." Hãy giải thích ý nghĩa của tuyên bố này của tòa án.</w:t>
      </w:r>
    </w:p>
    <w:p>
      <w:pPr>
        <w:spacing w:after="80"/>
      </w:pPr>
      <w:r>
        <w:rPr>
          <w:b w:val="0"/>
          <w:i w:val="0"/>
        </w:rPr>
        <w:t>—————</w:t>
      </w:r>
    </w:p>
    <w:p>
      <w:pPr>
        <w:spacing w:after="80"/>
      </w:pPr>
      <w:r>
        <w:rPr>
          <w:b w:val="0"/>
          <w:i w:val="0"/>
        </w:rPr>
        <w:t>Thuốc độc ngăn chặn các vụ thâu tóm vượt quá ngưỡng được chỉ định. Do đó, chúng ngăn cản một bên thâu tóm mua một khối cổ phần kiểm soát. Ngoài việc hạn chế mua, các chiến thuật phòng vệ có thể có tác động đáng kể đến một cuộc tranh giành ủy quyền như vụ án tiếp theo cho thấy.</w:t>
      </w:r>
    </w:p>
    <w:p>
      <w:pPr>
        <w:pStyle w:val="Heading4"/>
      </w:pPr>
      <w:r>
        <w:rPr>
          <w:rFonts w:ascii="Calibri" w:hAnsi="Calibri"/>
          <w:b/>
          <w:i w:val="0"/>
          <w:sz w:val="23"/>
        </w:rPr>
        <w:t>Yucaipa American Alliance Fund II, LP v. Riggio</w:t>
      </w:r>
    </w:p>
    <w:p>
      <w:pPr>
        <w:spacing w:after="80"/>
      </w:pPr>
      <w:r>
        <w:rPr>
          <w:b w:val="0"/>
          <w:i w:val="0"/>
        </w:rPr>
        <w:t>Tòa án Chancery Delaware</w:t>
      </w:r>
      <w:r>
        <w:br/>
      </w:r>
      <w:r>
        <w:rPr>
          <w:b w:val="0"/>
          <w:i w:val="0"/>
        </w:rPr>
        <w:t xml:space="preserve"> 1 A.3d 310 (2010), </w:t>
      </w:r>
      <w:r>
        <w:rPr>
          <w:b w:val="0"/>
          <w:i/>
        </w:rPr>
        <w:t>được giữ nguyên</w:t>
      </w:r>
      <w:r>
        <w:rPr>
          <w:b w:val="0"/>
          <w:i w:val="0"/>
        </w:rPr>
        <w:t xml:space="preserve"> , 15 A.3d 218 (Del. 2011)</w:t>
      </w:r>
    </w:p>
    <w:p>
      <w:pPr>
        <w:spacing w:after="80"/>
      </w:pPr>
      <w:r>
        <w:rPr>
          <w:b w:val="0"/>
          <w:i w:val="0"/>
        </w:rPr>
        <w:t>STRINE , PHÓ CHÁNH ÁN :</w:t>
      </w:r>
    </w:p>
    <w:p>
      <w:pPr>
        <w:spacing w:after="80"/>
      </w:pPr>
      <w:r>
        <w:rPr>
          <w:b w:val="0"/>
          <w:i w:val="0"/>
        </w:rPr>
        <w:t>Chưa đầy hai năm trước, nhà đầu tư tỷ phú Ronald Burkle đã gọi điện cho Leonard Riggio, người sáng lập Barnes &amp; Noble, Inc. để cho biết rằng các quỹ của Burkle, Yucaipa American Alliance Fund II, L.P. và Yucaipa American Alliance (Parallel) Fund II, L.P. (gọi chung là "Yucaipa"), sẽ đầu tư vào Barnes &amp; Noble. [Riggio và anh trai của ông vào thời điểm vụ kiện này sở hữu 28.91% cổ phần đang lưu hành của Barnes &amp; Noble.] Hai người đàn ông hiểu rõ nhau, đã từng tham gia vào một khoản đầu tư chung dưới sự lãnh đạo của Burkle. Vì nỗ lực đó đã không diễn ra tốt đẹp với Riggio và vì Riggio nói chung không muốn có những cổ đông lớn khác trong Barnes &amp; Noble, ông đã cố gắng thuyết phục Burkle mang tiền của mình đi nơi khác. Nhưng Burkle không bị lung lay, và đã đầu tư vào Barnes &amp; Noble.</w:t>
      </w:r>
    </w:p>
    <w:p>
      <w:pPr>
        <w:spacing w:after="80"/>
      </w:pPr>
      <w:r>
        <w:rPr>
          <w:b w:val="0"/>
          <w:i w:val="0"/>
        </w:rPr>
        <w:t>Như trong thương vụ trước của họ, Burkle và Riggio chẳng mấy chốc đã mâu thuẫn. Burkle đề xuất với Riggio vài ý tưởng cho Barnes &amp; Noble, nhưng Riggio không khiến Barnes &amp; Noble theo đuổi chúng. Nhưng điều thực sự làm Burkle nổi giận là khi ông biết vào tháng 8 năm 2009 rằng Barnes &amp; Noble sắp mua lại một chuỗi hiệu sách đại học vốn thuộc sở hữu hoàn toàn của Riggio. Burkle bày tỏ sự thất vọng về cách Barnes &amp; Noble được điều hành, và quỹ của ông, Yucaipa, bắt đầu tăng cổ phần trong công ty. Trong khoảng thời gian bốn ngày vào tháng 11 năm 2009, Yucaipa gần như tăng gấp đôi cổ phần của mình tại Barnes &amp; Noble lên gần 18%.</w:t>
      </w:r>
    </w:p>
    <w:p>
      <w:pPr>
        <w:spacing w:after="80"/>
      </w:pPr>
      <w:r>
        <w:rPr>
          <w:b w:val="0"/>
          <w:i w:val="0"/>
        </w:rPr>
        <w:t>Để đối phó với việc Yucaipa nhanh chóng tích lũy cổ phiếu tại Barnes &amp; Noble, hội đồng quản trị Barnes &amp; Noble đã thông qua một viên thuốc độc (poison pill). Viên thuốc đó được kích hoạt khi một cổ đông nắm giữ hơn 20% cổ phiếu đang lưu hành của Barnes &amp; Noble, hoặc khi hai hay nhiều cổ đông, mà tổng cộng sở hữu hơn 20%, tham gia vào một “thỏa thuận, dàn xếp hoặc hiểu biết . . . nhằm mục đích mua lại, nắm giữ, bỏ phiếu . . . hoặc định đoạt bất kỳ chứng khoán có quyền biểu quyết nào của Công ty.” Đáng chú ý, tuy nhiên, ngưỡng 20% của viên thuốc không áp dụng cho Riggio hay gia đình ông, với khoảng 30% cổ phần được miễn trừ theo các điều khoản của viên thuốc. Tuy nhiên, viên thuốc cũng hạn chế Riggio tăng thêm cổ phần đó. [Ngoài số cổ phiếu do gia đình Riggio sở hữu, các cán bộ của Barnes &amp; Noble sở hữu thêm 3,26% và nhân viên của công ty sở hữu thêm 6%. Điều này tạo ra một khối cổ phiếu khoảng 37% đến 38% số phiếu dự kiến mà tòa án nhận định có khả năng ủng hộ danh sách của ban quản lý.]</w:t>
      </w:r>
    </w:p>
    <w:p>
      <w:pPr>
        <w:spacing w:after="80"/>
      </w:pPr>
      <w:r>
        <w:rPr>
          <w:b w:val="0"/>
          <w:i w:val="0"/>
        </w:rPr>
        <w:t>* * *</w:t>
      </w:r>
    </w:p>
    <w:p>
      <w:pPr>
        <w:spacing w:after="80"/>
      </w:pPr>
      <w:r>
        <w:rPr>
          <w:b w:val="0"/>
          <w:i w:val="0"/>
        </w:rPr>
        <w:t xml:space="preserve">Theo tiêu chuẩn </w:t>
      </w:r>
      <w:r>
        <w:rPr>
          <w:b w:val="0"/>
          <w:i/>
        </w:rPr>
        <w:t>Unocal</w:t>
      </w:r>
      <w:r>
        <w:rPr>
          <w:b w:val="0"/>
          <w:i w:val="0"/>
        </w:rPr>
        <w:t xml:space="preserve"> quen thuộc, việc thông qua một biện pháp phòng ngự sẽ được bảo vệ bởi quy tắc phán đoán kinh doanh (business judgment rule) miễn là: (1) hội đồng quản trị đã thông qua biện pháp đó có “cơ sở hợp lý để tin rằng tồn tại một mối nguy hiểm đối với chính sách và hiệu quả của công ty”; và (2) “phản ứng phòng ngự là hợp lý so với mối đe dọa đặt ra.” Phán quyết </w:t>
      </w:r>
      <w:r>
        <w:rPr>
          <w:b w:val="0"/>
          <w:i/>
        </w:rPr>
        <w:t>Unitrin</w:t>
      </w:r>
      <w:r>
        <w:rPr>
          <w:b w:val="0"/>
          <w:i w:val="0"/>
        </w:rPr>
        <w:t xml:space="preserve"> của Tòa án Tối cao đã hữu ích nhấn mạnh tính hữu dụng của các khái niệm ngăn chặn (preclusion) và ép buộc (coercion) khi giải quyết câu hỏi liệu một viên thuốc có phải là phản ứng không hợp lý hay không. Chính vì việc </w:t>
      </w:r>
      <w:r>
        <w:rPr>
          <w:b w:val="0"/>
          <w:i/>
        </w:rPr>
        <w:t>Moran</w:t>
      </w:r>
      <w:r>
        <w:rPr>
          <w:b w:val="0"/>
          <w:i w:val="0"/>
        </w:rPr>
        <w:t xml:space="preserve"> chấp thuận viên thuốc dựa trên khả năng vượt qua viên thuốc thông qua một cuộc tranh giành ủy quyền (proxy contest), </w:t>
      </w:r>
      <w:r>
        <w:rPr>
          <w:b w:val="0"/>
          <w:i/>
        </w:rPr>
        <w:t>Unitrin</w:t>
      </w:r>
      <w:r>
        <w:rPr>
          <w:b w:val="0"/>
          <w:i w:val="0"/>
        </w:rPr>
        <w:t xml:space="preserve"> đã công nhận tầm quan trọng của việc xem xét liệu toàn bộ kho vũ khí phòng ngự của công ty, bao gồm cả viên thuốc, có mang tính ngăn chặn theo đúng nghĩa là khiến cho một kẻ nổi loạn không thể thắng một cuộc tranh giành ủy quyền hay không. Do đó, tòa án này đã công nhận rằng các giám đốc phải “chứng minh rằng hành động của họ là hợp lý so với mục tiêu chính đáng của họ, và không ngăn cản các cổ đông thực hiện quyền bỏ phiếu của mình hoặc ép buộc họ bỏ phiếu theo một cách nhất định.” Ngay cả khi một biện pháp phòng ngự không mang tính ngăn chặn, tòa án vẫn phải bác bỏ biện pháp phòng ngự đó nếu các giám đốc không thuyết phục được tòa rằng biện pháp phòng ngự đó nằm trong “phạm vi hợp lý.” Nghĩa là, </w:t>
      </w:r>
      <w:r>
        <w:rPr>
          <w:b w:val="0"/>
          <w:i/>
        </w:rPr>
        <w:t>Unitrin</w:t>
      </w:r>
      <w:r>
        <w:rPr>
          <w:b w:val="0"/>
          <w:i w:val="0"/>
        </w:rPr>
        <w:t xml:space="preserve"> đã để ngỏ khả năng đưa ra kết luận rằng một biện pháp phòng ngự không ngăn chặn, không ép buộc vẫn là không hợp lý xét theo mối đe dọa mà công ty phải đối mặt. Như chúng ta sẽ sớm thấy, theo Yucaipa, “phạm vi” này đóng vai trò trong vụ án này.</w:t>
      </w:r>
    </w:p>
    <w:p>
      <w:pPr>
        <w:spacing w:after="80"/>
      </w:pPr>
      <w:r>
        <w:rPr>
          <w:b w:val="0"/>
          <w:i w:val="0"/>
        </w:rPr>
        <w:t>* * *</w:t>
      </w:r>
    </w:p>
    <w:p>
      <w:pPr>
        <w:spacing w:after="80"/>
      </w:pPr>
      <w:r>
        <w:rPr>
          <w:b w:val="0"/>
          <w:i w:val="0"/>
        </w:rPr>
        <w:t>. . . Giờ tôi giải quyết câu hỏi liệu hội đồng quản trị Barnes &amp; Noble có đang phản ứng với một mối đe dọa chính đáng hay không. Yucaipa trình bày lập luận rằng nó không gây ra mối đe dọa nghiêm trọng nào theo một cách rất thuận tiện và vụ lợi. Mặc dù Yucaipa phải thừa nhận rằng không có gì mới lạ khi một ngưỡng kích hoạt của kế hoạch quyền (rights plan) áp dụng cho các thỏa thuận giữa các cổ đông để cùng lập một danh sách ủy quyền chung, và rằng ngưỡng kích hoạt 20% đã được cho là hợp lý trong nhiều trường hợp trước đây, Yucaipa nhấn mạnh rằng trường hợp của mình là khác biệt vì tất cả những gì nó tìm kiếm chỉ là bầu ba giám đốc trong năm nay, chứ không phải một danh sách kiểm soát, và rằng nó chưa công bố đề nghị mua lại (tender offer) toàn bộ cổ phiếu công ty và chưa từng thực hiện một đề nghị mua lại thù địch nào trong lịch sử đầu tư trước đây của mình. Tất cả những gì Yucaipa mong muốn, theo lời nó, là có một tiếng nói nhỏ, dưới hình thức bầu ba giám đốc mới, và do đó việc áp dụng với nó toàn bộ sức mạnh của một kế hoạch quyền truyền thống được thiết kế để đối phó với một bên đấu giá giành quyền kiểm soát là không hợp lý.</w:t>
      </w:r>
    </w:p>
    <w:p>
      <w:pPr>
        <w:spacing w:after="80"/>
      </w:pPr>
      <w:r>
        <w:rPr>
          <w:b w:val="0"/>
          <w:i w:val="0"/>
        </w:rPr>
        <w:t>Có nhiều vấn đề với lập luận này. Đầu tiên, lập luận này bỏ qua thực tế rằng việc bầu ba giám đốc vào một hội đồng quản trị phân tầng (classified board) không phải là một sự kiện nhỏ nhặt, không mang lại cho bên thắng cử chút ảnh hưởng nào. Mặc dù người ta đã bàn nhiều về số ít trường hợp mà một hội đồng quản trị phân tầng đã cản trở một bên mua lại quyết tâm sẵn sàng trả một mức giá hấp dẫn, thực tế là ngay cả sự kết hợp của một hội đồng quản trị phân tầng và một kế hoạch quyền cũng khó có thể là rào cản chặn đứng trong một thị trường M &amp; A sôi động của Mỹ. Một khi một kẻ nổi loạn đã thắng một cuộc bầu cử, khả năng của đa số hội đồng quản trị đương nhiệm trong việc cứng đầu trước tâm tư của cổ đông bị hạn chế rất nhiều.</w:t>
      </w:r>
    </w:p>
    <w:p>
      <w:pPr>
        <w:spacing w:after="80"/>
      </w:pPr>
      <w:r>
        <w:rPr>
          <w:b w:val="0"/>
          <w:i w:val="0"/>
        </w:rPr>
        <w:t>Và trong trường hợp này, Yucaipa cũng không chỉ có thách thức, mà còn có cơ hội, để đưa ra một điểm quan trọng hơn. Mặc dù chỉ có ba giám đốc được bầu lại tại cuộc họp thường niên tiếp theo của Barnes &amp; Noble, những giám đốc này bao gồm chính người sáng lập và Chủ tịch, Leonard Riggio, giám đốc độc lập chủ chốt Del Giudice, và cố vấn tài chính cá nhân của Riggio, Zilavy. Do đó, Yucaipa có thể biến nó thành một cuộc trưng cầu về việc liệu tương lai của công ty nên đi theo tầm nhìn của Riggio hay tầm nhìn mà Yucaipa trình bày. Đây chắc chắn là một cuộc tranh đấu có tính đặt cược cao, nhưng là một cuộc tranh đấu mà Yucaipa, nếu có thể đưa ra một lập luận thuyết phục, có thể bước ra khỏi cuộc bầu cử với ảnh hưởng lớn. Sức mạnh mà Yucaipa sẽ đạt được khi thắng còn được tăng cường bởi thực tế rằng Kế hoạch Quyền sẽ được đưa ra bỏ phiếu trong năm dương lịch này. Nếu Yucaipa thắng một cuộc tranh giành ủy quyền, hội đồng quản trị đương nhiệm, dù có thẩm quyền pháp lý để thông qua một viên thuốc mới nếu các cổ đông bỏ phiếu không gia hạn Kế hoạch Quyền, sẽ làm như vậy với đôi mắt mở to bước thẳng vào một lưỡi trực thăng đang quay cuồng.</w:t>
      </w:r>
    </w:p>
    <w:p>
      <w:pPr>
        <w:spacing w:after="80"/>
      </w:pPr>
      <w:r>
        <w:rPr>
          <w:b w:val="0"/>
          <w:i w:val="0"/>
        </w:rPr>
        <w:t>Một vấn đề lớn khác và có liên quan với lập luận của Yucaipa là việc nó tự mô tả mình như một nhà đầu tư “ôi chao, hoàn toàn thân thiện” lại mâu thuẫn với chính hành vi và các công bố công khai của nó. . . . Cụ thể hơn, hồ sơ cho thấy rõ rằng người lãnh đạo của Yucaipa, Burkle, đã cân nhắc nhiều thay đổi chiến lược cơ bản khác nhau cho Barnes &amp; Noble, bao gồm: (1) thực hiện các thương vụ mua tài sản lớn từ Borders, đối thủ chính của Barnes &amp; Noble; (2) một liên doanh với HP để đưa Barnes &amp; Noble vào thị trường điện tử tiêu dùng; và (3) một thương vụ chuyển thành công ty tư nhân (going private transaction). Burkle đã nghiêm túc về những lựa chọn này đến mức ông đã có các cuộc gặp với các giám đốc điều hành chủ chốt của HP và các chuyên gia ngân hàng đầu tư, và hội đồng quản trị có quyền xem ông là người có quan tâm đến việc khám phá những lựa chọn này và những lựa chọn khác mà các bản 13D của Yucaipa để ngỏ. Tóm lại, hội đồng quản trị có cơ sở hợp lý để kết luận rằng Burkle có khả năng đang lên kế hoạch mua lại một cổ phần kiểm soát tại Barnes &amp; Noble, hoặc thành lập một khối chi phối với một cổ đông lớn khác như Aletheia [Aletheia Research and Management, Inc., một cố vấn đầu tư có trụ sở tại California, sở hữu 17,44% cổ phiếu của Barnes &amp; Noble.]</w:t>
      </w:r>
    </w:p>
    <w:p>
      <w:pPr>
        <w:spacing w:after="80"/>
      </w:pPr>
      <w:r>
        <w:rPr>
          <w:b w:val="0"/>
          <w:i w:val="0"/>
        </w:rPr>
        <w:t>* * *</w:t>
      </w:r>
    </w:p>
    <w:p>
      <w:pPr>
        <w:spacing w:after="80"/>
      </w:pPr>
      <w:r>
        <w:rPr>
          <w:b w:val="0"/>
          <w:i w:val="0"/>
        </w:rPr>
        <w:t>Không nghi ngờ gì rằng luật pháp của chúng ta cung cấp các biện pháp bảo vệ đáng kể cho các nhà đầu tư khác trong trường hợp một cổ đông lớn có đại diện trong hội đồng quản trị đề xuất một thương vụ chuyển thành công ty tư nhân hoặc tham gia vào các hình thức khai thác giá trị bất công khác, nhưng điều đó không có nghĩa là hội đồng quản trị Barnes &amp; Noble không có quyền thực hiện hành động hợp lý, không ngăn chặn để đảm bảo rằng một nhà đầu tư hoạt động như Yucaipa không tích lũy, dù đơn lẻ hay phối hợp với một cổ đông lớn khác, một khối kiểm soát hiệu quả cho phép nó đưa ra các đề xuất trong những điều kiện mà nó nắm giữ đòn bẩy lớn để tìm kiếm lợi thế cho chính mình gây thiệt hại cho các nhà đầu tư khác. Chính bằng cách giới hạn Yucaipa ở một mức ảnh hưởng bỏ phiếu đáng kể, nhưng không áp đảo, hội đồng quản trị đã bảo toàn cho mình thẩm quyền lớn hơn để bảo vệ các cổ đông công chúng của công ty.</w:t>
      </w:r>
    </w:p>
    <w:p>
      <w:pPr>
        <w:pStyle w:val="Heading5"/>
      </w:pPr>
      <w:r>
        <w:rPr>
          <w:rFonts w:ascii="Calibri" w:hAnsi="Calibri"/>
          <w:b/>
          <w:i/>
          <w:sz w:val="22"/>
        </w:rPr>
        <w:t>Bình luận và Câu hỏi</w:t>
      </w:r>
    </w:p>
    <w:p>
      <w:pPr>
        <w:spacing w:after="80"/>
      </w:pPr>
      <w:r>
        <w:rPr>
          <w:b w:val="0"/>
          <w:i w:val="0"/>
        </w:rPr>
        <w:t>1. Bạn nghĩ gì về phần thảo luận của tòa án về mối đe dọa do Yucaipa gây ra? Liệu phân tích có nên bị ảnh hưởng bởi sự hiện diện của một hội đồng quản trị phân tầng hay không? Bạn nghĩ gì về kết luận của tòa án rằng, nếu Yucaipa thắng cuộc bầu cử, khả năng của hội đồng quản trị trong việc “cứng đầu trước tâm tư của cổ đông bị hạn chế rất nhiều”? 1 A.3d at 347.</w:t>
      </w:r>
    </w:p>
    <w:p>
      <w:pPr>
        <w:spacing w:after="80"/>
      </w:pPr>
      <w:r>
        <w:rPr>
          <w:b w:val="0"/>
          <w:i w:val="0"/>
        </w:rPr>
        <w:t>2. Theo tòa án, Yucaipa đã từ bỏ mọi nỗ lực khẳng định rằng viên thuốc độc mang tính ngăn chặn. Cho rằng Yucaipa kiểm soát khoảng 20% cổ phiếu trong khi gia đình Riggio được tính một khối khoảng 38% (bao gồm cổ phiếu do nhân viên và các giám đốc khác sở hữu), điều này gợi ý gì về tiêu chuẩn để chứng minh tính ngăn chặn?</w:t>
      </w:r>
    </w:p>
    <w:p>
      <w:pPr>
        <w:spacing w:after="80"/>
      </w:pPr>
      <w:r>
        <w:rPr>
          <w:b w:val="0"/>
          <w:i w:val="0"/>
        </w:rPr>
        <w:t xml:space="preserve">3. Liệu viên thuốc độc có “bẻ nghiêng sân chơi” theo hướng có lợi cho ban quản lý không? Còn về việc hội đồng quản trị không bị ràng buộc bởi giới hạn đối với các thỏa thuận với các cổ đông khác thì sao? Tòa án đã công nhận thẩm quyền nhưng kết luận rằng các nghĩa vụ tín thác (fiduciary duties) của hội đồng quản trị là đủ để ngăn chặn hành vi chỉ mang lại lợi ích riêng cho gia đình Riggio. </w:t>
      </w:r>
      <w:r>
        <w:rPr>
          <w:b w:val="0"/>
          <w:i/>
        </w:rPr>
        <w:t>Xem id.</w:t>
      </w:r>
      <w:r>
        <w:rPr>
          <w:b w:val="0"/>
          <w:i w:val="0"/>
        </w:rPr>
        <w:t xml:space="preserve"> (“Ví dụ, trong chừng mực hội đồng quản trị tìm cách hành động như một công cụ để bảo vệ gia đình Riggio thay vì vì một mục đích chính đáng, họ sẽ hành động bất trung. Nghĩa là, hội đồng quản trị có nghĩa vụ tín thác với công ty, điều mà Yucaipa, với tư cách là một cổ đông, nói chung không có.”). Bạn có đồng ý không?</w:t>
      </w:r>
    </w:p>
    <w:p>
      <w:pPr>
        <w:spacing w:after="80"/>
      </w:pPr>
      <w:r>
        <w:rPr>
          <w:b w:val="0"/>
          <w:i w:val="0"/>
        </w:rPr>
        <w:t xml:space="preserve">4. Cuối cùng Yucaipa đã thua cuộc tranh giành ủy quyền. Không có ứng viên nào trong ba ứng viên của nó được bầu vào hội đồng quản trị. </w:t>
      </w:r>
      <w:r>
        <w:rPr>
          <w:b w:val="0"/>
          <w:i/>
        </w:rPr>
        <w:t>Xem</w:t>
      </w:r>
      <w:r>
        <w:rPr>
          <w:b w:val="0"/>
          <w:i w:val="0"/>
        </w:rPr>
        <w:t xml:space="preserve"> Barnes &amp; Noble, Current Report on Form 8-K, Oct. 13, 2010 (công bố kết quả kiểm phiếu; mỗi giám đốc của ban quản lý nhận được khoảng 26 triệu phiếu; các ứng viên của Yucaipa nhận được khoảng 23 triệu).</w:t>
      </w:r>
    </w:p>
    <w:p>
      <w:pPr>
        <w:spacing w:after="80"/>
      </w:pPr>
      <w:r>
        <w:rPr>
          <w:b w:val="0"/>
          <w:i w:val="0"/>
        </w:rPr>
        <w:t>5. Biện pháp "viên thuốc độc" (poison pill) được áp dụng cho bất kỳ “thỏa thuận, dàn xếp hoặc hiểu biết” nào giữa các cổ đông. Yucaipa lập luận rằng ngôn từ này mơ hồ và sẽ khiến các cổ đông khác từ chối thảo luận về cuộc tranh giành quyền đại diện (proxy contest). Tòa án mô tả cách diễn giải này là “một cách diễn giải vô lý dựa trên những tiền đề phi thực tế và ngớ ngẩn.” Bạn có đồng ý không? Từ góc nhìn của các cổ đông khác, họ có thể gánh chịu những rủi ro gì khi thảo luận về cuộc tranh giành quyền đại diện với Yucaipa?</w:t>
      </w:r>
    </w:p>
    <w:p>
      <w:pPr>
        <w:spacing w:after="80"/>
      </w:pPr>
      <w:r>
        <w:rPr>
          <w:b w:val="0"/>
          <w:i w:val="0"/>
        </w:rPr>
        <w:t>6. Tòa án đã thảo luận về vai trò của các công ty tư vấn đại diện (proxy advisory firms). Tòa án lưu ý rằng biện pháp "viên thuốc độc" không ngăn cản các cổ đông đàm phán với những công ty này. Những công ty này đóng vai trò gì trong một cuộc tranh giành quyền đại diện?</w:t>
      </w:r>
    </w:p>
    <w:p>
      <w:pPr>
        <w:spacing w:after="80"/>
      </w:pPr>
      <w:r>
        <w:rPr>
          <w:b w:val="0"/>
          <w:i w:val="0"/>
        </w:rPr>
        <w:t xml:space="preserve">7. Trong </w:t>
      </w:r>
      <w:r>
        <w:rPr>
          <w:b w:val="0"/>
          <w:i/>
        </w:rPr>
        <w:t>Airgas</w:t>
      </w:r>
      <w:r>
        <w:rPr>
          <w:b w:val="0"/>
          <w:i w:val="0"/>
        </w:rPr>
        <w:t xml:space="preserve"> , tòa án lưu ý rằng tiêu chuẩn cho tính loại trừ (preclusiveness) là biện pháp "viên thuốc độc" sẽ khiến một cuộc tranh giành quyền đại diện trở thành “thực tế không thể đạt được.” Tòa án lưu ý rằng trong bối cảnh một hội đồng quản trị theo nhiệm kỳ so le (staggered board) “theo hiểu biết của tôi, chưa có nhà thầu nào từng thành công trong việc trụ lại hai năm và tiến hành hai cuộc tranh giành quyền đại diện thành công để giành quyền kiểm soát một hội đồng quản trị phân tầng nhằm loại bỏ một viên thuốc độc.” Tuy nhiên, tòa án lưu ý rằng “tiền lệ rõ ràng” ở Delaware từ chối xác định một viên thuốc độc là có tính loại trừ “miễn là việc giành quyền kiểm soát tại một thời điểm nào đó trong tương lai vẫn có thể đạt được một cách thực tế.” Những lập trường này có nhất quán không?</w:t>
      </w:r>
    </w:p>
    <w:p>
      <w:pPr>
        <w:spacing w:after="80"/>
      </w:pPr>
      <w:r>
        <w:rPr>
          <w:b w:val="0"/>
          <w:i w:val="0"/>
        </w:rPr>
        <w:t>—————</w:t>
      </w:r>
    </w:p>
    <w:p>
      <w:pPr>
        <w:spacing w:after="80"/>
      </w:pPr>
      <w:r>
        <w:rPr>
          <w:b w:val="0"/>
          <w:i w:val="0"/>
        </w:rPr>
        <w:t>Viên thuốc độc ngăn chặn cả việc mua lại cổ phần và các thỏa thuận giữa các cổ đông. Khi ngưỡng kích hoạt là 15 hoặc 20%, các cổ đông nổi dậy ít nhất có thể mua được một khối lượng cổ phần đáng kể để từ đó phát động một cuộc tranh giành quyền đại diện. Nhưng điều gì sẽ xảy ra nếu công ty áp dụng một viên thuốc độc với ngưỡng rất thấp, chẳng hạn 5%? Đó chính là điều đã xảy ra trong vụ án tiếp theo.</w:t>
      </w:r>
    </w:p>
    <w:p>
      <w:pPr>
        <w:pStyle w:val="Heading4"/>
      </w:pPr>
      <w:r>
        <w:rPr>
          <w:rFonts w:ascii="Calibri" w:hAnsi="Calibri"/>
          <w:b/>
          <w:i w:val="0"/>
          <w:sz w:val="23"/>
        </w:rPr>
        <w:t>Selectica, Inc. v. Versata Enterprises, Inc.</w:t>
      </w:r>
    </w:p>
    <w:p>
      <w:pPr>
        <w:spacing w:after="80"/>
      </w:pPr>
      <w:r>
        <w:rPr>
          <w:b w:val="0"/>
          <w:i w:val="0"/>
        </w:rPr>
        <w:t>Tòa án Tối cao Delaware</w:t>
      </w:r>
      <w:r>
        <w:br/>
      </w:r>
      <w:r>
        <w:rPr>
          <w:b w:val="0"/>
          <w:i w:val="0"/>
        </w:rPr>
        <w:t xml:space="preserve"> 5 A.3d 586 (2010)</w:t>
      </w:r>
    </w:p>
    <w:p>
      <w:pPr>
        <w:spacing w:after="80"/>
      </w:pPr>
      <w:r>
        <w:rPr>
          <w:b w:val="0"/>
          <w:i w:val="0"/>
        </w:rPr>
        <w:t>THẨM PHÁN HOLLAND :</w:t>
      </w:r>
    </w:p>
    <w:p>
      <w:pPr>
        <w:spacing w:after="80"/>
      </w:pPr>
      <w:r>
        <w:rPr>
          <w:b w:val="0"/>
          <w:i w:val="0"/>
        </w:rPr>
        <w:t>Đây là một kháng cáo từ phán quyết cuối cùng do Tòa án Chancery đưa ra. Vào ngày 16 tháng 11 năm 2008, Hội đồng Quản trị của Selectica Inc. (“Selectica”) đã giảm ngưỡng kích hoạt “viên thuốc độc” trong Kế hoạch Quyền Cổ đông (Shareholder Rights Plan) của mình từ 15% xuống 4,99% số cổ phần đang lưu hành của Selectica và giới hạn các cổ đông hiện hữu đang nắm giữ 5% hoặc hơn chỉ được tăng thêm 0,5% (“Viên thuốc độc NOL”). Lý do Selectica thực hiện hành động như vậy là để bảo vệ khoản lỗ hoạt động ròng được chuyển sang kỳ sau (net operating loss carry forwards – “NOL”) của công ty. Khi Trilogy, Inc. (“Trilogy”) sau đó mua cổ phần vượt quá giới hạn này, Selectica đã đệ đơn kiện lên Tòa án Chancery vào ngày 21 tháng 12 năm 2008, yêu cầu tuyên bố rằng Viên thuốc độc NOL là hợp pháp và có thể thi hành. Vào ngày 2 tháng 1 năm 2009, Selectica đã triển khai điều khoản trao đổi pha loãng (dilutive exchange provision – “Exchange”) của Viên thuốc độc NOL, điều này đã giảm tỷ lệ sở hữu của Trilogy từ 6,7% xuống 3,3%, và thông qua một Kế hoạch Quyền khác với ngưỡng kích hoạt 4,99% (“Viên thuốc độc NOL Nạp lại”). Selectica sau đó đã sửa đổi đơn kiện của mình để yêu cầu tuyên bố rằng Exchange và Viên thuốc độc NOL Nạp lại là hợp pháp.</w:t>
      </w:r>
    </w:p>
    <w:p>
      <w:pPr>
        <w:spacing w:after="80"/>
      </w:pPr>
      <w:r>
        <w:rPr>
          <w:b w:val="0"/>
          <w:i w:val="0"/>
        </w:rPr>
        <w:t>Kể từ khi trở thành công ty đại chúng vào tháng 3 năm 2000, Selectica đã thua lỗ một khoản tiền đáng kể và không đạt được lợi nhuận hàng năm, bất chấp việc thường xuyên dự báo sẽ có lợi nhuận trong ngắn hạn. Giá IPO của công ty là $30 mỗi cổ phần đã liên tục giảm và hiện đang lình xình dưới $1 mỗi cổ phần, khiến vốn hóa thị trường của Selectica vào khoảng $23 triệu tính đến cuối tháng 3 năm 2009. Theo chính lời thừa nhận của Selectica, giá trị của công ty ngày nay “chủ yếu nằm ở khoản dự trữ tiền mặt, danh mục sở hữu trí tuệ, cơ sở khách hàng và doanh thu, cùng các khoản NOL tích lũy.” Do liên tục không đạt được thu nhập ròng dương, Selectica đã tạo ra ước tính $160 triệu NOL cho mục đích thuế liên bang trong vài năm qua.</w:t>
      </w:r>
    </w:p>
    <w:p>
      <w:pPr>
        <w:spacing w:after="80"/>
      </w:pPr>
      <w:r>
        <w:rPr>
          <w:b w:val="0"/>
          <w:i w:val="0"/>
        </w:rPr>
        <w:t>* * *</w:t>
      </w:r>
    </w:p>
    <w:p>
      <w:pPr>
        <w:spacing w:after="80"/>
      </w:pPr>
      <w:r>
        <w:rPr>
          <w:b w:val="0"/>
          <w:i/>
        </w:rPr>
        <w:t>Các đề nghị của Trilogy bị từ chối</w:t>
      </w:r>
    </w:p>
    <w:p>
      <w:pPr>
        <w:spacing w:after="80"/>
      </w:pPr>
      <w:r>
        <w:rPr>
          <w:b w:val="0"/>
          <w:i w:val="0"/>
        </w:rPr>
        <w:t>Vào ngày 15 tháng 7 năm 2008, Chủ tịch của Trilogy, Joseph Liemandt, đã gọi cho Zawatski để hỏi chung về khả năng Trilogy mua lại Selectica. Vào ngày 29 tháng 7, Giám đốc Tài chính của Trilogy là Sean Fallon, Giám đốc Tài chính của Trilogy là Andrew Price, và Giám đốc Điều hành của Versata là Randy Jacops đã tham gia một cuộc gọi hội nghị với các Đồng Chủ tịch của Selectica là Zawatski và Thanos về cùng chủ đề này. Trong cuộc gọi, Thanos đã hỏi Trilogy sẽ tính toán giá trị cho các khoản NOL của Công ty như thế nào. Fallon trả lời rằng Trilogy “thực sự [không] theo đuổi chúng với mức độ nhiệt tình như những người khác có thể, vì đó không phải là chiến lược cốt lõi của chúng tôi.”</w:t>
      </w:r>
    </w:p>
    <w:p>
      <w:pPr>
        <w:spacing w:after="80"/>
      </w:pPr>
      <w:r>
        <w:rPr>
          <w:b w:val="0"/>
          <w:i w:val="0"/>
        </w:rPr>
        <w:t>Tối hôm sau, Fallon liên hệ với Zawatski và trình bày hai đề xuất để Trilogy mua lại hoạt động kinh doanh của Selectica: (1) Trilogy mua toàn bộ tài sản của mảng kinh doanh cấu hình bán hàng của Selectica để đổi lấy việc xóa khoản nợ $7,1 triệu mà Selectica vẫn còn nợ theo thỏa thuận dàn xếp tháng 10 năm 2007 với Trilogy; hoặc (2) Trilogy mua toàn bộ hoạt động của Selectica để đổi lấy việc xóa khoản nợ cộng thêm $6 triệu tiền mặt. Fallon sau đó đã gửi tiếp một email nhắc lại cả hai đề xuất và gợi ý rằng một trong hai đề xuất sẽ cho phép Selectica vẫn có thể sử dụng các khoản NOL của mình thông qua việc bán pháp nhân công ty sau này.</w:t>
      </w:r>
    </w:p>
    <w:p>
      <w:pPr>
        <w:spacing w:after="80"/>
      </w:pPr>
      <w:r>
        <w:rPr>
          <w:b w:val="0"/>
          <w:i w:val="0"/>
        </w:rPr>
        <w:t>Ngay sau đó, Hội đồng Quản trị đã từ chối cả hai đề xuất, không đưa ra đề xuất đối ứng nào, và không có cuộc thảo luận tiếp theo nào. Vào ngày 9 tháng 10 năm 2008, Trilogy đưa ra lời đề nghị thứ hai để mua toàn bộ tài sản của Selectica với giá $10 triệu tiền mặt cộng với việc xóa khoản nợ, mà Hội đồng Quản trị cũng từ chối. Mặc dù Trilogy được mời tham gia vào quá trình bán hàng do Needham giám sát, Trilogy rõ ràng không sẵn lòng ký một thỏa thuận bảo mật, vốn là điều kiện tiên quyết để tham gia. Vào khoảng thời gian này, Trilogy đã bắt đầu thực hiện các giao dịch mua cổ phiếu Selectica trên thị trường mở, mặc dù Hội đồng Quản trị rõ ràng không biết về sự việc này vào thời điểm đó.</w:t>
      </w:r>
    </w:p>
    <w:p>
      <w:pPr>
        <w:spacing w:after="80"/>
      </w:pPr>
      <w:r>
        <w:rPr>
          <w:b w:val="0"/>
          <w:i/>
        </w:rPr>
        <w:t>Trilogy mua cổ phiếu Selectica</w:t>
      </w:r>
    </w:p>
    <w:p>
      <w:pPr>
        <w:spacing w:after="80"/>
      </w:pPr>
      <w:r>
        <w:rPr>
          <w:b w:val="0"/>
          <w:i w:val="0"/>
        </w:rPr>
        <w:t>Tối ngày 10 tháng 11, Fallon liên lạc với Zawatski và thông báo rằng Trilogy đã mua hơn 5% cổ phiếu đang lưu hành của Selectica và sẽ sớm nộp Schedule 13D, đúng như vậy vào ngày 13 tháng 11. Trong một cuộc gọi sau đó với Zawatski và Reilly, Fallon giải thích rằng Trilogy bắt đầu mua vì họ tin rằng “công ty nên hành động nhanh chóng để bảo toàn bất kỳ giá trị cổ đông nào còn lại và rằng chúng tôi muốn thấy quá trình mà họ công bố với Needham này, chúng tôi muốn thấy nó được đẩy nhanh hơn. . . .” Trong vòng bốn ngày kể từ khi nộp 13D, Trilogy đã mua thêm hơn 320,000 cổ phiếu, tương đương thêm 1% cổ phiếu đang lưu hành của Công ty.</w:t>
      </w:r>
    </w:p>
    <w:p>
      <w:pPr>
        <w:spacing w:after="80"/>
      </w:pPr>
      <w:r>
        <w:rPr>
          <w:b w:val="0"/>
          <w:i w:val="0"/>
        </w:rPr>
        <w:t>* * *</w:t>
      </w:r>
    </w:p>
    <w:p>
      <w:pPr>
        <w:spacing w:after="80"/>
      </w:pPr>
      <w:r>
        <w:rPr>
          <w:b w:val="0"/>
          <w:i w:val="0"/>
        </w:rPr>
        <w:t>Theo yêu cầu của Hội đồng quản trị, cố vấn pháp lý Delaware đã xem xét các tiêu chuẩn luật Delaware áp dụng cho việc thông qua và triển khai các biện pháp có tác dụng chống thâu tóm. Hội đồng sau đó thảo luận về việc sửa đổi Kế hoạch Quyền cổ đông hiện có, và các điều khoản khả thi của việc sửa đổi đó. Những nội dung này bao gồm: ưu và nhược điểm của việc cung cấp một khoảng đệm cho các cổ đông nắm giữ 5% từ trước, ngày hiệu lực thích hợp của Kế hoạch Quyền cổ đông mới, liệu Hội đồng có nên có thẩm quyền loại trừ các giao dịch mua của những cổ đông cụ thể khỏi việc kích hoạt Kế hoạch Quyền hay không, và liệu có nên triển khai một quy trình xem xét để định kỳ xác định liệu Kế hoạch Quyền có nên tiếp tục có hiệu lực hay không.</w:t>
      </w:r>
    </w:p>
    <w:p>
      <w:pPr>
        <w:spacing w:after="80"/>
      </w:pPr>
      <w:r>
        <w:rPr>
          <w:b w:val="0"/>
          <w:i w:val="0"/>
        </w:rPr>
        <w:t>Hội đồng sau đó đã nhất trí thông qua một nghị quyết sửa đổi Kế hoạch Quyền cổ đông của Selectica, bằng cách giảm ngưỡng sở hữu hưởng lợi từ 15% xuống 4.99%, đồng thời cho phép các cổ đông hiện hữu nắm giữ 5% được giữ nguyên quyền cũ và cho phép họ mua thêm tối đa 0.5% (tùy thuộc vào mức trần 15% ban đầu) mà không kích hoạt NOL Poison Pill.</w:t>
      </w:r>
    </w:p>
    <w:p>
      <w:pPr>
        <w:spacing w:after="80"/>
      </w:pPr>
      <w:r>
        <w:rPr>
          <w:b w:val="0"/>
          <w:i w:val="0"/>
        </w:rPr>
        <w:t>* * *</w:t>
      </w:r>
    </w:p>
    <w:p>
      <w:pPr>
        <w:spacing w:after="80"/>
      </w:pPr>
      <w:r>
        <w:rPr>
          <w:b w:val="0"/>
          <w:i w:val="0"/>
        </w:rPr>
        <w:t>Vào ngày 18 tháng 12, Trilogy đã mua thêm 30,000 cổ phiếu Selectica, và ban lãnh đạo Trilogy đã xác nhận với Liemandt ý định của ông là tiếp tục “mua xuyên qua” NOL Poison Pill. Sáng hôm sau, Trilogy đã mua thêm 124,061 cổ phiếu Selectica, đưa tỷ lệ sở hữu của mình lên 6.7% và qua đó trở thành một “Acquiring Person” theo NOL Poison Pill. . . .</w:t>
      </w:r>
    </w:p>
    <w:p>
      <w:pPr>
        <w:spacing w:after="80"/>
      </w:pPr>
      <w:r>
        <w:rPr>
          <w:b w:val="0"/>
          <w:i w:val="0"/>
        </w:rPr>
        <w:t>* * *</w:t>
      </w:r>
    </w:p>
    <w:p>
      <w:pPr>
        <w:spacing w:after="80"/>
      </w:pPr>
      <w:r>
        <w:rPr>
          <w:b w:val="0"/>
          <w:i w:val="0"/>
        </w:rPr>
        <w:t>Ủy ban [Đánh giá Giám đốc Độc lập] [của Hội đồng quản trị] kết luận rằng Trilogy không nên được coi là “Exempt Person”, rằng việc mua thêm cổ phiếu của họ không nên được coi là “Exempt Transaction”, rằng nên diễn ra việc trao đổi quyền lấy cổ phiếu phổ thông (“Exchange”), và rằng nên thông qua một cổ tức quyền mới với các điều khoản về cơ bản tương tự. Ủy ban đã thông qua các nghị quyết thực hiện những kết luận đó, qua đó thông qua Reloaded NOL Poison Pill và tiến hành Exchange.</w:t>
      </w:r>
    </w:p>
    <w:p>
      <w:pPr>
        <w:spacing w:after="80"/>
      </w:pPr>
      <w:r>
        <w:rPr>
          <w:b w:val="0"/>
          <w:i w:val="0"/>
        </w:rPr>
        <w:t>Exchange đã nhân đôi số lượng cổ phiếu phổ thông Selectica mà mỗi cổ đông sở hữu theo sổ đăng ký, ngoại trừ Trilogy hoặc Versata, qua đó giảm tỷ lệ sở hữu hưởng lợi của họ từ 6.7% xuống 3.3%. Việc triển khai Exchange đã dẫn đến việc đóng băng giao dịch cổ phiếu Selectica từ ngày 5 tháng 1 năm 2009 đến ngày 4 tháng 2 năm 2009, với giá cổ phiếu bị đóng băng ở mức $0.69. Reloaded NOL Poison Pill sẽ hết hạn vào ngày 2 tháng 1 năm 2012, trừ khi ngày hết hạn được đẩy sớm hơn hoặc kéo dài, hoặc trừ khi các quyền này được Hội đồng trao đổi hoặc mua lại vào một thời điểm nào đó trước đó.</w:t>
      </w:r>
    </w:p>
    <w:p>
      <w:pPr>
        <w:spacing w:after="80"/>
      </w:pPr>
      <w:r>
        <w:rPr>
          <w:b w:val="0"/>
          <w:i w:val="0"/>
        </w:rPr>
        <w:t>* * *</w:t>
      </w:r>
    </w:p>
    <w:p>
      <w:pPr>
        <w:spacing w:after="80"/>
      </w:pPr>
      <w:r>
        <w:rPr>
          <w:b w:val="0"/>
          <w:i w:val="0"/>
        </w:rPr>
        <w:t>[Sau khi phát hiện rằng khả năng mất NOL cấu thành một mối đe dọa đủ để biện minh cho chiến thuật phòng thủ, tòa án đã xem xét liệu ngưỡng 5% có mang tính ngăn chặn hay không.]</w:t>
      </w:r>
    </w:p>
    <w:p>
      <w:pPr>
        <w:spacing w:after="80"/>
      </w:pPr>
      <w:r>
        <w:rPr>
          <w:b w:val="0"/>
          <w:i w:val="0"/>
        </w:rPr>
        <w:t xml:space="preserve">Phần thứ hai của bài kiểm tra </w:t>
      </w:r>
      <w:r>
        <w:rPr>
          <w:b w:val="0"/>
          <w:i/>
        </w:rPr>
        <w:t>Unocal</w:t>
      </w:r>
      <w:r>
        <w:rPr>
          <w:b w:val="0"/>
          <w:i w:val="0"/>
        </w:rPr>
        <w:t xml:space="preserve"> yêu cầu đánh giá ban đầu xem liệu phản ứng phòng thủ của hội đồng trước mối đe dọa có mang tính ngăn chặn hoặc cưỡng chế hay không, và nếu không phải cả hai, liệu phản ứng đó có “hợp lý trong mối tương quan với mối đe dọa” đã được xác định hay không. Theo </w:t>
      </w:r>
      <w:r>
        <w:rPr>
          <w:b w:val="0"/>
          <w:i/>
        </w:rPr>
        <w:t>Unitrin</w:t>
      </w:r>
      <w:r>
        <w:rPr>
          <w:b w:val="0"/>
          <w:i w:val="0"/>
        </w:rPr>
        <w:t xml:space="preserve">, một biện pháp phòng thủ là không cân xứng và không hợp lý </w:t>
      </w:r>
      <w:r>
        <w:rPr>
          <w:b w:val="0"/>
          <w:i/>
        </w:rPr>
        <w:t>per se</w:t>
      </w:r>
      <w:r>
        <w:rPr>
          <w:b w:val="0"/>
          <w:i w:val="0"/>
        </w:rPr>
        <w:t xml:space="preserve"> nếu nó mang tính hà khắc bằng cách hoặc là cưỡng chế hoặc là ngăn chặn. Một phản ứng cưỡng chế là phản ứng “nhằm ‘ép buộc’ cổ đông chấp nhận một phương án thay thế do ban lãnh đạo đề xuất.”</w:t>
      </w:r>
    </w:p>
    <w:p>
      <w:pPr>
        <w:spacing w:after="80"/>
      </w:pPr>
      <w:r>
        <w:rPr>
          <w:b w:val="0"/>
          <w:i w:val="0"/>
        </w:rPr>
        <w:t xml:space="preserve">Một biện pháp phòng thủ là ngăn chặn khi nó “khiến khả năng của một bên chào mua trong việc tiến hành một cuộc tranh cử ủy quyền thành công và giành quyền kiểm soát trở thành ‘bất khả thi về mặt toán học’ hoặc ‘không thể đạt được trên thực tế’.” Một cuộc tranh cử ủy quyền thành công mà bất khả thi về mặt toán học thì, </w:t>
      </w:r>
      <w:r>
        <w:rPr>
          <w:b w:val="0"/>
          <w:i/>
        </w:rPr>
        <w:t>ipso facto</w:t>
      </w:r>
      <w:r>
        <w:rPr>
          <w:b w:val="0"/>
          <w:i w:val="0"/>
        </w:rPr>
        <w:t xml:space="preserve">, không thể đạt được trên thực tế. Bởi vì cách diễn đạt “bất khả thi về mặt toán học” trong </w:t>
      </w:r>
      <w:r>
        <w:rPr>
          <w:b w:val="0"/>
          <w:i/>
        </w:rPr>
        <w:t>Unitrin</w:t>
      </w:r>
      <w:r>
        <w:rPr>
          <w:b w:val="0"/>
          <w:i w:val="0"/>
        </w:rPr>
        <w:t xml:space="preserve"> được bao hàm trong phạm trù ngăn chặn được mô tả là “không thể đạt được trên thực tế,” nên về mặt phân tích, chỉ có một bài kiểm tra về tính ngăn chặn: “không thể đạt được trên thực tế.”</w:t>
      </w:r>
    </w:p>
    <w:p>
      <w:pPr>
        <w:spacing w:after="80"/>
      </w:pPr>
      <w:r>
        <w:rPr>
          <w:b w:val="0"/>
          <w:i w:val="0"/>
        </w:rPr>
        <w:t>* * *</w:t>
      </w:r>
    </w:p>
    <w:p>
      <w:pPr>
        <w:spacing w:after="80"/>
      </w:pPr>
      <w:r>
        <w:rPr>
          <w:b w:val="0"/>
          <w:i w:val="0"/>
        </w:rPr>
        <w:t>Trilogy lập luận rằng, ngay cả khi một cổ đông nắm giữ 4.99% có thể thắng một cuộc tranh cử ủy quyền trên thực tế, “câu hỏi về tính ngăn chặn tập trung vào việc liệu một bên thách thức có thể đạt được đủ quyền kiểm soát hội đồng một cách thực tế để loại bỏ viên thuốc hay không.” Ở đây, Trilogy cho rằng, hội đồng được phân loại theo điều lệ của Selectica thực sự chặn đứng một đề nghị chào mua có điều kiện mua lại NOL Poison Pill, bởi vì nó đòi hỏi một bên thách thức ủy quyền phải phát động và hoàn thành hai cuộc tranh cử ủy quyền thành công để thay đổi quyền kiểm soát. Do đó, Trilogy lập luận rằng ngay cả khi một cổ đông nắm giữ dưới 5% có thể thắng một cuộc tranh cử ủy quyền, Kế hoạch Quyền của Selectica với ngưỡng kích hoạt 4.99% kết hợp với hội đồng được phân loại theo điều lệ của Selectica, khiến một cuộc tranh cử ủy quyền thành công để giành quyền kiểm soát hội đồng trở thành “không thể đạt được trên thực tế.”</w:t>
      </w:r>
    </w:p>
    <w:p>
      <w:pPr>
        <w:spacing w:after="80"/>
      </w:pPr>
      <w:r>
        <w:rPr>
          <w:b w:val="0"/>
          <w:i w:val="0"/>
        </w:rPr>
        <w:t>Lập luận về tính ngăn chặn của Trilogy đã trộn lẫn hai câu hỏi riêng biệt: thứ nhất, liệu một cuộc tranh cử ủy quyền thành công có thể đạt được trên thực tế hay không; và thứ hai, liệu một cuộc tranh cử ủy quyền thành công có dẫn đến việc giành quyền kiểm soát hội đồng tại cuộc bầu cử tiếp theo hay không. Trilogy lập luận rằng trừ khi cả hai câu hỏi đều có thể được trả lời khẳng định, thì một Kế hoạch Quyền và một hội đồng được phân loại, khi xem xét cùng nhau, là mang tính ngăn chặn. Nếu lập luận về tính ngăn chặn đó là đúng, thì nó sẽ áp dụng bất cứ khi nào một công ty có cả hội đồng được phân loại và Kế hoạch Quyền, bất kể ngưỡng kích hoạt là 4.99%, 20%, hay bất kỳ mức nào ở giữa các ngưỡng đó.</w:t>
      </w:r>
    </w:p>
    <w:p>
      <w:pPr>
        <w:spacing w:after="80"/>
      </w:pPr>
      <w:r>
        <w:rPr>
          <w:b w:val="0"/>
          <w:i w:val="0"/>
        </w:rPr>
        <w:t xml:space="preserve">Các hội đồng quản trị được phân loại (classified boards) được luật pháp cho phép và được áp dụng cho nhiều mục đích kinh doanh khác nhau. Bất kỳ hội đồng quản trị được phân loại nào cũng hoạt động như một biện pháp phòng vệ chống thâu tóm (anti-takeover defense) bằng cách ngăn chặn kẻ nổi loạn giành quyền kiểm soát hội đồng quản trị trong một cuộc bầu cử. Hơn một thập kỷ trước, trong </w:t>
      </w:r>
      <w:r>
        <w:rPr>
          <w:b w:val="0"/>
          <w:i/>
        </w:rPr>
        <w:t>Carmody</w:t>
      </w:r>
      <w:r>
        <w:rPr>
          <w:b w:val="0"/>
          <w:i w:val="0"/>
        </w:rPr>
        <w:t xml:space="preserve">, Tòa án Đại chưởng (Court of Chancery) đã lưu ý rằng "vì chỉ một phần ba hội đồng quản trị được phân loại sẽ được bầu lại mỗi năm, một hội đồng quản trị được phân loại sẽ </w:t>
      </w:r>
      <w:r>
        <w:rPr>
          <w:b w:val="0"/>
          <w:i/>
        </w:rPr>
        <w:t>trì hoãn—nhưng không ngăn chặn—kẻ thâu tóm thù địch giành quyền kiểm soát hội đồng quản trị</w:t>
      </w:r>
      <w:r>
        <w:rPr>
          <w:b w:val="0"/>
          <w:i w:val="0"/>
        </w:rPr>
        <w:t>, bởi vì một kẻ thâu tóm quyết tâm có thể tiến hành một cuộc tranh giành ủy quyền (proxy contest) và giành quyền kiểm soát hai phần ba hội đồng quản trị mục tiêu trong khoảng thời gian hai năm, thay vì chiếm quyền kiểm soát trong một cuộc bầu cử duy nhất." Việc kết hợp các biện pháp phòng vệ khiến kẻ thâu tóm gặp khó khăn hơn trong việc giành quyền kiểm soát hội đồng quản trị không làm cho những biện pháp đó trở nên bất khả thi trên thực tế, tức là có tính ngăn chặn (preclusive).</w:t>
      </w:r>
    </w:p>
    <w:p>
      <w:pPr>
        <w:spacing w:after="80"/>
      </w:pPr>
      <w:r>
        <w:rPr>
          <w:b w:val="0"/>
          <w:i w:val="0"/>
        </w:rPr>
        <w:t xml:space="preserve">Trong </w:t>
      </w:r>
      <w:r>
        <w:rPr>
          <w:b w:val="0"/>
          <w:i/>
        </w:rPr>
        <w:t>Moran</w:t>
      </w:r>
      <w:r>
        <w:rPr>
          <w:b w:val="0"/>
          <w:i w:val="0"/>
        </w:rPr>
        <w:t xml:space="preserve">, chúng tôi đã bác bỏ lập luận "rằng Kế hoạch Quyền (Rights Plan) tước đi quyền nhận đề nghị mua lại (tender offers) của cổ đông, và rằng Kế hoạch Quyền hạn chế một cách cơ bản các cuộc tranh giành ủy quyền." Chúng tôi giải thích rằng "Kế hoạch Quyền sẽ không có tác động nghiêm trọng lên các cuộc tranh giành ủy quyền và nó sẽ không </w:t>
      </w:r>
      <w:r>
        <w:rPr>
          <w:b w:val="0"/>
          <w:i/>
        </w:rPr>
        <w:t>ngăn cản</w:t>
      </w:r>
      <w:r>
        <w:rPr>
          <w:b w:val="0"/>
          <w:i w:val="0"/>
        </w:rPr>
        <w:t xml:space="preserve"> tất cả các vụ thâu tóm thù địch đối với Household." Trong trường hợp này, chúng tôi phán quyết rằng sự kết hợp giữa một hội đồng quản trị được phân loại và một Kế hoạch Quyền không cấu thành một biện pháp phòng vệ có tính ngăn chặn.</w:t>
      </w:r>
    </w:p>
    <w:p>
      <w:pPr>
        <w:spacing w:after="80"/>
      </w:pPr>
      <w:r>
        <w:rPr>
          <w:b w:val="0"/>
          <w:i/>
        </w:rPr>
        <w:t>Phạm vi Hợp lý</w:t>
      </w:r>
    </w:p>
    <w:p>
      <w:pPr>
        <w:spacing w:after="80"/>
      </w:pPr>
      <w:r>
        <w:rPr>
          <w:b w:val="0"/>
          <w:i w:val="0"/>
        </w:rPr>
        <w:t xml:space="preserve">Nếu một biện pháp phòng vệ không mang tính cưỡng chế cũng không mang tính ngăn chặn, thì bài kiểm tra tính tương xứng của </w:t>
      </w:r>
      <w:r>
        <w:rPr>
          <w:b w:val="0"/>
          <w:i/>
        </w:rPr>
        <w:t>Unocal</w:t>
      </w:r>
      <w:r>
        <w:rPr>
          <w:b w:val="0"/>
          <w:i w:val="0"/>
        </w:rPr>
        <w:t xml:space="preserve"> "đòi hỏi trọng tâm của việc giám sát tư pháp tăng cường phải chuyển sang 'phạm vi hợp lý'." Khi tất cả các biện pháp phòng vệ "có mối liên hệ chặt chẽ với nhau, các nguyên tắc của </w:t>
      </w:r>
      <w:r>
        <w:rPr>
          <w:b w:val="0"/>
          <w:i/>
        </w:rPr>
        <w:t>Unocal</w:t>
      </w:r>
      <w:r>
        <w:rPr>
          <w:b w:val="0"/>
          <w:i w:val="0"/>
        </w:rPr>
        <w:t xml:space="preserve"> yêu cầu rằng những hành động đó phải được xem xét một cách tập thể như một phản ứng đơn nhất đối với mối đe dọa được nhận thức." Trilogy khẳng định rằng Thuốc độc NOL (NOL Poison Pill), Giao dịch Hoán đổi (Exchange), và Thuốc độc NOL Nạp lại (Reloaded NOL Poison Pill) không phải là một phản ứng tập thể hợp lý đối với mối đe dọa làm suy giảm các NOL của Selectica.</w:t>
      </w:r>
    </w:p>
    <w:p>
      <w:pPr>
        <w:spacing w:after="80"/>
      </w:pPr>
      <w:r>
        <w:rPr>
          <w:b w:val="0"/>
          <w:i w:val="0"/>
        </w:rPr>
        <w:t>* * *</w:t>
      </w:r>
    </w:p>
    <w:p>
      <w:pPr>
        <w:spacing w:after="80"/>
      </w:pPr>
      <w:r>
        <w:rPr>
          <w:b w:val="0"/>
          <w:i w:val="0"/>
        </w:rPr>
        <w:t xml:space="preserve">Theo phần hai của bài kiểm tra </w:t>
      </w:r>
      <w:r>
        <w:rPr>
          <w:b w:val="0"/>
          <w:i/>
        </w:rPr>
        <w:t>Unocal</w:t>
      </w:r>
      <w:r>
        <w:rPr>
          <w:b w:val="0"/>
          <w:i w:val="0"/>
        </w:rPr>
        <w:t xml:space="preserve">, Tòa án Đại chưởng đã phát hiện rằng sự kết hợp giữa Thuốc độc NOL, Giao dịch Hoán đổi, và Thuốc độc NOL Nạp lại là một phản ứng tương xứng đối với mối đe dọa mất mát các NOL của Selectica. Những phát hiện đó không rõ ràng là sai lầm. Chúng được hỗ trợ bởi hồ sơ vụ án và là kết quả của một quá trình lập luận suy diễn logic. Theo đó, chúng tôi phán quyết rằng các giám đốc của Selectica đã thỏa mãn phần thứ hai của bài kiểm tra </w:t>
      </w:r>
      <w:r>
        <w:rPr>
          <w:b w:val="0"/>
          <w:i/>
        </w:rPr>
        <w:t>Unocal</w:t>
      </w:r>
      <w:r>
        <w:rPr>
          <w:b w:val="0"/>
          <w:i w:val="0"/>
        </w:rPr>
        <w:t xml:space="preserve"> bằng cách chứng minh rằng phản ứng phòng vệ của họ là tương xứng vì "hợp lý trong mối tương quan với mối đe dọa" đã được xác định.</w:t>
      </w:r>
    </w:p>
    <w:p>
      <w:pPr>
        <w:spacing w:after="80"/>
      </w:pPr>
      <w:r>
        <w:rPr>
          <w:b w:val="0"/>
          <w:i/>
        </w:rPr>
        <w:t>Bối cảnh Quyết định Tính Hợp lý</w:t>
      </w:r>
    </w:p>
    <w:p>
      <w:pPr>
        <w:spacing w:after="80"/>
      </w:pPr>
      <w:r>
        <w:rPr>
          <w:b w:val="0"/>
          <w:i w:val="0"/>
        </w:rPr>
        <w:t xml:space="preserve">Theo phân tích </w:t>
      </w:r>
      <w:r>
        <w:rPr>
          <w:b w:val="0"/>
          <w:i/>
        </w:rPr>
        <w:t>Unocal</w:t>
      </w:r>
      <w:r>
        <w:rPr>
          <w:b w:val="0"/>
          <w:i w:val="0"/>
        </w:rPr>
        <w:t>, tính hợp lý của phản ứng của hội đồng quản trị được xác định trong mối tương quan với "mối đe dọa cụ thể," tại thời điểm nó được xác định. Do đó, chính bản chất cụ thể của mối đe dọa "đặt ra các thông số cho phạm vi các chiến thuật phòng vệ được phép" tại bất kỳ thời điểm nào. Hồ sơ vụ án chứng minh rằng một đối thủ lâu năm đã tìm cách tăng tỷ lệ sở hữu cổ phần của mình, không phải với mục đích tiến hành một vụ thâu tóm thù địch mà là để cố ý làm suy giảm tài sản của công ty, hoặc để cưỡng ép Selectica đáp ứng một số yêu cầu kinh doanh nhất định dưới mối đe dọa về sự suy giảm đó. Chỉ trong mối tương quan với mối đe dọa cụ thể đó, Tòa án Đại chưởng và Tòa án này mới xem xét tính hợp lý của phản ứng của Selectica.</w:t>
      </w:r>
    </w:p>
    <w:p>
      <w:pPr>
        <w:spacing w:after="80"/>
      </w:pPr>
      <w:r>
        <w:rPr>
          <w:b w:val="0"/>
          <w:i w:val="0"/>
        </w:rPr>
        <w:t xml:space="preserve">Hội đồng quản trị Selectica đã hoàn thành nghĩa vụ chứng minh của mình theo cả hai phần của bài kiểm tra </w:t>
      </w:r>
      <w:r>
        <w:rPr>
          <w:b w:val="0"/>
          <w:i/>
        </w:rPr>
        <w:t>Unocal</w:t>
      </w:r>
      <w:r>
        <w:rPr>
          <w:b w:val="0"/>
          <w:i w:val="0"/>
        </w:rPr>
        <w:t xml:space="preserve">. Do đó, tại thời điểm này, Hội đồng quản trị Selectica đã vượt qua được sự giám sát tư pháp tăng cường theo yêu cầu của bài kiểm tra </w:t>
      </w:r>
      <w:r>
        <w:rPr>
          <w:b w:val="0"/>
          <w:i/>
        </w:rPr>
        <w:t>Unocal</w:t>
      </w:r>
      <w:r>
        <w:rPr>
          <w:b w:val="0"/>
          <w:i w:val="0"/>
        </w:rPr>
        <w:t xml:space="preserve"> gồm hai phần. Tuy nhiên, điều đó không kết thúc vấn đề.</w:t>
      </w:r>
    </w:p>
    <w:p>
      <w:pPr>
        <w:spacing w:after="80"/>
      </w:pPr>
      <w:r>
        <w:rPr>
          <w:b w:val="0"/>
          <w:i w:val="0"/>
        </w:rPr>
        <w:t xml:space="preserve">Như chúng tôi đã phán quyết trong </w:t>
      </w:r>
      <w:r>
        <w:rPr>
          <w:b w:val="0"/>
          <w:i/>
        </w:rPr>
        <w:t>Moran</w:t>
      </w:r>
      <w:r>
        <w:rPr>
          <w:b w:val="0"/>
          <w:i w:val="0"/>
        </w:rPr>
        <w:t>, việc áp dụng một Kế hoạch Quyền không phải là tuyệt đối. Trong các trường hợp khác, chúng tôi đã duy trì việc áp dụng các Kế hoạch Quyền trong các hoàn cảnh phòng vệ cụ thể, đồng thời phán quyết rằng có thể không thích hợp để một Kế hoạch Quyền tiếp tục tồn tại khi những hoàn cảnh cụ thể đó thay đổi một cách đáng kể. Việc Thuốc độc NOL là hợp lý theo các sự kiện và hoàn cảnh cụ thể của trường hợp này không nên được hiểu là sự chấp thuận chung cho tính hợp lý của một ngưỡng kích hoạt 4.99% trong Kế hoạch Quyền của một công ty có hoặc không có NOL.</w:t>
      </w:r>
    </w:p>
    <w:p>
      <w:pPr>
        <w:spacing w:after="80"/>
      </w:pPr>
      <w:r>
        <w:rPr>
          <w:b w:val="0"/>
          <w:i w:val="0"/>
        </w:rPr>
        <w:t xml:space="preserve">Để nhắc lại </w:t>
      </w:r>
      <w:r>
        <w:rPr>
          <w:b w:val="0"/>
          <w:i/>
        </w:rPr>
        <w:t>Moran</w:t>
      </w:r>
      <w:r>
        <w:rPr>
          <w:b w:val="0"/>
          <w:i w:val="0"/>
        </w:rPr>
        <w:t>, "phản ứng cuối cùng đối với một đề nghị thâu tóm thực sự phải được đánh giá bằng hành động của các Giám đốc tại thời điểm đó." Nếu và khi Hội đồng quản trị Selectica "phải đối mặt với một đề nghị mua lại và một yêu cầu mua lại [Thuốc độc NOL Nạp lại], họ sẽ không thể tùy tiện từ chối đề nghị đó. Họ sẽ phải chịu các tiêu chuẩn ủy thác giống như bất kỳ hội đồng quản trị nào khác phải chịu khi quyết định áp dụng một cơ chế phòng vệ." Hội đồng quản trị Selectica không có quyền tùy ý nhiều hơn trong việc từ chối mua lại Kế hoạch Quyền so với việc ban hành bất kỳ cơ chế phòng vệ nào. Do đó, việc sử dụng Thuốc độc NOL Nạp lại trong tương lai của Hội đồng quản trị Selectica phải được đánh giá nếu và khi vấn đề đó phát sinh.</w:t>
      </w:r>
    </w:p>
    <w:p>
      <w:pPr>
        <w:pStyle w:val="Heading5"/>
      </w:pPr>
      <w:r>
        <w:rPr>
          <w:rFonts w:ascii="Calibri" w:hAnsi="Calibri"/>
          <w:b/>
          <w:i/>
          <w:sz w:val="22"/>
        </w:rPr>
        <w:t>Bình luận và Câu hỏi</w:t>
      </w:r>
    </w:p>
    <w:p>
      <w:pPr>
        <w:spacing w:after="80"/>
      </w:pPr>
      <w:r>
        <w:rPr>
          <w:b w:val="0"/>
          <w:i w:val="0"/>
        </w:rPr>
        <w:t>1. Việc thực hiện thuốc độc (poison pill) minh họa bản chất gây dừng lại của chiến thuật phòng vệ này. Trước khi thực hiện thuốc độc, Selectica có 28.7 triệu cổ phiếu đang lưu hành. Sau đó, con số này tăng lên 55.5 triệu. Với việc Trilogy bị loại khỏi giao dịch hoán đổi, tác động rất nghiêm trọng. Trilogy chứng kiến tỷ lệ sở hữu của mình tính theo phần trăm cổ phiếu đang lưu hành giảm từ 6.7% xuống 3.3%. Có thể giả định rằng giá trị bằng đô la của khoản đầu tư cũng bị pha loãng tương tự.</w:t>
      </w:r>
    </w:p>
    <w:p>
      <w:pPr>
        <w:spacing w:after="80"/>
      </w:pPr>
      <w:r>
        <w:rPr>
          <w:b w:val="0"/>
          <w:i w:val="0"/>
        </w:rPr>
        <w:t xml:space="preserve">2. Tòa án Đại chưởng cấp dưới đã lưu ý rằng các thuốc độc có ngưỡng kích hoạt ở mức 15–20% chiếm "ít nhất" 90% các ví dụ được nghiên cứu và rằng những loại có ngưỡng kích hoạt dưới 5% là "khá hiếm." Lời khai còn chỉ ra rằng "hơn năm mươi công ty đại chúng đã triển khai thuốc độc NOL với ngưỡng kích hoạt khoảng 5%, bao gồm một số tập đoàn lớn, nổi tiếng, một số nằm trong danh sách Fortune 1000." Liệu điều này có khả năng thay đổi sau phán quyết này không? </w:t>
      </w:r>
      <w:r>
        <w:rPr>
          <w:b w:val="0"/>
          <w:i/>
        </w:rPr>
        <w:t>Xem</w:t>
      </w:r>
      <w:r>
        <w:rPr>
          <w:b w:val="0"/>
          <w:i w:val="0"/>
        </w:rPr>
        <w:t xml:space="preserve"> Lucian A. Bebchuk và cộng sự, </w:t>
      </w:r>
      <w:r>
        <w:rPr>
          <w:b w:val="0"/>
          <w:i/>
        </w:rPr>
        <w:t>Pre-Disclosure Accumulation by Activist Investors: Evidence and Policy</w:t>
      </w:r>
      <w:r>
        <w:rPr>
          <w:b w:val="0"/>
          <w:i w:val="0"/>
        </w:rPr>
        <w:t>, 39 J. Corp. L. 1, 27 (2013) (ước tính rằng trong một mẫu hơn 800 thuốc độc, khoảng 15% bao gồm ngưỡng kích hoạt dưới 10%).</w:t>
      </w:r>
    </w:p>
    <w:p>
      <w:pPr>
        <w:spacing w:after="80"/>
      </w:pPr>
      <w:r>
        <w:rPr>
          <w:b w:val="0"/>
          <w:i w:val="0"/>
        </w:rPr>
        <w:t>3. Lập luận mà tòa án sử dụng khi xem xét ngưỡng thấp trong bối cảnh một công ty có hội đồng quản trị theo nhiệm kỳ so le (staggered board) là gì? Bạn nghĩ gì về phân tích này? Nó có đúng không? Hãy lập luận cả hai phía.</w:t>
      </w:r>
    </w:p>
    <w:p>
      <w:pPr>
        <w:spacing w:after="80"/>
      </w:pPr>
      <w:r>
        <w:rPr>
          <w:b w:val="0"/>
          <w:i w:val="0"/>
        </w:rPr>
        <w:t>4. Thuốc độc trong trường hợp này không mang tính ngăn chặn. Nói cách khác, nó không làm cho một cuộc tranh giành ủy quyền trở nên "bất khả thi trên thực tế." Với phán quyết này, một cổ đông sẽ phải chứng minh điều gì để tòa án phát hiện rằng một thuốc độc có tác động ngăn chặn đối với một cuộc tranh giành ủy quyền?</w:t>
      </w:r>
    </w:p>
    <w:p>
      <w:pPr>
        <w:spacing w:after="80"/>
      </w:pPr>
      <w:r>
        <w:rPr>
          <w:b w:val="0"/>
          <w:i w:val="0"/>
        </w:rPr>
        <w:t>5. Bạn nghĩ gì về phần thảo luận theo bối cảnh mà tòa án đưa ra ở cuối phán quyết? Nó gợi ý điều gì? Nếu bạn đang cố vấn cho hội đồng quản trị của Selectica, bạn sẽ khuyên các giám đốc điều gì sau khi phân tích?</w:t>
      </w:r>
    </w:p>
    <w:p>
      <w:pPr>
        <w:spacing w:after="80"/>
      </w:pPr>
      <w:r>
        <w:rPr>
          <w:b w:val="0"/>
          <w:i w:val="0"/>
        </w:rPr>
        <w:t xml:space="preserve">6. Một số nhà bình luận cho rằng </w:t>
      </w:r>
      <w:r>
        <w:rPr>
          <w:b w:val="0"/>
          <w:i/>
        </w:rPr>
        <w:t>Selectica</w:t>
      </w:r>
      <w:r>
        <w:rPr>
          <w:b w:val="0"/>
          <w:i w:val="0"/>
        </w:rPr>
        <w:t xml:space="preserve"> và việc sử dụng poison pill (thuốc độc) với ngưỡng kích hoạt thấp hơn sẽ chỉ làm tăng quyền lực của các dịch vụ cố vấn ủy quyền và "biến mọi cuộc bầu cử doanh nghiệp đầy tranh chấp thành một phiên tòa trước các cố vấn bỏ phiếu ủy quyền đầy quyền lực". Paul H. Edelman &amp; Randall S. Thomas, </w:t>
      </w:r>
      <w:r>
        <w:rPr>
          <w:b w:val="0"/>
          <w:i/>
        </w:rPr>
        <w:t>Resetting the Trigger on the Poison Pill: Selectica's Unanticipated Consequences</w:t>
      </w:r>
      <w:r>
        <w:rPr>
          <w:b w:val="0"/>
          <w:i w:val="0"/>
        </w:rPr>
        <w:t xml:space="preserve"> , Vanderbilt University Law School Law &amp; Economics, Research Paper No. 10-16, June 28, 2010. Làm thế nào điều này có thể xảy ra? Bạn nghĩ gì về kết quả này?</w:t>
      </w:r>
    </w:p>
    <w:p>
      <w:pPr>
        <w:spacing w:after="80"/>
      </w:pPr>
      <w:r>
        <w:rPr>
          <w:b w:val="0"/>
          <w:i w:val="0"/>
        </w:rPr>
        <w:t xml:space="preserve">7. Hãy so sánh hệ thống này với hệ thống được sử dụng ở Anh Quốc. Ban điều hành không được phép thực hiện các chiến thuật phòng thủ. Tuy nhiên, bên mua lại phải đưa ra lời đề nghị mua toàn bộ cổ phần trong một khoảng thời gian quy định. Kraft đã tận dụng hệ thống này để mua lại thành công quyền kiểm soát Cadbury, công ty bánh kẹo. Mặt khác, các lời đề nghị, ngay cả khi cao hơn giá thị trường, đôi khi vẫn thất bại. Nỗ lực của Nasdaq nhằm mua lại quyền kiểm soát Sở Giao dịch Chứng khoán London đã thất bại. Để thảo luận về hệ thống được sử dụng ở Anh, xem Christopher M. Bruner, </w:t>
      </w:r>
      <w:r>
        <w:rPr>
          <w:b w:val="0"/>
          <w:i/>
        </w:rPr>
        <w:t>Power and Purpose in the “Anglo-American” Corporation</w:t>
      </w:r>
      <w:r>
        <w:rPr>
          <w:b w:val="0"/>
          <w:i w:val="0"/>
        </w:rPr>
        <w:t xml:space="preserve"> , 50 Va. J. Int'l L. 579 (2010).</w:t>
      </w:r>
    </w:p>
    <w:p>
      <w:pPr>
        <w:spacing w:after="80"/>
      </w:pPr>
      <w:r>
        <w:rPr>
          <w:b w:val="0"/>
          <w:i w:val="0"/>
        </w:rPr>
        <w:t>—————</w:t>
      </w:r>
    </w:p>
    <w:p>
      <w:pPr>
        <w:spacing w:after="80"/>
      </w:pPr>
      <w:r>
        <w:rPr>
          <w:b w:val="0"/>
          <w:i w:val="0"/>
        </w:rPr>
        <w:t>Poison pill thường có các ngưỡng kích hoạt áp dụng cho tất cả cổ đông, mặc dù chúng có thể miễn trừ cho các nhà đầu tư lớn hiện hữu. Tuy nhiên, trong lĩnh vực này, các thông lệ vẫn không ngừng phát triển. Một số pill nhắm riêng vào các nhà đầu tư hoạt động (activist investor), áp đặt ngưỡng kích hoạt thấp hơn.</w:t>
      </w:r>
    </w:p>
    <w:p>
      <w:pPr>
        <w:pStyle w:val="Heading4"/>
      </w:pPr>
      <w:r>
        <w:rPr>
          <w:rFonts w:ascii="Calibri" w:hAnsi="Calibri"/>
          <w:b/>
          <w:i w:val="0"/>
          <w:sz w:val="23"/>
        </w:rPr>
        <w:t>Third Point LLC v. Ruprecht</w:t>
      </w:r>
    </w:p>
    <w:p>
      <w:pPr>
        <w:spacing w:after="80"/>
      </w:pPr>
      <w:r>
        <w:rPr>
          <w:b w:val="0"/>
          <w:i w:val="0"/>
        </w:rPr>
        <w:t>C.A. No. 9469-VCP, Delaware Chancery, May 2, 2014</w:t>
      </w:r>
    </w:p>
    <w:p>
      <w:pPr>
        <w:spacing w:after="80"/>
      </w:pPr>
      <w:r>
        <w:rPr>
          <w:b w:val="0"/>
          <w:i w:val="0"/>
        </w:rPr>
        <w:t>PARSONS , VICE CHANCELLOR :</w:t>
      </w:r>
    </w:p>
    <w:p>
      <w:pPr>
        <w:spacing w:after="80"/>
      </w:pPr>
      <w:r>
        <w:rPr>
          <w:b w:val="0"/>
          <w:i w:val="0"/>
        </w:rPr>
        <w:t>Nguyên đơn chính là một quỹ đầu cơ hoạt động (activist hedge fund) và là cổ đông của công ty. Theo quỹ đầu cơ này, hội đồng quản trị công ty đã vi phạm nghĩa vụ ủy thác (fiduciary duty) của họ khi thông qua kế hoạch quyền (rights plan) và từ chối cấp cho quỹ một sự miễn trừ khỏi các điều khoản của kế hoạch quyền, để hội đồng quản trị có thể giành được lợi thế không được phép trong một cuộc tranh chấp ủy quyền đang diễn ra với quỹ đầu cơ. Quỹ đầu cơ còn khẳng định thêm rằng, bất kể ý định của hội đồng quản trị khi thông qua và từ chối miễn trừ một số đặc điểm nhất định của kế hoạch quyền, quỹ này không tạo ra mối đe dọa nào có thể được pháp luật công nhận đối với công ty, và dù sao đi nữa, kế hoạch quyền cũng không phải là một biện pháp đáp trả tương xứng với bất kỳ mối đe dọa nào mà hội đồng quản trị có thể đã nhận thấy. Các nguyên đơn khác trong vụ kiện này là các cổ đông tổ chức, những người tự nhận đại diện cho lợi ích của các cổ đông công ty ngoài các quỹ đầu cơ. Các cổ đông nguyên đơn phần lớn đồng tình với các lập luận mà quỹ đầu cơ đưa ra, đặc biệt nhấn mạnh vào tác động mà kế hoạch quyền có khả năng gây ra đối với quyền bầu cử của cổ đông cả trong ngắn hạn lẫn dài hạn.</w:t>
      </w:r>
    </w:p>
    <w:p>
      <w:pPr>
        <w:spacing w:after="80"/>
      </w:pPr>
      <w:r>
        <w:rPr>
          <w:b w:val="0"/>
          <w:i w:val="0"/>
        </w:rPr>
        <w:t>Đáp lại, các giám đốc bị đơn, những người hợp thành hội đồng quản trị công ty, khẳng định rằng, trong mọi thời điểm liên quan, quỹ đầu cơ đã tạo ra một số mối đe dọa khác nhau có thể được pháp luật công nhận đối với công ty, và rằng hội đồng quản trị đã đáp trả một cách tương xứng với những mối đe dọa đó cả khi thông qua kế hoạch quyền lẫn khi từ chối cấp cho quỹ đầu cơ sự miễn trừ khỏi một số điều khoản của kế hoạch. Các bị đơn cũng lập luận rằng cấu trúc hai tầng của kế hoạch quyền là hợp lý dựa trên nguồn gốc của các mối đe dọa đối với công ty.</w:t>
      </w:r>
    </w:p>
    <w:p>
      <w:pPr>
        <w:spacing w:after="80"/>
      </w:pPr>
      <w:r>
        <w:rPr>
          <w:b w:val="0"/>
          <w:i w:val="0"/>
        </w:rPr>
        <w:t>* * *</w:t>
      </w:r>
    </w:p>
    <w:p>
      <w:pPr>
        <w:spacing w:after="80"/>
      </w:pPr>
      <w:r>
        <w:rPr>
          <w:b w:val="0"/>
          <w:i w:val="0"/>
        </w:rPr>
        <w:t>Sotheby's là một doanh nghiệp nghệ thuật toàn cầu và chủ yếu tập trung vào vai trò đại lý cho các giao dịch mua bán nghệ thuật cao cấp. Công ty hoạt động trong một thị trường về cơ bản là độc quyền đôi (duopolistic) với Christie's, một doanh nghiệp tư nhân, là đối thủ cạnh tranh chủ yếu. Do đó, khi nói đến việc thu hút khách hàng hoặc nhân sự chủ chốt, Công ty và Christie's phần lớn bị cuốn vào một cuộc chơi "tổng bằng không" (zero sum), trong đó thất bại của bên này thường đồng nghĩa với thắng lợi của bên kia.</w:t>
      </w:r>
    </w:p>
    <w:p>
      <w:pPr>
        <w:spacing w:after="80"/>
      </w:pPr>
      <w:r>
        <w:rPr>
          <w:b w:val="0"/>
          <w:i w:val="0"/>
        </w:rPr>
        <w:t>* * *</w:t>
      </w:r>
    </w:p>
    <w:p>
      <w:pPr>
        <w:spacing w:after="80"/>
      </w:pPr>
      <w:r>
        <w:rPr>
          <w:b/>
          <w:i w:val="0"/>
        </w:rPr>
        <w:t>3. Các quỹ đầu cơ, bao gồm Third Point, bắt đầu mua cổ phiếu của Sotheby's</w:t>
      </w:r>
    </w:p>
    <w:p>
      <w:pPr>
        <w:spacing w:after="80"/>
      </w:pPr>
      <w:r>
        <w:rPr>
          <w:b w:val="0"/>
          <w:i w:val="0"/>
        </w:rPr>
        <w:t>Vào ngày 15 tháng 5 năm 2013, trong một Form 13F nộp cho SEC, Third Point tiết lộ rằng họ đã mua 500,000 cổ phiếu của Sotheby's. Vào ngày 11 tháng 6 năm 2013, Morrow &amp; Company (“Morrow”), công ty chuyên vận động ủy quyền (proxy solicitor) của Công ty, đã thông báo cho Jennifer Park, giám đốc Quan hệ Nhà đầu tư của Sotheby's, rằng Trian Fund Management, L.P. (“Trian”), một quỹ đầu cơ hoạt động có quan hệ với Nelson Peltz, đã mua 250,000 cổ phiếu của Công ty. . . .</w:t>
      </w:r>
    </w:p>
    <w:p>
      <w:pPr>
        <w:spacing w:after="80"/>
      </w:pPr>
      <w:r>
        <w:rPr>
          <w:b w:val="0"/>
          <w:i w:val="0"/>
        </w:rPr>
        <w:t>Vào ngày 30 tháng 7 năm 2013, một quỹ hoạt động khác, Marcato Capital Management LLC (“Marcato”), đã nộp Schedule 13D tiết lộ việc họ mua 6.61% cổ phiếu phổ thông của Sotheby's . . . ;</w:t>
      </w:r>
    </w:p>
    <w:p>
      <w:pPr>
        <w:spacing w:after="80"/>
      </w:pPr>
      <w:r>
        <w:rPr>
          <w:b w:val="0"/>
          <w:i w:val="0"/>
        </w:rPr>
        <w:t>Vào ngày 9 tháng 8 năm 2013, ban lãnh đạo Sotheby's đã gặp riêng với cả Marcato và Third Point. Tại cuộc gặp với Marcato, Richard “Mick” McGuire, CEO của Marcato, đã thúc giục Công ty hoàn trả phần lớn tiền mặt hiện có cho các nhà đầu tư và cho các đại diện của Sotheby's xem những tài liệu ông đã chuẩn bị trước cuộc họp để phục vụ mục đích đó. . . .</w:t>
      </w:r>
    </w:p>
    <w:p>
      <w:pPr>
        <w:spacing w:after="80"/>
      </w:pPr>
      <w:r>
        <w:rPr>
          <w:b w:val="0"/>
          <w:i w:val="0"/>
        </w:rPr>
        <w:t>Vào ngày 14 tháng 8 năm 2013, Trian đã nộp Form 13F, tiết lộ rằng tính đến ngày 30 tháng 6 năm 2013, quỹ này đã mua hơn 2 triệu cổ phiếu của Sotheby's, tương đương khoảng 3% cổ phiếu phổ thông đang lưu hành của Công ty. Cùng ngày hôm đó, Công ty cũng biết được rằng Third Point đã tăng gấp năm lần cổ phần của mình tại Sotheby's (từ khoảng 500.000 cổ phiếu lên 2,5 triệu cổ phiếu), nâng tỷ lệ sở hữu tại Công ty lên khoảng 3,6%. . . .</w:t>
      </w:r>
    </w:p>
    <w:p>
      <w:pPr>
        <w:spacing w:after="80"/>
      </w:pPr>
      <w:r>
        <w:rPr>
          <w:b w:val="0"/>
          <w:i w:val="0"/>
        </w:rPr>
        <w:t>Chưa đầy hai tuần sau, vào ngày 26 tháng 8, Third Point đã nộp Schedule 13D ban đầu, tiết lộ rằng quỹ này đã mua được 5,7% cổ phần của Công ty. Theo hồ sơ này, Third Point dự định “tham gia đối thoại với các thành viên Hội đồng quản trị hoặc ban lãnh đạo,” và cũng có thể theo đuổi các cuộc thảo luận với các cổ đông khác hoặc “những người quan sát am hiểu về ngành hoặc thị trường (bao gồm cả những người tham gia thị trường nghệ thuật).” . . .</w:t>
      </w:r>
    </w:p>
    <w:p>
      <w:pPr>
        <w:spacing w:after="80"/>
      </w:pPr>
      <w:r>
        <w:rPr>
          <w:b w:val="0"/>
          <w:i w:val="0"/>
        </w:rPr>
        <w:t>Vào ngày 2 tháng 10 năm 2013, Third Point đã nộp Schedule 13D sửa đổi, tiết lộ rằng quỹ này đã tăng cổ phần tại Sotheby's lên 6,35 triệu cổ phiếu, tương đương khoảng 9,4% Công ty. Đính kèm theo Schedule 13D là một lá thư từ Loeb gửi Ruprecht. Trong lá thư, Loeb đã nêu ra một số lo ngại về Sotheby's, bao gồm “biên lợi nhuận hoạt động yếu kém kinh niên của Công ty và vị thế cạnh tranh ngày càng suy giảm so với Christie's,” “sự thiếu gắn kết của Ban lãnh đạo với các cổ đông,” “gói tiền mặt, lương, phụ cấp và các khoản thù lao hào phóng” của Ruprecht, “một hội đồng quản trị uể oải và đội ngũ điều hành được trả lương quá cao,” và “thiếu kỷ luật về chi phí.” . . .</w:t>
      </w:r>
    </w:p>
    <w:p>
      <w:pPr>
        <w:spacing w:after="80"/>
      </w:pPr>
      <w:r>
        <w:rPr>
          <w:b w:val="0"/>
          <w:i w:val="0"/>
        </w:rPr>
        <w:t>Vào ngày 3 tháng 10 năm 2013, Hội đồng quản trị đã tổ chức một cuộc họp đặc biệt, có sự tham gia của Goldman và Wachtell, để thảo luận về Schedule 13D cập nhật của Third Point và lá thư của Loeb. . . . [và thảo luận về khả năng áp dụng một viên thuốc độc (poison pill)]</w:t>
      </w:r>
    </w:p>
    <w:p>
      <w:pPr>
        <w:spacing w:after="80"/>
      </w:pPr>
      <w:r>
        <w:rPr>
          <w:b w:val="0"/>
          <w:i w:val="0"/>
        </w:rPr>
        <w:t>Vào ngày 4 tháng 10, Hội đồng quản trị đã tổ chức cuộc họp định kỳ theo lịch. Nội dung đầu tiên của chương trình là một mục “Cập nhật về Nhà đầu tư Hoạt động (Activist Investor Update)” khác. Sau khi tiếp tục thảo luận từ ngày hôm trước, Hội đồng quản trị đã nhất trí thông qua việc áp dụng Kế hoạch Quyền (Rights Plan). . . .</w:t>
      </w:r>
    </w:p>
    <w:p>
      <w:pPr>
        <w:spacing w:after="80"/>
      </w:pPr>
      <w:r>
        <w:rPr>
          <w:b w:val="0"/>
          <w:i w:val="0"/>
        </w:rPr>
        <w:t>Theo định nghĩa “Người Mua lại (Acquiring Person)” của Kế hoạch Quyền, những người báo cáo quyền sở hữu của họ tại Công ty theo Schedule 13G có thể mua tới 20% cổ phần tại Sotheby's. Một người chỉ đủ điều kiện nộp Schedule 13G nếu, trong số những điều kiện khác, họ “không mua các chứng khoán với bất kỳ mục đích nào, hoặc có hiệu quả, nhằm thay đổi hoặc gây ảnh hưởng đến quyền kiểm soát của tổ chức phát hành, hoặc liên quan đến hoặc với tư cách là người tham gia vào bất kỳ giao dịch nào có mục đích hoặc hiệu quả đó” và họ sở hữu dưới 20% chứng khoán của tổ chức phát hành. Tất cả các cổ đông khác, bao gồm cả những người báo cáo quyền sở hữu của họ theo Schedule 13D, như Third Point và Marcato, đều bị giới hạn ở mức 10% cổ phần tại Công ty trước khi kích hoạt Kế hoạch Quyền hay “viên thuốc độc.” . . .</w:t>
      </w:r>
    </w:p>
    <w:p>
      <w:pPr>
        <w:spacing w:after="80"/>
      </w:pPr>
      <w:r>
        <w:rPr>
          <w:b w:val="0"/>
          <w:i w:val="0"/>
        </w:rPr>
        <w:t>Vào ngày 13 tháng 3 năm 2014, Công ty đã thông báo rằng Dodge sẽ không ứng cử lại tại cuộc họp thường niên sắp tới. Cùng ngày hôm đó, Third Point lại sửa đổi Schedule 13D của mình, tiết lộ rằng quỹ này sở hữu, trực tiếp hoặc gián tiếp, 9,62% cổ phiếu Sotheby's. Ngoài ra, Third Point đã gửi một lá thư cho Sotheby's yêu cầu Công ty cấp cho mình một sự miễn trừ khỏi ngưỡng kích hoạt 10% của Kế hoạch Quyền, và cho phép quỹ này mua tới 20% cổ phần tại Công ty. . . .</w:t>
      </w:r>
    </w:p>
    <w:p>
      <w:pPr>
        <w:spacing w:after="80"/>
      </w:pPr>
      <w:r>
        <w:rPr>
          <w:b w:val="0"/>
          <w:i w:val="0"/>
        </w:rPr>
        <w:t>Hai ngày sau, vào ngày 21 tháng 3 năm 2014, Sotheby's đã thông báo cho Third Point rằng Hội đồng quản trị đã từ chối yêu cầu miễn trừ ngưỡng kích hoạt 10% của quỹ này. . . .</w:t>
      </w:r>
    </w:p>
    <w:p>
      <w:pPr>
        <w:spacing w:after="80"/>
      </w:pPr>
      <w:r>
        <w:rPr>
          <w:b/>
          <w:i w:val="0"/>
        </w:rPr>
        <w:t>II. PHÂN TÍCH</w:t>
      </w:r>
    </w:p>
    <w:p>
      <w:pPr>
        <w:spacing w:after="80"/>
      </w:pPr>
      <w:r>
        <w:rPr>
          <w:b w:val="0"/>
          <w:i w:val="0"/>
        </w:rPr>
        <w:t>Để có được lệnh cấm sơ bộ (preliminary injunction), nguyên đơn phải chứng minh: (1) có xác suất hợp lý để thắng kiện về nội dung; (2) rằng nếu không có biện pháp cấm đoán, họ sẽ chịu tổn thất không thể khắc phục; và (3) rằng sự cân bằng thiệt hại giữa các bên nghiêng về phía có lợi cho biện pháp cấm đoán. Lệnh cấm sẽ không được ban hành trừ khi cả ba yếu tố đều được thỏa mãn. . . .</w:t>
      </w:r>
    </w:p>
    <w:p>
      <w:pPr>
        <w:spacing w:after="80"/>
      </w:pPr>
      <w:r>
        <w:rPr>
          <w:b w:val="0"/>
          <w:i w:val="0"/>
        </w:rPr>
        <w:t>* * *</w:t>
      </w:r>
    </w:p>
    <w:p>
      <w:pPr>
        <w:spacing w:after="80"/>
      </w:pPr>
      <w:r>
        <w:rPr>
          <w:b w:val="0"/>
          <w:i w:val="0"/>
        </w:rPr>
        <w:t xml:space="preserve">Tiêu chuẩn </w:t>
      </w:r>
      <w:r>
        <w:rPr>
          <w:b w:val="0"/>
          <w:i/>
        </w:rPr>
        <w:t>Unocal</w:t>
      </w:r>
      <w:r>
        <w:rPr>
          <w:b w:val="0"/>
          <w:i w:val="0"/>
        </w:rPr>
        <w:t xml:space="preserve"> nổi tiếng bao gồm hai nhánh. Nhánh thứ nhất là “một bài kiểm tra tính hợp lý, được thỏa mãn bằng việc chứng minh rằng hội đồng quản trị có căn cứ hợp lý để tin rằng tồn tại một mối nguy hiểm đối với chính sách và hiệu quả của công ty.” Nói cách khác, hội đồng quản trị phải nêu rõ được một mối đe dọa có thể nhận diện về mặt pháp lý. Nhánh thứ nhất này “về cơ bản là một sự xem xét dựa trên quy trình.” “Các giám đốc thỏa mãn phần thứ nhất của bài kiểm tra </w:t>
      </w:r>
      <w:r>
        <w:rPr>
          <w:b w:val="0"/>
          <w:i/>
        </w:rPr>
        <w:t>Unocal</w:t>
      </w:r>
      <w:r>
        <w:rPr>
          <w:b w:val="0"/>
          <w:i w:val="0"/>
        </w:rPr>
        <w:t xml:space="preserve"> bằng cách chứng minh thiện chí và sự điều tra hợp lý.” Tuy nhiên, chỉ có một quy trình tốt thôi thì không đủ nếu nó không dẫn đến việc xác định được một mối đe dọa hợp lý về mặt khách quan. “[D]ù quy trình của hội đồng quản trị có mẫu mực đến đâu, hay hội đồng quản trị có độc lập đến đâu, hay cuộc điều tra của họ có hợp lý đến đâu, để đáp ứng nghĩa vụ chứng minh của mình theo nhánh thứ nhất của </w:t>
      </w:r>
      <w:r>
        <w:rPr>
          <w:b w:val="0"/>
          <w:i/>
        </w:rPr>
        <w:t>Unocal</w:t>
      </w:r>
      <w:r>
        <w:rPr>
          <w:b w:val="0"/>
          <w:i w:val="0"/>
        </w:rPr>
        <w:t>, các bị đơn phải thực sự nêu rõ được một mối đe dọa chính đáng nào đó đối với chính sách và hiệu quả của công ty.”</w:t>
      </w:r>
    </w:p>
    <w:p>
      <w:pPr>
        <w:spacing w:after="80"/>
      </w:pPr>
      <w:r>
        <w:rPr>
          <w:b w:val="0"/>
          <w:i w:val="0"/>
        </w:rPr>
        <w:t xml:space="preserve">Nhánh thứ hai của </w:t>
      </w:r>
      <w:r>
        <w:rPr>
          <w:b w:val="0"/>
          <w:i/>
        </w:rPr>
        <w:t>Unocal</w:t>
      </w:r>
      <w:r>
        <w:rPr>
          <w:b w:val="0"/>
          <w:i w:val="0"/>
        </w:rPr>
        <w:t xml:space="preserve"> là “một bài kiểm tra tính tương xứng, được thỏa mãn bằng việc chứng minh rằng phản ứng phòng vệ của hội đồng quản trị là hợp lý trong mối tương quan với mối đe dọa đặt ra.” Bản thân việc xem xét tính tương xứng bao gồm hai phần. Thứ nhất, Tòa án phải xem xét liệu các hành động phòng vệ của hội đồng quản trị có “hà khắc, bằng cách hoặc là ngăn chặn hoặc là cưỡng chế” hay không. Tiếp theo, nếu phản ứng của hội đồng quản trị đối với mối đe dọa không hà khắc, thì Tòa án phải quyết định liệu các hành động của họ có nằm “trong phạm vi các phản ứng hợp lý đối với mối đe dọa” đặt ra hay không. Hội đồng quản trị bị đơn phải chịu nghĩa vụ chứng minh tính hợp lý của các hành động của mình theo </w:t>
      </w:r>
      <w:r>
        <w:rPr>
          <w:b w:val="0"/>
          <w:i/>
        </w:rPr>
        <w:t>Unocal.</w:t>
      </w:r>
    </w:p>
    <w:p>
      <w:pPr>
        <w:spacing w:after="80"/>
      </w:pPr>
      <w:r>
        <w:rPr>
          <w:b/>
          <w:i w:val="0"/>
        </w:rPr>
        <w:t>2. Việc áp dụng Kế hoạch Quyền vào tháng 10 năm 2013 và việc từ chối cấp miễn trừ cho Third Point vào tháng 3 năm 2014</w:t>
      </w:r>
      <w:r>
        <w:br/>
      </w:r>
      <w:r>
        <w:rPr>
          <w:b/>
          <w:i w:val="0"/>
        </w:rPr>
        <w:t xml:space="preserve"> </w:t>
      </w:r>
    </w:p>
    <w:p>
      <w:pPr>
        <w:spacing w:after="80"/>
      </w:pPr>
      <w:r>
        <w:rPr>
          <w:b w:val="0"/>
          <w:i w:val="0"/>
        </w:rPr>
        <w:t xml:space="preserve">Như </w:t>
      </w:r>
      <w:r>
        <w:rPr>
          <w:b w:val="0"/>
          <w:i/>
        </w:rPr>
        <w:t>Moran</w:t>
      </w:r>
      <w:r>
        <w:rPr>
          <w:b w:val="0"/>
          <w:i w:val="0"/>
        </w:rPr>
        <w:t xml:space="preserve"> đã làm rõ, quyết định của Hội đồng quản trị về việc áp dụng Kế hoạch Quyền vào tháng 10 năm 2013 và việc họ sau đó chọn từ chối cấp cho Third Point một sự miễn trừ khỏi các điều kiện của kế hoạch đều phải vượt qua được sự kiểm tra theo </w:t>
      </w:r>
      <w:r>
        <w:rPr>
          <w:b w:val="0"/>
          <w:i/>
        </w:rPr>
        <w:t>Unocal</w:t>
      </w:r>
      <w:r>
        <w:rPr>
          <w:b w:val="0"/>
          <w:i w:val="0"/>
        </w:rPr>
        <w:t xml:space="preserve"> một cách độc lập. Do đó, tôi bắt đầu phân tích của mình với việc áp dụng vào tháng 10 năm 2013.</w:t>
      </w:r>
    </w:p>
    <w:p>
      <w:pPr>
        <w:spacing w:after="80"/>
      </w:pPr>
      <w:r>
        <w:rPr>
          <w:b/>
          <w:i w:val="0"/>
        </w:rPr>
        <w:t>a. Việc thông qua Kế hoạch Quyền vào tháng 10 năm 2013</w:t>
      </w:r>
    </w:p>
    <w:p>
      <w:pPr>
        <w:spacing w:after="80"/>
      </w:pPr>
      <w:r>
        <w:rPr>
          <w:b/>
          <w:i w:val="0"/>
        </w:rPr>
        <w:t>1. Nguyên đơn không có xác suất thành công hợp lý</w:t>
      </w:r>
      <w:r>
        <w:br/>
      </w:r>
      <w:r>
        <w:rPr>
          <w:b/>
          <w:i w:val="0"/>
        </w:rPr>
        <w:t xml:space="preserve"> đối với nhánh thứ nhất của </w:t>
      </w:r>
      <w:r>
        <w:rPr>
          <w:b/>
          <w:i/>
        </w:rPr>
        <w:t>Unocal</w:t>
      </w:r>
      <w:r>
        <w:rPr>
          <w:b/>
          <w:i w:val="0"/>
        </w:rPr>
        <w:t xml:space="preserve"> </w:t>
      </w:r>
    </w:p>
    <w:p>
      <w:pPr>
        <w:spacing w:after="80"/>
      </w:pPr>
      <w:r>
        <w:rPr>
          <w:b w:val="0"/>
          <w:i w:val="0"/>
        </w:rPr>
        <w:t xml:space="preserve">Các nguyên đơn ở đây không đưa ra lập luận nghiêm túc nào rằng Hội đồng quản trị Sotheby's sẽ khó có khả năng đáp ứng được nghĩa vụ chứng minh của mình rằng họ đã tiến hành một cuộc điều tra thiện chí và hợp lý về mối đe dọa do Third Point gây ra. Không thể phủ nhận rằng Hội đồng quản trị bao gồm phần lớn là các giám đốc độc lập. Ngoài ra, không có gì tranh cãi rằng Hội đồng quản trị đã thuê các cố vấn tài chính và pháp lý bên ngoài có năng lực, và dường như đã sử dụng và dựa vào họ thường xuyên. “Sự hiện diện của phần lớn các giám đốc bên ngoài, kết hợp với việc chứng minh dựa vào lời khuyên của các cố vấn pháp lý và tài chính, ‘tạo thành một </w:t>
      </w:r>
      <w:r>
        <w:rPr>
          <w:b w:val="0"/>
          <w:i/>
        </w:rPr>
        <w:t>prima facie</w:t>
      </w:r>
      <w:r>
        <w:rPr>
          <w:b w:val="0"/>
          <w:i w:val="0"/>
        </w:rPr>
        <w:t xml:space="preserve"> chứng minh về thiện chí và điều tra hợp lý.’”</w:t>
      </w:r>
    </w:p>
    <w:p>
      <w:pPr>
        <w:spacing w:after="80"/>
      </w:pPr>
      <w:r>
        <w:rPr>
          <w:b w:val="0"/>
          <w:i w:val="0"/>
        </w:rPr>
        <w:t xml:space="preserve">Sau khi xác định rằng Hội đồng quản trị có thể chứng minh trên hồ sơ đầy đủ rằng họ đã tiến hành cuộc điều tra cần thiết, câu hỏi tiếp theo liên quan là liệu Hội đồng quản trị có xác định rằng Third Point gây ra một mối đe dọa khách quan hợp lý và có thể nhận diện về mặt pháp lý đối với Sotheby's hay không. Mặc dù Hội đồng quản trị đã khẳng định rằng, vào mọi thời điểm liên quan, Third Point đã gây ra vô số mối đe dọa đối với Công ty, nhưng cho mục đích của việc thông qua vào tháng 10 năm 2013, tôi chỉ cần tập trung vào một mối: “kiểm soát từ từ” (creeping control). Vào thời điểm Hội đồng quản trị quyết định thông qua Kế hoạch Quyền vào tháng 10 năm 2013, có một số quỹ đầu cơ đang đồng thời tích lũy cổ phiếu của công ty, và ít nhất là đối với Third Point, việc tích lũy đang diễn ra với tốc độ tương đối nhanh. Hội đồng quản trị cũng được các cố vấn của mình thông báo rằng không hiếm khi các quỹ đầu cơ hoạt động tích cực thành lập một nhóm hoặc “bầy sói” (wolfpack), với mục đích cùng nhau mua lại các khối lớn cổ phiếu của một công ty mục tiêu. Dựa trên những sự kiện này, và hồ sơ của Third Point và Marcato được trình bày cho Hội đồng quản trị trong các tài liệu do các cố vấn tài chính và pháp lý của họ chuẩn bị, tôi không thể kết luận rằng có xác suất hợp lý rằng Hội đồng quản trị đã không đưa ra một quyết định khách quan hợp lý rằng Third Point gây ra mối đe dọa hình thành một khối kiểm soát đối với Sotheby's cùng với các quỹ đầu cơ khác mà không trả phí kiểm soát. Nghĩa là, trên hồ sơ trước tôi, có đủ sự ủng hộ cho khẳng định của Hội đồng quản trị rằng cuộc điều tra thiện chí của họ đã dẫn họ đến việc xác định rằng Third Point gây ra một mối đe dọa có thể nhận diện về mặt pháp lý, và tôi coi mối đe dọa đó là khách quan hợp lý. Do đó, Nguyên đơn đã không chứng minh được xác suất thành công hợp lý đối với nhánh thứ nhất của phân tích </w:t>
      </w:r>
      <w:r>
        <w:rPr>
          <w:b w:val="0"/>
          <w:i/>
        </w:rPr>
        <w:t>Unocal</w:t>
      </w:r>
      <w:r>
        <w:rPr>
          <w:b w:val="0"/>
          <w:i w:val="0"/>
        </w:rPr>
        <w:t xml:space="preserve"> cho việc thông qua Kế hoạch Quyền vào tháng 10 năm 2013.</w:t>
      </w:r>
    </w:p>
    <w:p>
      <w:pPr>
        <w:spacing w:after="80"/>
      </w:pPr>
      <w:r>
        <w:rPr>
          <w:b/>
          <w:i w:val="0"/>
        </w:rPr>
        <w:t>2. “Mục đích chính” của việc thông qua Kế hoạch Quyền vào tháng 10 năm 2013</w:t>
      </w:r>
      <w:r>
        <w:br/>
      </w:r>
      <w:r>
        <w:rPr>
          <w:b/>
          <w:i w:val="0"/>
        </w:rPr>
        <w:t xml:space="preserve"> không phải là can thiệp vào quyền bầu cử của cổ đông</w:t>
      </w:r>
    </w:p>
    <w:p>
      <w:pPr>
        <w:spacing w:after="80"/>
      </w:pPr>
      <w:r>
        <w:rPr>
          <w:b w:val="0"/>
          <w:i w:val="0"/>
        </w:rPr>
        <w:t xml:space="preserve">Vì những lý do đã nêu trước đó, vai trò của </w:t>
      </w:r>
      <w:r>
        <w:rPr>
          <w:b w:val="0"/>
          <w:i/>
        </w:rPr>
        <w:t>Blasius</w:t>
      </w:r>
      <w:r>
        <w:rPr>
          <w:b w:val="0"/>
          <w:i w:val="0"/>
        </w:rPr>
        <w:t xml:space="preserve"> trong bối cảnh kế hoạch quyền cổ đông không hoàn toàn rõ ràng. Tuy nhiên, tôi giải quyết lập luận của Nguyên đơn về ý định của Hội đồng quản trị khi thông qua Kế hoạch Quyền bởi vì, ở mức tối thiểu, việc sử dụng tiêu chuẩn </w:t>
      </w:r>
      <w:r>
        <w:rPr>
          <w:b w:val="0"/>
          <w:i/>
        </w:rPr>
        <w:t>Unocal</w:t>
      </w:r>
      <w:r>
        <w:rPr>
          <w:b w:val="0"/>
          <w:i w:val="0"/>
        </w:rPr>
        <w:t xml:space="preserve"> nhằm mục đích “phát hiện ra” những lý do biện minh trước văn bản không được phép cho các hành động phòng thủ.</w:t>
      </w:r>
    </w:p>
    <w:p>
      <w:pPr>
        <w:spacing w:after="80"/>
      </w:pPr>
      <w:r>
        <w:rPr>
          <w:b w:val="0"/>
          <w:i w:val="0"/>
        </w:rPr>
        <w:t xml:space="preserve">Trên hồ sơ bị cắt ngắn này, có đủ bằng chứng để ủng hộ một suy luận hợp lý rằng Công ty đã quan tâm đến triển vọng một cuộc chiến ủy nhiệm với một cổ đông hoạt động tích cực kể từ Mùa hè năm 2013. Nhưng các sự kiện ở đây không ủng hộ kết luận rằng Nguyên đơn có xác suất hợp lý để chứng minh rằng Hội đồng quản trị đã thông qua Kế hoạch Quyền vào tháng 10 năm 2013 với </w:t>
      </w:r>
      <w:r>
        <w:rPr>
          <w:b w:val="0"/>
          <w:i/>
        </w:rPr>
        <w:t>mục đích chính</w:t>
      </w:r>
      <w:r>
        <w:rPr>
          <w:b w:val="0"/>
          <w:i w:val="0"/>
        </w:rPr>
        <w:t xml:space="preserve"> là can thiệp vào quyền bầu cử của bất kỳ cổ đông nào, bao gồm Third Point, vài tháng sau đó. Như đã nêu trước đó, Công ty đang đối mặt với sự gia tăng nhanh chóng quyền sở hữu cổ phiếu của mình bởi các quỹ đầu cơ mà ít nhất một người trong nội bộ Sotheby's tin là “thông đồng.” Dựa trên lời khuyên của các cố vấn pháp lý và tài chính bên ngoài, dường như, ít nhất ở giai đoạn này của thủ tục tố tụng, Công ty tin rằng một số quỹ đầu cơ đang cố gắng giành quyền kiểm soát hiệu quả Công ty mà không trả phí bảo hiểm, và rằng việc Công ty nhận thức được mối đe dọa đó là khách quan hợp lý. Bởi vì có khả năng hợp lý rằng Hội đồng quản trị sẽ có thể chứng minh rằng họ được thúc đẩy thông qua Kế hoạch Quyền để đối phó với mối đe dọa kiểm soát này và rằng “bất kỳ ảnh hưởng nào đến quyền bầu cử đều là hệ quả của mục đích đó,” Nguyên đơn đã không chứng minh được rằng có xác suất hợp lý để Nguyên đơn có thể thiết lập rằng can thiệp vào quyền bầu cử là một mục đích chính, chứ chưa nói đến mục đích chính yếu, đằng sau quyết định của Hội đồng quản trị.</w:t>
      </w:r>
    </w:p>
    <w:p>
      <w:pPr>
        <w:spacing w:after="80"/>
      </w:pPr>
      <w:r>
        <w:rPr>
          <w:b w:val="0"/>
          <w:i w:val="0"/>
        </w:rPr>
        <w:t>Có những yếu tố bổ sung mà, trên hồ sơ hiện tại, cũng chống lại lập luận rằng Nguyên đơn có xác suất hợp lý để chứng minh rằng động cơ chính của Hội đồng quản trị là cản trở quyền biểu quyết của bất kỳ cổ đông Sotheby's nào. Thứ nhất, hồ sơ gần như không có sự kiện nào ủng hộ suy luận về việc cố thủ (entrenchment) của Hội đồng quản trị. Hội đồng quản trị không được phân chia nhiệm kỳ theo nhóm, có tỷ lệ thay đổi trên mức trung bình, và bị chi phối bởi các giám đốc bên ngoài, độc lập. Hơn nữa, ngoại trừ có thể là Ruprecht, không có chứng minh nào rằng việc phục vụ trong Hội đồng quản trị Sotheby's là quan trọng, về mặt tài chính hay cách khác, đối với bất kỳ giám đốc nào đến mức họ có động cơ cá nhân vô hiệu hóa để dập tắt một cuộc tranh giành ủy nhiệm. Mặc dù có thể có những lý do ngoài việc cố thủ có thể thúc đẩy một hội đồng quản trị độc lập, được cố vấn tốt hành động với mục đích chính là cản trở quyền bầu cử của cổ đông, việc không có động cơ cố thủ rõ ràng nào ở đây chống lại việc kết luận rằng Hội đồng quản trị đã hành động với “mục đích chính” như vậy.</w:t>
      </w:r>
    </w:p>
    <w:p>
      <w:pPr>
        <w:spacing w:after="80"/>
      </w:pPr>
      <w:r>
        <w:rPr>
          <w:b w:val="0"/>
          <w:i w:val="0"/>
        </w:rPr>
        <w:t>* * *</w:t>
      </w:r>
    </w:p>
    <w:p>
      <w:pPr>
        <w:spacing w:after="80"/>
      </w:pPr>
      <w:r>
        <w:rPr>
          <w:b/>
          <w:i w:val="0"/>
        </w:rPr>
        <w:t>3. Nguyên đơn đã không chứng minh được rằng họ có xác suất hợp lý</w:t>
      </w:r>
      <w:r>
        <w:br/>
      </w:r>
      <w:r>
        <w:rPr>
          <w:b/>
          <w:i w:val="0"/>
        </w:rPr>
        <w:t xml:space="preserve"> thành công đối với nhánh thứ hai của </w:t>
      </w:r>
      <w:r>
        <w:rPr>
          <w:b/>
          <w:i/>
        </w:rPr>
        <w:t>Unocal</w:t>
      </w:r>
      <w:r>
        <w:rPr>
          <w:b/>
          <w:i w:val="0"/>
        </w:rPr>
        <w:t xml:space="preserve"> </w:t>
      </w:r>
    </w:p>
    <w:p>
      <w:pPr>
        <w:spacing w:after="80"/>
      </w:pPr>
      <w:r>
        <w:rPr>
          <w:b w:val="0"/>
          <w:i w:val="0"/>
        </w:rPr>
        <w:t xml:space="preserve">Vì những lý do đã nêu </w:t>
      </w:r>
      <w:r>
        <w:rPr>
          <w:b w:val="0"/>
          <w:i/>
        </w:rPr>
        <w:t>ở trên,</w:t>
      </w:r>
      <w:r>
        <w:rPr>
          <w:b w:val="0"/>
          <w:i w:val="0"/>
        </w:rPr>
        <w:t xml:space="preserve"> Kế hoạch Quyền đang được bàn đến ở đây không mang tính ngăn chặn cũng không mang tính cưỡng chế. Bởi vì nó không mang tính hà khắc, việc xem xét tính tương xứng phụ thuộc vào việc liệu Kế hoạch Quyền được Hội đồng quản trị thông qua có nằm trong “phạm vi hợp lý” hay không. “Tính hợp lý của phản ứng của hội đồng quản trị được đánh giá trong bối cảnh mối đe dọa cụ thể được xác định—‘bản chất cụ thể của mối đe dọa thiết lập các thông số cho phạm vi các chiến thuật phòng thủ được phép’ tại bất kỳ thời điểm nào.” Khi đánh giá liệu một biện pháp phòng thủ có nằm trong phạm vi hợp lý hay không, vai trò của Tòa án là quyết định “liệu các giám đốc có đưa ra một quyết định hợp lý, chứ không phải một quyết định hoàn hảo.” Các tòa án áp dụng sự giám sát tăng cường theo </w:t>
      </w:r>
      <w:r>
        <w:rPr>
          <w:b w:val="0"/>
          <w:i/>
        </w:rPr>
        <w:t>Unocal</w:t>
      </w:r>
      <w:r>
        <w:rPr>
          <w:b w:val="0"/>
          <w:i w:val="0"/>
        </w:rPr>
        <w:t xml:space="preserve"> nên “không thay thế phán đoán kinh doanh của mình cho phán đoán của các giám đốc” và nếu, sau khi cân nhắc, “một hội đồng quản trị đã chọn một trong nhiều lựa chọn hợp lý, tòa án không nên đặt lại vấn đề với lựa chọn đó.”</w:t>
      </w:r>
    </w:p>
    <w:p>
      <w:pPr>
        <w:spacing w:after="80"/>
      </w:pPr>
      <w:r>
        <w:rPr>
          <w:b w:val="0"/>
          <w:i w:val="0"/>
        </w:rPr>
        <w:t>Trong trường hợp này, có xác suất hợp lý rằng Hội đồng quản trị sẽ có thể chứng minh rằng vào tháng 10 năm 2013, họ đang đối mặt với mối đe dọa có thể nhận diện về mặt pháp lý và khách quan hợp lý rằng Third Point, một mình hoặc cùng với những người khác, có thể giành được quyền kiểm soát Công ty mà không trả phí bảo hiểm cho các cổ đông khác của Sotheby's. Do đó, câu hỏi liên quan là liệu việc thông qua Kế hoạch Quyền có phải là một phản ứng hợp lý và tương xứng với mối đe dọa kiểm soát từ từ đó hay không.</w:t>
      </w:r>
    </w:p>
    <w:p>
      <w:pPr>
        <w:spacing w:after="80"/>
      </w:pPr>
      <w:r>
        <w:rPr>
          <w:b w:val="0"/>
          <w:i w:val="0"/>
        </w:rPr>
        <w:t>Tôi cho rằng có khả năng hợp lý rằng Hội đồng quản trị sẽ có thể đáp ứng nghĩa vụ chứng minh của mình rằng việc thông qua Kế hoạch Quyền vào tháng 10 năm 2013 là một phản ứng tương xứng với mối đe dọa kiểm soát do Third Point gây ra. Các Nguyên đơn ở đây đã không tranh tụng về vấn đề liệu một kế hoạch quyền với ngưỡng 10% có phù hợp với luật Delaware hay không. Bởi vì toàn bộ Hội đồng quản trị, tập thể, sở hữu ít hơn 1% cổ phiếu của Sotheby's, ngưỡng 10% cho phép các nhà đầu tư hoạt động tích cực đạt được vị thế sở hữu đáng kể trong Công ty. Điều này còn được ủng hộ bởi thực tế rằng ở mức sở hữu hiện tại chỉ dưới 10%, Third Point là cổ đông đơn lẻ lớn nhất của Công ty. Khi Kế hoạch Quyền được thông qua, cũng có khả năng khách quan hợp lý rằng Third Point đang làm việc cùng với một hoặc nhiều quỹ đầu cơ khác trong nỗ lực tạo ra một khối kiểm soát trong cơ sở cổ đông của Công ty. Một ngưỡng kích hoạt cao hơn nhiều so với 10% có thể khiến một nhóm nhỏ các nhà đầu tư hoạt động tích cực dễ dàng đạt được quyền kiểm soát hơn, mà không trả phí bảo hiểm, thông qua sự song hành có ý thức. Yếu tố này cũng ủng hộ kết luận của tôi rằng Hội đồng quản trị có xác suất hợp lý để có thể chứng minh rằng Kế hoạch Quyền là một phản ứng tương xứng với mối đe dọa kiểm soát do Third Point gây ra.</w:t>
      </w:r>
    </w:p>
    <w:p>
      <w:pPr>
        <w:spacing w:after="80"/>
      </w:pPr>
      <w:r>
        <w:rPr>
          <w:b w:val="0"/>
          <w:i w:val="0"/>
        </w:rPr>
        <w:t>Trọng tâm lập luận của Nguyên đơn rằng Kế hoạch Quyền là không tương xứng chủ yếu liên quan đến cấu trúc hai tầng của nó, cho phép các nhà đầu tư “thụ động” mua 20% cổ phần Công ty trong khi các cổ đông “hoạt động tích cực” không thể mua quá 10%. Như một vấn đề ban đầu, tôi lưu ý rằng mặc dù Kế hoạch Quyền mang tính “phân biệt đối xử” theo nghĩa đó, nó cũng có thể được lập luận là “phù hợp hơn” để giải quyết nhu cầu của Công ty nhằm ngăn chặn một hoặc nhiều nhà hoạt động tích cực giành quyền kiểm soát so với một kế hoạch quyền “thông thường” sẽ hạn chế mức sở hữu cho mọi cổ đông, kể cả những người không có lợi ích trong việc giành quyền kiểm soát hoặc khẳng định ảnh hưởng. Trong mọi trường hợp, tầm quan trọng của tính chất “phân biệt đối xử” của Kế hoạch Quyền bị thách thức dường như bị phóng đại trong hoàn cảnh của trường hợp này. Bởi vì tôi đã xác định rằng Hội đồng quản trị có khả năng sẽ có thể chứng minh rằng ngưỡng kích hoạt 10% của Kế hoạch Quyền đối với các cổ đông hoạt động tích cực là hợp lý và tương xứng, lý do mà tính chất phân biệt đối xử của Kế hoạch Quyền có nhiều khả năng bị coi là không hợp lý hoặc không tương xứng nhất là vì nó cho phép những người nộp Mẫu 13G, những người có thể có xu hướng bỏ phiếu cùng với ban lãnh đạo Công ty, mua tới 20% cổ phần của Công ty, chứ không phải vì giới hạn 10% đối với các cổ đông hoạt động tích cực tự nó là không hợp lý hoặc không tương xứng.</w:t>
      </w:r>
    </w:p>
    <w:p>
      <w:pPr>
        <w:spacing w:after="80"/>
      </w:pPr>
      <w:r>
        <w:rPr>
          <w:b w:val="0"/>
          <w:i w:val="0"/>
        </w:rPr>
        <w:t>* * *</w:t>
      </w:r>
    </w:p>
    <w:p>
      <w:pPr>
        <w:spacing w:after="80"/>
      </w:pPr>
      <w:r>
        <w:rPr>
          <w:b/>
          <w:i w:val="0"/>
        </w:rPr>
        <w:t>b. Việc từ chối miễn trừ ngưỡng kích hoạt 10% vào tháng 3 năm 2014</w:t>
      </w:r>
    </w:p>
    <w:p>
      <w:pPr>
        <w:spacing w:after="80"/>
      </w:pPr>
      <w:r>
        <w:rPr>
          <w:b/>
          <w:i w:val="0"/>
        </w:rPr>
        <w:t>1. Nguyên đơn chưa chứng minh được rằng họ có xác suất hợp lý để</w:t>
      </w:r>
      <w:r>
        <w:br/>
      </w:r>
      <w:r>
        <w:rPr>
          <w:b/>
          <w:i w:val="0"/>
        </w:rPr>
        <w:t xml:space="preserve"> thành công ở nhánh thứ nhất của </w:t>
      </w:r>
      <w:r>
        <w:rPr>
          <w:b/>
          <w:i/>
        </w:rPr>
        <w:t>Unocal</w:t>
      </w:r>
      <w:r>
        <w:rPr>
          <w:b/>
          <w:i w:val="0"/>
        </w:rPr>
        <w:t xml:space="preserve"> </w:t>
      </w:r>
    </w:p>
    <w:p>
      <w:pPr>
        <w:spacing w:after="80"/>
      </w:pPr>
      <w:r>
        <w:rPr>
          <w:b w:val="0"/>
          <w:i w:val="0"/>
        </w:rPr>
        <w:t xml:space="preserve">Cũng như với quyết định tháng 10 năm 2013 của Hội đồng quản trị về việc thông qua Kế hoạch Quyền (Rights Plan), tôi nhận thấy rằng Hội đồng quản trị nhiều khả năng sẽ có thể hoàn thành nghĩa vụ chứng minh của mình rằng họ đã tiến hành một cuộc điều tra thiện chí và hợp lý để phản hồi yêu cầu của Third Point về việc miễn áp dụng ngưỡng kích hoạt 10% trong Kế hoạch Quyền. Đa số thành viên Hội đồng quản trị vẫn là các giám đốc độc lập và không có lợi ích liên quan, và đã liên tục sử dụng các cố vấn pháp lý và tài chính bên ngoài của mình kể từ khi Kế hoạch Quyền được thông qua vào tháng 10 năm 2013. Do đó, câu hỏi then chốt về nhánh thứ nhất của </w:t>
      </w:r>
      <w:r>
        <w:rPr>
          <w:b w:val="0"/>
          <w:i/>
        </w:rPr>
        <w:t>Unocal</w:t>
      </w:r>
      <w:r>
        <w:rPr>
          <w:b w:val="0"/>
          <w:i w:val="0"/>
        </w:rPr>
        <w:t xml:space="preserve"> là liệu Hội đồng quản trị có xác định rằng có một mối đe dọa khách quan hợp lý và có thể nhận diện về mặt pháp lý đối với Công ty vào tháng 3 năm 2014 khi Third Point đưa ra yêu cầu miễn áp dụng hay không.</w:t>
      </w:r>
    </w:p>
    <w:p>
      <w:pPr>
        <w:spacing w:after="80"/>
      </w:pPr>
      <w:r>
        <w:rPr>
          <w:b w:val="0"/>
          <w:i w:val="0"/>
        </w:rPr>
        <w:t>Đây là một câu hỏi sát nút hơn nhiều so với quyết định ban đầu của Hội đồng quản trị về việc thông qua Kế hoạch Quyền vào tháng 10 năm 2013. Nếu Third Point yêu cầu Hội đồng quản trị miễn áp dụng toàn bộ Kế hoạch Quyền, thay vì chỉ ngưỡng kích hoạt 10%, thì dựa trên hồ sơ trước tôi, sẽ tương đối dễ dàng để xác định rằng Third Point gây ra ít nhất mối đe dọa tương tự đối với Công ty như khi kế hoạch được thông qua lần đầu. Tuy nhiên, đó không phải là điều đã xảy ra.</w:t>
      </w:r>
    </w:p>
    <w:p>
      <w:pPr>
        <w:spacing w:after="80"/>
      </w:pPr>
      <w:r>
        <w:rPr>
          <w:b w:val="0"/>
          <w:i w:val="0"/>
        </w:rPr>
        <w:t>Third Point chỉ yêu cầu miễn áp dụng ngưỡng kích hoạt 10% đối với những người nộp Schedule 13D để họ có thể mua tới 20% cổ phần trong Công ty. Third Point không yêu cầu, ví dụ, rằng Kế hoạch Quyền phải được thu hồi hoặc Công ty phải miễn áp dụng điều khoản cấm hành động phối hợp của Kế hoạch Quyền. Do đó, không rõ rằng Hội đồng quản trị có hoặc lẽ ra phải có những lo ngại giống hệt như vậy vào tháng 3 năm 2014 như đã có vào tháng 10 năm 2013 khi thông qua Kế hoạch Quyền. Kết quả là, tôi hoài nghi rằng liệu có xác suất hợp lý nào để Hội đồng quản trị có thể chứng minh rằng khi bác bỏ yêu cầu miễn áp dụng, họ có niềm tin khách quan hợp lý rằng Third Point vẫn tiếp tục gây ra rủi ro "kiểm soát len lỏi" (creeping control) đối với Công ty, dù là đơn lẻ hay là một phần của một "bầy sói" (wolf pack).</w:t>
      </w:r>
    </w:p>
    <w:p>
      <w:pPr>
        <w:spacing w:after="80"/>
      </w:pPr>
      <w:r>
        <w:rPr>
          <w:b w:val="0"/>
          <w:i w:val="0"/>
        </w:rPr>
        <w:t>Tuy nhiên, bất chấp sự thay đổi trong hoàn cảnh, tôi bị thuyết phục rằng Sotheby's đã đưa ra được lập luận đầy đủ về ít nhất một mối đe dọa khách quan hợp lý và có thể nhận diện về mặt pháp lý: quyền kiểm soát tiêu cực (negative control). Nguyên đơn đúng khi cho rằng án lệ Delaware liên quan đến khái niệm quyền kiểm soát tiêu cực đề cập đến các tình huống trong đó một cá nhân hoặc thực thể có được quyền phủ quyết rõ ràng thông qua hợp đồng hoặc thông qua mức sở hữu cổ phần hay đại diện hội đồng quản trị ở mức không đạt tới quyền kiểm soát đa số, nhưng vẫn đủ để chặn một số hành động nhất định mà có thể yêu cầu, ví dụ, một cuộc bỏ phiếu đa số tuyệt đối. Bằng chứng hiện có cho thấy Sotheby's có thể đã có những lo ngại thực tế chính đáng rằng việc cho phép các cá nhân hoặc thực thể, như Loeb và Third Point, đạt được lợi ích sở hữu 20% thay vì 10% trong Công ty có thể thực sự cho phép những người đó thực thi quyền kiểm soát và ảnh hưởng không tương xứng đối với các quyết định quan trọng của công ty, ngay cả khi họ không có quyền phủ quyết rõ ràng.</w:t>
      </w:r>
    </w:p>
    <w:p>
      <w:pPr>
        <w:spacing w:after="80"/>
      </w:pPr>
      <w:r>
        <w:rPr>
          <w:b w:val="0"/>
          <w:i w:val="0"/>
        </w:rPr>
        <w:t xml:space="preserve">Khái niệm quyền kiểm soát tiêu cực hữu hiệu, thay vì rõ ràng, hiển nhiên đặt ra một số lo ngại đáng kể, trong đó lớn nhất là vẽ ranh giới ở đâu để đảm bảo rằng "quyền kiểm soát tiêu cực hữu hiệu" không trở thành giấy phép để các công ty triển khai các biện pháp phòng vệ một cách bất hợp lý. Tuy nhiên, trong trường hợp này, dựa trên hồ sơ sơ bộ được xây dựng đến nay, dường như có một cơ sở khách quan hợp lý để tin rằng Third Point có thể thực thi quyền kiểm soát tiêu cực hữu hiệu đối với Công ty. Nếu Third Point được trao quyền miễn áp dụng mà họ yêu cầu và đạt được 20% quyền sở hữu, họ sẽ, cho đến nay, là cổ đông đơn lẻ lớn nhất của Sotheby's. Thực tế đó, kết hợp với cách hành xử hung hăng và áp đặt mà bằng chứng cho thấy Loeb đã thể hiện trong mối quan hệ với Sotheby's, tạo ra cơ sở đầy đủ cho mối lo ngại chính đáng rằng Third Point sẽ có thể thực thi ảnh hưởng đủ để kiểm soát một số hành động quan trọng của công ty, chẳng hạn như tuyển dụng ban điều hành, bất chấp việc thiếu quyền kiểm soát thực sự hoặc quyền phủ quyết rõ ràng. Do đó, tôi nhận thấy rằng Nguyên đơn chưa hoàn thành nghĩa vụ chứng minh của mình rằng có xác suất hợp lý để Hội đồng quản trị không thể chứng minh rằng họ đã xác định được một mối đe dọa khách quan hợp lý và có thể nhận diện về mặt pháp lý đối với chính sách và hiệu quả hoạt động của công ty Sotheby's. Dựa trên phát hiện đó, tôi chuyển sang đánh giá liệu việc Hội đồng quản trị từ chối miễn áp dụng ngưỡng kích hoạt 10% có thỏa mãn nhánh thứ hai của </w:t>
      </w:r>
      <w:r>
        <w:rPr>
          <w:b w:val="0"/>
          <w:i/>
        </w:rPr>
        <w:t>Unocal</w:t>
      </w:r>
      <w:r>
        <w:rPr>
          <w:b w:val="0"/>
          <w:i w:val="0"/>
        </w:rPr>
        <w:t xml:space="preserve"> hay không.</w:t>
      </w:r>
    </w:p>
    <w:p>
      <w:pPr>
        <w:spacing w:after="80"/>
      </w:pPr>
      <w:r>
        <w:rPr>
          <w:b/>
          <w:i w:val="0"/>
        </w:rPr>
        <w:t>2. Nguyên đơn chưa chứng minh được rằng họ có xác suất hợp lý để</w:t>
      </w:r>
      <w:r>
        <w:br/>
      </w:r>
      <w:r>
        <w:rPr>
          <w:b/>
          <w:i w:val="0"/>
        </w:rPr>
        <w:t xml:space="preserve"> thành công ở nhánh thứ hai của </w:t>
      </w:r>
      <w:r>
        <w:rPr>
          <w:b/>
          <w:i/>
        </w:rPr>
        <w:t>Unocal</w:t>
      </w:r>
      <w:r>
        <w:rPr>
          <w:b/>
          <w:i w:val="0"/>
        </w:rPr>
        <w:t xml:space="preserve"> </w:t>
      </w:r>
    </w:p>
    <w:p>
      <w:pPr>
        <w:spacing w:after="80"/>
      </w:pPr>
      <w:r>
        <w:rPr>
          <w:b w:val="0"/>
          <w:i w:val="0"/>
        </w:rPr>
        <w:t xml:space="preserve">Vì những lý do đã được thảo luận </w:t>
      </w:r>
      <w:r>
        <w:rPr>
          <w:b w:val="0"/>
          <w:i/>
        </w:rPr>
        <w:t>ở trên,</w:t>
      </w:r>
      <w:r>
        <w:rPr>
          <w:b w:val="0"/>
          <w:i w:val="0"/>
        </w:rPr>
        <w:t xml:space="preserve"> Kế hoạch Quyền không liên quan đến các vấn đề ngăn cản (preclusion) hay ép buộc (coercion). Do đó, câu hỏi liên quan là liệu việc Hội đồng quản trị từ chối trao cho Third Point quyền miễn áp dụng ngưỡng kích hoạt 10% có nằm trong phạm vi hợp lý hay không. Việc Hội đồng quản trị từ chối trao cho Third Point quyền miễn áp dụng là một phản hồi đối với mối đe dọa mà họ gây ra cho Công ty về việc đạt được ít nhất quyền kiểm soát tiêu cực và đe dọa chính sách và hiệu quả hoạt động của công ty. Việc từ chối miễn áp dụng ngưỡng kích hoạt 10% của Kế hoạch Quyền nhất quán với các mục đích đã tuyên bố của Hội đồng quản trị, và việc vận hành Kế hoạch Quyền ở mức 10% sẽ giúp Hội đồng quản trị đạt được mục đích đó. Mặc dù tất nhiên có thể hình dung rằng có một mức sở hữu nào đó giữa 10% và 20% mà Hội đồng quản trị có thể đã cho phép Third Point gia tăng cổ phần trong Công ty mà không cho phép họ đạt được quyền kiểm soát tiêu cực, nhưng mức giới hạn 10% phải là hợp lý, chứ không phải hoàn hảo. Dựa trên hồ sơ trước tôi, tôi nhận thấy rằng Nguyên đơn chưa chứng minh được rằng có xác suất hợp lý để Hội đồng quản trị không thể chứng minh rằng việc họ từ chối miễn áp dụng ngưỡng kích hoạt 10% trong Kế hoạch Quyền nằm trong "phạm vi hợp lý" của các phản hồi đối với mối đe dọa kiểm soát tiêu cực do Third Point gây ra. Do đó, Nguyên đơn chưa thiết lập được khả năng thành công về mặt nội dung đối với khiếu nại của họ rằng Hội đồng quản trị đã vi phạm nghĩa vụ tín thác của mình khi từ chối cho phép Third Point vào tháng 3 năm 2014 mua tới 20% cổ phiếu của Công ty.</w:t>
      </w:r>
    </w:p>
    <w:p>
      <w:pPr>
        <w:pStyle w:val="Heading5"/>
      </w:pPr>
      <w:r>
        <w:rPr>
          <w:rFonts w:ascii="Calibri" w:hAnsi="Calibri"/>
          <w:b/>
          <w:i/>
          <w:sz w:val="22"/>
        </w:rPr>
        <w:t>Bình luận và Câu hỏi</w:t>
      </w:r>
    </w:p>
    <w:p>
      <w:pPr>
        <w:spacing w:after="80"/>
      </w:pPr>
      <w:r>
        <w:rPr>
          <w:b w:val="0"/>
          <w:i w:val="0"/>
        </w:rPr>
        <w:t xml:space="preserve">1. Như trong trường hợp </w:t>
      </w:r>
      <w:r>
        <w:rPr>
          <w:b w:val="0"/>
          <w:i/>
        </w:rPr>
        <w:t>Yucaipa</w:t>
      </w:r>
      <w:r>
        <w:rPr>
          <w:b w:val="0"/>
          <w:i w:val="0"/>
        </w:rPr>
        <w:t>, viên thuốc độc (poison pill) do Sothebys đưa ra bao gồm trong định nghĩa về quyền sở hữu hưởng lợi cả cổ phần do bất kỳ người nào nắm giữ theo một "thỏa thuận, dàn xếp hoặc hiểu biết . . . nhằm mục đích mua, nắm giữ, bỏ phiếu . . . hoặc định đoạt" cổ phiếu của công ty. Điều khoản này có thể đã làm giảm rủi ro ThirdPoint tham gia tích cực vào một bầy sói như thế nào?</w:t>
      </w:r>
    </w:p>
    <w:p>
      <w:pPr>
        <w:spacing w:after="80"/>
      </w:pPr>
      <w:r>
        <w:rPr>
          <w:b w:val="0"/>
          <w:i w:val="0"/>
        </w:rPr>
        <w:t>2. Vụ án này mở ra cánh cửa cho những viên thuốc độc áp dụng các tiêu chuẩn riêng biệt đối với các cổ đông hoạt động (activist shareholders). Bạn có thể hình dung những cách khả thi khác mà viên thuốc độc có thể được sử dụng để nhắm riêng vào những nhà đầu tư này không?</w:t>
      </w:r>
    </w:p>
    <w:p>
      <w:pPr>
        <w:spacing w:after="80"/>
      </w:pPr>
      <w:r>
        <w:rPr>
          <w:b w:val="0"/>
          <w:i w:val="0"/>
        </w:rPr>
        <w:t>3. Không lâu trước cuộc họp, Sotheby's đã đàm phán một thỏa thuận dàn xếp, trao cho ThirdPoint ba ghế trong hội đồng quản trị và quyền mua tới 15% cổ phiếu. Cuộc tranh chấp đã minh họa rằng viên thuốc độc, ngay cả khi được khẳng định, cũng không phải là thuốc chữa bách bệnh.</w:t>
      </w:r>
    </w:p>
    <w:p>
      <w:pPr>
        <w:pStyle w:val="Heading3"/>
      </w:pPr>
      <w:r>
        <w:rPr>
          <w:rFonts w:ascii="Calibri" w:hAnsi="Calibri"/>
          <w:b/>
          <w:i w:val="0"/>
          <w:sz w:val="26"/>
        </w:rPr>
        <w:t>E. Giải quyết vấn đề chi phí của một cuộc tranh chấp ủy quyền (proxy contest)</w:t>
      </w:r>
    </w:p>
    <w:p>
      <w:pPr>
        <w:spacing w:after="80"/>
      </w:pPr>
      <w:r>
        <w:rPr>
          <w:b w:val="0"/>
          <w:i w:val="0"/>
        </w:rPr>
        <w:t>Một trong những trở ngại đối với các cuộc tranh chấp ủy quyền là chi phí. Việc thu thập ủy quyền từ hơn mười cổ đông có thể tốn kém. Cổ đông phải soạn thảo một bản tuyên bố ủy quyền (proxy statement) và thẻ ủy quyền (proxy card) rồi phân phối tài liệu cho những người được thu thập. Để giải quyết vấn đề chi phí liên quan đến các cuộc tranh chấp ủy quyền, cổ đông đôi khi đã đề xuất các điều lệ (bylaws) yêu cầu hoàn trả chi phí thu thập trong một số trường hợp nhất định. Do không chắc chắn về tính hợp lệ của những đề xuất như vậy theo luật tiểu bang, Ủy ban (Commission) vào năm 2009 đã chuyển một câu hỏi tới tòa án liên quan đến tính hợp pháp của một điều lệ quy định việc hoàn trả bắt buộc. SEC đã nhận được phản hồi trong bản ý kiến dưới đây.</w:t>
      </w:r>
    </w:p>
    <w:p>
      <w:pPr>
        <w:pStyle w:val="Heading4"/>
      </w:pPr>
      <w:r>
        <w:rPr>
          <w:rFonts w:ascii="Calibri" w:hAnsi="Calibri"/>
          <w:b/>
          <w:i w:val="0"/>
          <w:sz w:val="23"/>
        </w:rPr>
        <w:t>CA, Inc. v. AFSCME Employees Pension Plan</w:t>
      </w:r>
    </w:p>
    <w:p>
      <w:pPr>
        <w:spacing w:after="80"/>
      </w:pPr>
      <w:r>
        <w:rPr>
          <w:b w:val="0"/>
          <w:i w:val="0"/>
        </w:rPr>
        <w:t>Tòa án Tối cao Delaware</w:t>
      </w:r>
      <w:r>
        <w:br/>
      </w:r>
      <w:r>
        <w:rPr>
          <w:b w:val="0"/>
          <w:i w:val="0"/>
        </w:rPr>
        <w:t xml:space="preserve"> 953 A.2d 227 (2008)</w:t>
      </w:r>
    </w:p>
    <w:p>
      <w:pPr>
        <w:spacing w:after="80"/>
      </w:pPr>
      <w:r>
        <w:rPr>
          <w:b w:val="0"/>
          <w:i w:val="0"/>
        </w:rPr>
        <w:t>JACOBS, JUSTICE:</w:t>
      </w:r>
    </w:p>
    <w:p>
      <w:pPr>
        <w:spacing w:after="80"/>
      </w:pPr>
      <w:r>
        <w:rPr>
          <w:b w:val="0"/>
          <w:i w:val="0"/>
        </w:rPr>
        <w:t>AFSCME, một cổ đông của CA, có liên hệ với American Federation of State, County and Municipal Employees (Liên đoàn Nhân viên Tiểu bang, Quận và Thành phố Hoa Kỳ). Vào ngày 13 tháng 3 năm 2008, AFSCME đã đệ trình một đề xuất điều lệ cổ đông (gọi là “Điều lệ” hoặc “Điều lệ đề xuất”) để đưa vào tài liệu ủy quyền của Công ty cho cuộc họp thường niên cổ đông năm 2008. Điều lệ này, nếu được cổ đông CA thông qua, sẽ sửa đổi điều lệ của Công ty như sau:</w:t>
      </w:r>
    </w:p>
    <w:p>
      <w:pPr>
        <w:spacing w:after="80"/>
      </w:pPr>
      <w:r>
        <w:rPr>
          <w:b w:val="0"/>
          <w:i w:val="0"/>
        </w:rPr>
        <w:t>NGHỊ QUYẾT rằng, theo mục 109 của Luật Tổng công ty Delaware (Delaware General Corporation Law) và Điều IX của điều lệ CA, Inc., các cổ đông của CA theo đây sửa đổi điều lệ để bổ sung Mục 14 sau đây vào Điều II:</w:t>
      </w:r>
    </w:p>
    <w:p>
      <w:pPr>
        <w:spacing w:after="80"/>
      </w:pPr>
      <w:r>
        <w:rPr>
          <w:b w:val="0"/>
          <w:i w:val="0"/>
        </w:rPr>
        <w:t>Hội đồng quản trị phải khiến công ty hoàn trả cho một cổ đông hoặc một nhóm cổ đông (gọi chung là “Người đề cử”) các chi phí hợp lý (“Chi phí”) phát sinh liên quan đến việc đề cử một hoặc nhiều ứng viên trong một cuộc bầu cử giám đốc có cạnh tranh vào hội đồng quản trị của công ty, bao gồm nhưng không giới hạn ở chi phí in ấn, gửi thư, pháp lý, vận động, đi lại, quảng cáo và quan hệ công chúng, miễn là (a) việc bầu cử ít hơn 50% số giám đốc được bầu là có cạnh tranh trong cuộc bầu cử, (b) một hoặc nhiều ứng viên do Người đề cử đề cử được bầu vào hội đồng quản trị của công ty, (c) cổ đông không được phép tích lũy phiếu bầu cho giám đốc, và (d) cuộc bầu cử đã diễn ra, và các Chi phí đã phát sinh, sau khi điều lệ này được thông qua. Số tiền trả cho một Người đề cử theo điều lệ này liên quan đến một cuộc bầu cử có cạnh tranh sẽ không vượt quá số tiền mà công ty đã chi cho cuộc bầu cử đó.</w:t>
      </w:r>
    </w:p>
    <w:p>
      <w:pPr>
        <w:spacing w:after="80"/>
      </w:pPr>
      <w:r>
        <w:rPr>
          <w:b w:val="0"/>
          <w:i w:val="0"/>
        </w:rPr>
        <w:t>* * *</w:t>
      </w:r>
    </w:p>
    <w:p>
      <w:pPr>
        <w:spacing w:after="80"/>
      </w:pPr>
      <w:r>
        <w:rPr>
          <w:b w:val="0"/>
          <w:i w:val="0"/>
        </w:rPr>
        <w:t>Câu hỏi đầu tiên được đặt ra là liệu Điều lệ có phải là một đối tượng phù hợp cho hành động của cổ đông hay không, chính xác hơn là liệu Điều lệ có thể được cổ đông đề xuất và ban hành mà không cần sự đồng thuận của hội đồng quản trị Công ty hay không. . . .</w:t>
      </w:r>
    </w:p>
    <w:p>
      <w:pPr>
        <w:spacing w:after="80"/>
      </w:pPr>
      <w:r>
        <w:rPr>
          <w:b w:val="0"/>
          <w:i w:val="0"/>
        </w:rPr>
        <w:t>* * *</w:t>
      </w:r>
    </w:p>
    <w:p>
      <w:pPr>
        <w:spacing w:after="80"/>
      </w:pPr>
      <w:r>
        <w:rPr>
          <w:b w:val="0"/>
          <w:i w:val="0"/>
        </w:rPr>
        <w:t>Theo luật Delaware đã được xác lập rõ ràng, chức năng đúng đắn của điều lệ không phải là áp đặt cách hội đồng quản trị nên quyết định các quyết định kinh doanh thực chất cụ thể, mà là định nghĩa quy trình và thủ tục để đưa ra những quyết định đó. . . .</w:t>
      </w:r>
    </w:p>
    <w:p>
      <w:pPr>
        <w:spacing w:after="80"/>
      </w:pPr>
      <w:r>
        <w:rPr>
          <w:b w:val="0"/>
          <w:i w:val="0"/>
        </w:rPr>
        <w:t>Các ví dụ về tính chất thủ tục, hướng quy trình của điều lệ được tìm thấy trong cả DGCL và án lệ. Ví dụ, 8 Del. C. § 141(b) cho phép điều lệ ấn định số lượng giám đốc trong hội đồng quản trị, số lượng giám đốc cần thiết cho một túc số (với một số giới hạn nhất định), và yêu cầu biểu quyết cho hành động của hội đồng quản trị. 8 Del. C. § 141(f) cho phép điều lệ ngăn cản hành động của hội đồng quản trị mà không có cuộc họp. Và, gần ba thập kỷ trước, Tòa án này đã giữ nguyên một điều lệ do cổ đông ban hành yêu cầu sự tham dự nhất trí của hội đồng quản trị và sự chấp thuận của hội đồng quản trị cho bất kỳ hành động nào của hội đồng quản trị, và sự phê chuẩn nhất trí cho bất kỳ hành động nào của ủy ban. Những điều lệ thuần túy mang tính thủ tục như vậy không xâm phạm một cách không đúng đắn vào quyền quản lý của hội đồng quản trị theo Mục 141(a).</w:t>
      </w:r>
    </w:p>
    <w:p>
      <w:pPr>
        <w:spacing w:after="80"/>
      </w:pPr>
      <w:r>
        <w:rPr>
          <w:b w:val="0"/>
          <w:i w:val="0"/>
        </w:rPr>
        <w:t>* * *</w:t>
      </w:r>
    </w:p>
    <w:p>
      <w:pPr>
        <w:spacing w:after="80"/>
      </w:pPr>
      <w:r>
        <w:rPr>
          <w:b w:val="0"/>
          <w:i w:val="0"/>
        </w:rPr>
        <w:t>Bối cảnh của Điều lệ đang được xem xét ở đây là quy trình bầu cử giám đốc—một chủ đề mà cổ đông của các công ty Delaware có lợi ích chính đáng và được bảo vệ. Mục đích của Điều lệ là thúc đẩy tính chính trực của quy trình bầu cử đó bằng cách tạo điều kiện cho việc đề cử các ứng viên giám đốc bởi cổ đông hoặc nhóm cổ đông. Nói chung, và theo khuôn khổ hiện hành để bầu cử giám đốc trong các cuộc bầu cử có cạnh tranh, chỉ những người được hội đồng quản trị đề cử cho cuộc bầu cử mới được hoàn trả chi phí bầu cử của họ. Các ứng viên bất đồng chính kiến thì không, trừ khi họ thành công trong việc thay thế ít nhất là đa số toàn bộ hội đồng quản trị. Điều lệ sẽ khuyến khích việc đề cử các ứng viên hội đồng quản trị không thuộc ban quản lý bằng cách hứa hoàn trả chi phí ủy quyền của các cổ đông đề cử nếu một hoặc nhiều ứng viên của họ được bầu. Ở đó, cổ đông cũng có lợi ích chính đáng, bởi vì Điều lệ sẽ tạo điều kiện cho việc thực hiện quyền của họ trong việc tham gia lựa chọn các ứng viên tranh cử. . . .</w:t>
      </w:r>
    </w:p>
    <w:p>
      <w:pPr>
        <w:spacing w:after="80"/>
      </w:pPr>
      <w:r>
        <w:rPr>
          <w:b w:val="0"/>
          <w:i w:val="0"/>
        </w:rPr>
        <w:t>Cổ đông của một công ty Delaware có quyền “tham gia lựa chọn các ứng viên tranh cử” cho cuộc bầu cử vào hội đồng quản trị. Cổ đông được quyền tạo điều kiện cho việc thực hiện quyền đó bằng cách đề xuất một điều lệ khuyến khích các ứng viên không phải do hội đồng quản trị đề cử ra tranh cử. Điều lệ sẽ đạt được điều đó bằng cách cam kết công ty hoàn trả chi phí bầu cử của các cổ đông có ứng viên được bầu thành công. Việc thực hiện đề xuất đó sẽ đòi hỏi phải chi tiêu quỹ của công ty sẽ không, tự nó, khiến một điều lệ như vậy trở thành một đối tượng không phù hợp cho hành động của cổ đông. Theo đó, chúng tôi trả lời câu hỏi đầu tiên được chứng nhận cho chúng tôi là có.</w:t>
      </w:r>
    </w:p>
    <w:p>
      <w:pPr>
        <w:spacing w:after="80"/>
      </w:pPr>
      <w:r>
        <w:rPr>
          <w:b w:val="0"/>
          <w:i w:val="0"/>
        </w:rPr>
        <w:t>* * *</w:t>
      </w:r>
    </w:p>
    <w:p>
      <w:pPr>
        <w:spacing w:after="80"/>
      </w:pPr>
      <w:r>
        <w:rPr>
          <w:b w:val="0"/>
          <w:i w:val="0"/>
        </w:rPr>
        <w:t>Khi trả lời câu hỏi đầu tiên, chúng tôi đã xác định rằng Điều lệ không vi phạm trên bề mặt bất kỳ quy định nào của DGCL hoặc Giấy chứng nhận thành lập của CA. Do đó, câu hỏi trở thành liệu Điều lệ có vi phạm bất kỳ quy tắc hay nguyên tắc thông luật nào hay không. . . . chúng tôi nhất thiết phải xem xét bất kỳ tình huống khả dĩ nào mà theo đó hội đồng quản trị có thể được yêu cầu hành động. Trong ít nhất một giả thuyết như vậy, hội đồng quản trị sẽ vi phạm nghĩa vụ tín thác của họ nếu họ tuân theo Điều lệ. Theo đó, chúng tôi kết luận rằng Điều lệ, như được soạn thảo, sẽ vi phạm lệnh cấm, mà các phán quyết của chúng tôi đã rút ra từ Mục 141(a), đối với các thỏa thuận hợp đồng ràng buộc hội đồng quản trị vào một hướng hành động sẽ ngăn cản họ thực hiện đầy đủ nghĩa vụ tín thác của mình đối với công ty và cổ đông của công ty.</w:t>
      </w:r>
    </w:p>
    <w:p>
      <w:pPr>
        <w:spacing w:after="80"/>
      </w:pPr>
      <w:r>
        <w:rPr>
          <w:b w:val="0"/>
          <w:i w:val="0"/>
        </w:rPr>
        <w:t>* * *</w:t>
      </w:r>
    </w:p>
    <w:p>
      <w:pPr>
        <w:spacing w:after="80"/>
      </w:pPr>
      <w:r>
        <w:rPr>
          <w:b w:val="0"/>
          <w:i w:val="0"/>
        </w:rPr>
        <w:t>. . . Vụ án này liên quan đến một điều lệ ràng buộc mà cổ đông tìm cách áp đặt một cách không tự nguyện lên các giám đốc trong lĩnh vực cụ thể là hoàn trả chi phí bầu cử. Mặc dù vụ án này có thể phân biệt được ở khía cạnh đó, nhưng sự phân biệt đó là một sự phân biệt không có khác biệt. Lý do là hợp đồng quản trị nội bộ—mà ở đây mang hình thức một điều lệ—là một hợp đồng cũng sẽ ngăn cản các giám đốc thực hiện đầy đủ quyền quản lý của họ trong các tình huống mà nghĩa vụ tín thác của họ nếu không thì sẽ đòi hỏi họ phải từ chối hoàn trả cho một danh sách ứng viên bất đồng chính kiến. Việc giới hạn này sẽ được áp đặt bởi đa số phiếu của cổ đông thay vì bởi chính các giám đốc, theo quan điểm của chúng tôi, không có ý nghĩa về mặt pháp lý.</w:t>
      </w:r>
    </w:p>
    <w:p>
      <w:pPr>
        <w:spacing w:after="80"/>
      </w:pPr>
      <w:r>
        <w:rPr>
          <w:b w:val="0"/>
          <w:i w:val="0"/>
        </w:rPr>
        <w:t>AFSCME lập luận rằng việc dùng học thuyết được nêu trong QVC và Quickturn làm thước đo tính hợp pháp của Điều lệ là không thỏa đáng. Bởi vì Điều lệ sẽ loại bỏ hoàn toàn vấn đề hoàn trả chi phí bầu cử (trong các tình huống được định nghĩa bởi Điều lệ) khỏi quyền quyết định của hội đồng quản trị CA (AFSCME lập luận), nên không thể công bằng mà khẳng định rằng các giám đốc sẽ bị ngăn cản thực hiện nghĩa vụ tín thác của mình. Nói cách khác, AFSCME lập luận rằng thật không công bằng khi cho rằng Điều lệ ngăn cản hội đồng quản trị CA thực hiện nghĩa vụ tín thác của mình, trong khi hiệu lực của Điều lệ lại là giải phóng hội đồng hoàn toàn khỏi những nghĩa vụ đó trong lĩnh vực cụ thể này.</w:t>
      </w:r>
    </w:p>
    <w:p>
      <w:pPr>
        <w:spacing w:after="80"/>
      </w:pPr>
      <w:r>
        <w:rPr>
          <w:b w:val="0"/>
          <w:i w:val="0"/>
        </w:rPr>
        <w:t>Theo quan điểm của chúng tôi, phản hồi đó mang tính ngữ nghĩa nhiều hơn là thực chất. Dù được diễn đạt khéo léo đến đâu, lập luận này cũng thừa nhận chính cái luận điểm khiến Điều lệ, như được soạn thảo, trở nên vô hiệu: Điều lệ bắt buộc phải hoàn trả chi phí bầu cử trong những tình huống mà việc áp dụng đúng đắn các nguyên tắc tín thác có thể ngăn cấm. Việc những tình huống như vậy có thể phát sinh không phải là điều xa vời. Theo luật Delaware, hội đồng quản trị có thể chi quỹ của công ty để hoàn trả chi phí ủy nhiệm "[k]hi cuộc tranh chấp liên quan đến một vấn đề chính sách, khác biệt với vấn đề nhân sự o[r] quản lý." Nhưng trong tình huống mà cuộc tranh chấp ủy nhiệm được thúc đẩy bởi những mối quan tâm cá nhân hoặc nhỏ nhặt, hoặc để thúc đẩy những lợi ích không phục vụ, hoặc đi ngược lại, lợi ích của công ty, thì nghĩa vụ tín thác của hội đồng quản trị có thể buộc phải từ chối hoàn trả hoàn toàn.</w:t>
      </w:r>
    </w:p>
    <w:p>
      <w:pPr>
        <w:spacing w:after="80"/>
      </w:pPr>
      <w:r>
        <w:rPr>
          <w:b w:val="0"/>
          <w:i w:val="0"/>
        </w:rPr>
        <w:t>Chính ở khía cạnh này mà Điều lệ được đề xuất, như được soạn thảo, sẽ vi phạm luật Delaware nếu được các cổ đông của CA thông qua. Như hiện được soạn thảo, Điều lệ sẽ trao cho các giám đốc của CA toàn quyền quyết định mức hoàn trả nào là phù hợp, bởi vì các giám đốc sẽ chỉ có nghĩa vụ chấp thuận các chi phí "hợp lý" của một danh sách ứng viên ngắn thành công. Đáng tiếc thay, điều đó vẫn chưa đủ xa, bởi vì Điều lệ không chứa bất kỳ ngôn từ hay điều khoản nào bảo lưu cho các giám đốc của CA toàn quyền thực hiện nghĩa vụ tín thác của mình để quyết định liệu trong một trường hợp cụ thể, việc trao hoàn trả có phù hợp hay không.</w:t>
      </w:r>
    </w:p>
    <w:p>
      <w:pPr>
        <w:spacing w:after="80"/>
      </w:pPr>
      <w:r>
        <w:rPr>
          <w:b w:val="0"/>
          <w:i w:val="0"/>
        </w:rPr>
        <w:t xml:space="preserve">Khi đi đến kết luận này, chúng tôi không bày tỏ quan điểm về việc liệu Điều lệ như hiện được soạn thảo có tạo ra một cơ chế quản trị tốt hơn xét từ góc độ chính sách hay không. Chúng tôi chỉ quyết định điều gì được và không được pháp luật cho phép theo DGCL. Đạo luật đó, như hiện được soạn thảo, là sự thể hiện chính sách do cơ quan lập pháp Delaware ban hành. Những ai cho rằng các cổ đông của CA nên được phép đưa Điều lệ được đề xuất như được soạn thảo vào cơ chế quản trị của CA có hai lựa chọn. Họ có thể tìm cách sửa đổi Giấy chứng nhận thành lập để bao gồm nội dung của Điều lệ; </w:t>
      </w:r>
      <w:r>
        <w:rPr>
          <w:b w:val="0"/>
          <w:i/>
        </w:rPr>
        <w:t>hoặc</w:t>
      </w:r>
      <w:r>
        <w:rPr>
          <w:b w:val="0"/>
          <w:i w:val="0"/>
        </w:rPr>
        <w:t xml:space="preserve"> họ có thể tìm kiếm sự can thiệp từ Đại hội đồng Delaware.</w:t>
      </w:r>
    </w:p>
    <w:p>
      <w:pPr>
        <w:spacing w:after="80"/>
      </w:pPr>
      <w:r>
        <w:rPr>
          <w:b w:val="0"/>
          <w:i w:val="0"/>
        </w:rPr>
        <w:t>Theo đó, chúng tôi trả lời câu hỏi thứ hai được chứng nhận cho chúng tôi là có.</w:t>
      </w:r>
    </w:p>
    <w:p>
      <w:pPr>
        <w:pStyle w:val="Heading5"/>
      </w:pPr>
      <w:r>
        <w:rPr>
          <w:rFonts w:ascii="Calibri" w:hAnsi="Calibri"/>
          <w:b/>
          <w:i/>
          <w:sz w:val="22"/>
        </w:rPr>
        <w:t>Bình luận và Câu hỏi</w:t>
      </w:r>
    </w:p>
    <w:p>
      <w:pPr>
        <w:spacing w:after="80"/>
      </w:pPr>
      <w:r>
        <w:rPr>
          <w:b w:val="0"/>
          <w:i w:val="0"/>
        </w:rPr>
        <w:t>1. Câu hỏi đã được chứng nhận cho Tòa án Tối cao Delaware theo Hiến pháp Tiểu bang, Điều IV, Mục 11(8). Điều khoản này đã được sửa đổi vào năm 2007 để cho phép Ủy ban chứng nhận các câu hỏi cho tòa án. Có một lập luận rằng tòa án đã vi phạm các yêu cầu của chính mình khi chấp nhận một câu hỏi về lập trường không chính thức của nhân viên thay vì lập trường chính thức của Ủy ban.</w:t>
      </w:r>
    </w:p>
    <w:p>
      <w:pPr>
        <w:spacing w:after="80"/>
      </w:pPr>
      <w:r>
        <w:rPr>
          <w:b w:val="0"/>
          <w:i w:val="0"/>
        </w:rPr>
        <w:t>2. Việc sử dụng thẩm quyền chứng nhận là lần đầu tiên và duy nhất cho đến nay mà Ủy ban đã tìm kiếm lời khuyên chính thức từ Tòa án Tối cao Delaware. Nếu Ủy ban không làm như vậy, liệu điều lệ có thể vẫn bị thách thức không? Điều gì cần phải xảy ra trước khi một thách thức pháp lý có thể diễn ra?</w:t>
      </w:r>
    </w:p>
    <w:p>
      <w:pPr>
        <w:spacing w:after="80"/>
      </w:pPr>
      <w:r>
        <w:rPr>
          <w:b w:val="0"/>
          <w:i w:val="0"/>
        </w:rPr>
        <w:t>3. Nếu điều lệ này được thực thi, liệu nó có khả năng khuyến khích các cuộc tranh chấp ủy nhiệm không? Những cổ đông đề cử vẫn sẽ phải đối mặt với những rủi ro nào liên quan đến việc hoàn trả?</w:t>
      </w:r>
    </w:p>
    <w:p>
      <w:pPr>
        <w:spacing w:after="80"/>
      </w:pPr>
      <w:r>
        <w:rPr>
          <w:b w:val="0"/>
          <w:i w:val="0"/>
        </w:rPr>
        <w:t>4. Tòa án chỉ đưa ra hai ví dụ về việc hoàn trả sẽ được yêu cầu theo điều lệ mà sẽ dẫn đến vi phạm nghĩa vụ tín thác của hội đồng quản trị, bao gồm việc thanh toán khi "cuộc tranh chấp ủy nhiệm được thúc đẩy bởi những mối quan tâm cá nhân hoặc nhỏ nhặt" hoặc được thiết kế "để thúc đẩy những lợi ích không phục vụ, hoặc đi ngược lại, lợi ích của công ty. . . ." Cả hai điểm đều liên quan đến lý do của cuộc tranh chấp ủy nhiệm. Tuy nhiên, điều lệ đang được xem xét tại CA chỉ quy định việc hoàn trả trong phạm vi các giám đốc được cổ đông đề cử thực sự được bầu vào hội đồng quản trị. Việc họ thực sự được bầu có loại bỏ được những lo ngại về động cơ đề cử của họ không?</w:t>
      </w:r>
    </w:p>
    <w:p>
      <w:pPr>
        <w:spacing w:after="80"/>
      </w:pPr>
      <w:r>
        <w:rPr>
          <w:b w:val="0"/>
          <w:i w:val="0"/>
        </w:rPr>
        <w:t xml:space="preserve">5. Điều lệ yêu cầu hoàn trả các chi phí "hợp lý". Điều này có thực sự tương đương với một lối thoát tín thác không? Liệu hội đồng quản trị có thể lập luận rằng chi phí đòi hỏi phải vi phạm nghĩa vụ tín thác là </w:t>
      </w:r>
      <w:r>
        <w:rPr>
          <w:b w:val="0"/>
          <w:i/>
        </w:rPr>
        <w:t>đương nhiên</w:t>
      </w:r>
      <w:r>
        <w:rPr>
          <w:b w:val="0"/>
          <w:i w:val="0"/>
        </w:rPr>
        <w:t xml:space="preserve"> không hợp lý không?</w:t>
      </w:r>
    </w:p>
    <w:p>
      <w:pPr>
        <w:spacing w:after="80"/>
      </w:pPr>
      <w:r>
        <w:rPr>
          <w:b w:val="0"/>
          <w:i w:val="0"/>
        </w:rPr>
        <w:t xml:space="preserve">6. Để tuân theo lập luận của Tòa án này, các cổ đông cần sửa đổi điều lệ hoàn trả như thế nào để chúng hợp pháp theo luật Delaware? Tác động của những loại thay đổi này đối với điều lệ sẽ là gì? </w:t>
      </w:r>
      <w:r>
        <w:rPr>
          <w:b w:val="0"/>
          <w:i/>
        </w:rPr>
        <w:t>Xem Bebchuk v. CA, Inc.</w:t>
      </w:r>
      <w:r>
        <w:rPr>
          <w:b w:val="0"/>
          <w:i w:val="0"/>
        </w:rPr>
        <w:t xml:space="preserve"> , 902 A.2d 737 (Del. Ch. 2006) (kết luận rằng vụ kiện để kiểm tra tính hợp pháp của một điều lệ buộc hội đồng quản trị phải rút lại một viên thuốc độc là "chưa chín muồi").</w:t>
      </w:r>
    </w:p>
    <w:p>
      <w:pPr>
        <w:spacing w:after="80"/>
      </w:pPr>
      <w:r>
        <w:rPr>
          <w:b w:val="0"/>
          <w:i w:val="0"/>
        </w:rPr>
        <w:t>—————</w:t>
      </w:r>
    </w:p>
    <w:p>
      <w:pPr>
        <w:spacing w:after="80"/>
      </w:pPr>
      <w:r>
        <w:rPr>
          <w:b w:val="0"/>
          <w:i w:val="0"/>
        </w:rPr>
        <w:t>Sau hậu quả của phán quyết, cơ quan lập pháp Delaware đã sửa đổi luật để cho phép các điều lệ hoàn trả.</w:t>
      </w:r>
    </w:p>
    <w:p>
      <w:pPr>
        <w:spacing w:after="80"/>
      </w:pPr>
      <w:r>
        <w:rPr>
          <w:b w:val="0"/>
          <w:i w:val="0"/>
        </w:rPr>
        <w:t>§ 113. Hoàn trả chi phí ủy nhiệm.</w:t>
      </w:r>
    </w:p>
    <w:p>
      <w:pPr>
        <w:spacing w:after="80"/>
      </w:pPr>
      <w:r>
        <w:rPr>
          <w:b w:val="0"/>
          <w:i w:val="0"/>
        </w:rPr>
        <w:t>(a) Các điều lệ có thể quy định việc công ty hoàn trả các chi phí mà một cổ đông phải chịu khi thu thập ủy nhiệm liên quan đến một cuộc bầu cử giám đốc, tùy thuộc vào các thủ tục hoặc điều kiện mà điều lệ có thể quy định, bao gồm:</w:t>
      </w:r>
    </w:p>
    <w:p>
      <w:pPr>
        <w:spacing w:after="80"/>
      </w:pPr>
      <w:r>
        <w:rPr>
          <w:b w:val="0"/>
          <w:i w:val="0"/>
        </w:rPr>
        <w:t>(1) Đặt điều kiện để được hoàn trả chi phí dựa trên số lượng hoặc tỷ lệ người được đề cử bởi cổ đông đang yêu cầu hoàn trả, hoặc việc cổ đông đó trước đây đã từng yêu cầu hoàn trả cho các chi phí tương tự hay chưa;</w:t>
      </w:r>
    </w:p>
    <w:p>
      <w:pPr>
        <w:spacing w:after="80"/>
      </w:pPr>
      <w:r>
        <w:rPr>
          <w:b w:val="0"/>
          <w:i w:val="0"/>
        </w:rPr>
        <w:t>(2) Giới hạn về số tiền hoàn trả dựa trên tỷ lệ phiếu bầu ủng hộ một hoặc nhiều người được đề cử bởi cổ đông đang yêu cầu hoàn trả, hoặc dựa trên số tiền mà công ty đã chi để vận động thu thập giấy ủy quyền liên quan đến cuộc bầu cử;</w:t>
      </w:r>
    </w:p>
    <w:p>
      <w:pPr>
        <w:spacing w:after="80"/>
      </w:pPr>
      <w:r>
        <w:rPr>
          <w:b w:val="0"/>
          <w:i w:val="0"/>
        </w:rPr>
        <w:t>(3) Các giới hạn liên quan đến việc bầu chọn giám đốc bằng phương thức bỏ phiếu tích lũy theo § 214 của bộ luật này; hoặc</w:t>
      </w:r>
    </w:p>
    <w:p>
      <w:pPr>
        <w:spacing w:after="80"/>
      </w:pPr>
      <w:r>
        <w:rPr>
          <w:b w:val="0"/>
          <w:i w:val="0"/>
        </w:rPr>
        <w:t>(4) Bất kỳ điều kiện hợp pháp nào khác.</w:t>
      </w:r>
    </w:p>
    <w:p>
      <w:pPr>
        <w:spacing w:after="80"/>
      </w:pPr>
      <w:r>
        <w:rPr>
          <w:b w:val="0"/>
          <w:i w:val="0"/>
        </w:rPr>
        <w:t>(b) Không một điều lệ nào được thông qua như vậy sẽ áp dụng cho các cuộc bầu cử mà ngày ghi danh (record date) của cuộc bầu cử đó diễn ra trước ngày thông qua điều lệ đó.</w:t>
      </w:r>
    </w:p>
    <w:p>
      <w:pPr>
        <w:pStyle w:val="Heading5"/>
      </w:pPr>
      <w:r>
        <w:rPr>
          <w:rFonts w:ascii="Calibri" w:hAnsi="Calibri"/>
          <w:b/>
          <w:i/>
          <w:sz w:val="22"/>
        </w:rPr>
        <w:t>Bình luận và Câu hỏi</w:t>
      </w:r>
    </w:p>
    <w:p>
      <w:pPr>
        <w:spacing w:after="80"/>
      </w:pPr>
      <w:r>
        <w:rPr>
          <w:b w:val="0"/>
          <w:i w:val="0"/>
        </w:rPr>
        <w:t xml:space="preserve">1. Mục 113 có tác động gì đến </w:t>
      </w:r>
      <w:r>
        <w:rPr>
          <w:b w:val="0"/>
          <w:i/>
        </w:rPr>
        <w:t>CA v. AFSCME</w:t>
      </w:r>
      <w:r>
        <w:rPr>
          <w:b w:val="0"/>
          <w:i w:val="0"/>
        </w:rPr>
        <w:t xml:space="preserve"> , 953 A.2d 227 (Del. 2008)?</w:t>
      </w:r>
    </w:p>
    <w:p>
      <w:pPr>
        <w:spacing w:after="80"/>
      </w:pPr>
      <w:r>
        <w:rPr>
          <w:b w:val="0"/>
          <w:i w:val="0"/>
        </w:rPr>
        <w:t>2. Quy định này mang lại sự rõ ràng cho lĩnh vực này bằng cách nêu rõ rằng các điều lệ về hoàn trả chi phí có thể được đặt điều kiện dựa trên số lượng người được đề cử, việc cổ đông đề cử có từng yêu cầu hoàn trả trong quá khứ hay không, và có thể bị giới hạn về số tiền hoàn trả sẽ được cung cấp. Do đó, quy định này cho phép áp đặt những hạn chế đáng kể đối với những người đủ điều kiện được hoàn trả.</w:t>
      </w:r>
    </w:p>
    <w:p>
      <w:pPr>
        <w:spacing w:after="80"/>
      </w:pPr>
      <w:r>
        <w:rPr>
          <w:b w:val="0"/>
          <w:i w:val="0"/>
        </w:rPr>
        <w:t xml:space="preserve">3. Vào thời điểm viết cuốn sách giáo khoa này, chỉ có một công ty đã thông qua điều lệ về hoàn trả chi phí. </w:t>
      </w:r>
      <w:r>
        <w:rPr>
          <w:b w:val="0"/>
          <w:i/>
        </w:rPr>
        <w:t>Xem</w:t>
      </w:r>
      <w:r>
        <w:rPr>
          <w:b w:val="0"/>
          <w:i w:val="0"/>
        </w:rPr>
        <w:t xml:space="preserve"> Mục 3.4(c), Điều lệ của UnitedHealth, đính kèm Báo cáo Quý theo Mẫu 10-Q, nộp ngày tháng 11 năm 2009. Điều lệ quy định rằng cổ đông chỉ có thể được hoàn trả nếu cuộc bầu cử liên quan đến một cuộc tranh cử với "ít hơn 30% số Giám đốc cần được bầu," các cổ đông đề cử đã sở hữu cổ phần của công ty ít nhất một năm, và người được đề cử nhận được ít nhất 40% số phiếu bầu (được tính dựa trên tất cả các phiếu bầu thuận, chống, và không bỏ phiếu). Ngoài ra, số tiền hoàn trả trong mọi trường hợp không được vượt quá chi phí mà công ty đã phát sinh.</w:t>
      </w:r>
    </w:p>
    <w:p>
      <w:pPr>
        <w:spacing w:after="80"/>
      </w:pPr>
      <w:r>
        <w:rPr>
          <w:b w:val="0"/>
          <w:i w:val="0"/>
        </w:rPr>
        <w:t>4. Điều lệ này áp đặt những hạn chế đáng kể đối với cổ đông đề cử. Họ không được tham gia vận động thay mặt cho các ứng viên hội đồng quản trị khác ngoài những người được chính họ đề cử, hoặc có mục đích thay đổi quyền kiểm soát. Họ không đủ điều kiện nếu họ đã nhận được hoàn trả trong bất kỳ năm nào trong ba năm trước đó, hoặc nếu những người được họ đề cử xuất hiện trên thẻ ủy quyền của công ty. Cuối cùng, điều lệ có một lối thoát cho hội đồng quản trị. Như điều lệ quy định:</w:t>
      </w:r>
    </w:p>
    <w:p>
      <w:pPr>
        <w:spacing w:after="80"/>
      </w:pPr>
      <w:r>
        <w:rPr>
          <w:b w:val="0"/>
          <w:i w:val="0"/>
        </w:rPr>
        <w:t>Bất kể bất kỳ quy định nào khác ở đây, sẽ không có việc hoàn trả nào theo Mục 3.4(c) này trong trường hợp Hội đồng Quản trị xác định rằng bất kỳ khoản hoàn trả nào như vậy không vì lợi ích tốt nhất của Công ty hoặc sẽ dẫn đến việc vi phạm nghĩa vụ ủy thác của Hội đồng Quản trị đối với Công ty và các cổ đông của Công ty, hoặc rằng việc thực hiện khoản thanh toán như vậy sẽ khiến Công ty mất khả năng thanh toán hoặc khiến Công ty vi phạm một nghĩa vụ trọng yếu đã phát sinh mà không liên quan đến các nghĩa vụ do Mục 3.4(c) này áp đặt.</w:t>
      </w:r>
    </w:p>
    <w:p>
      <w:pPr>
        <w:spacing w:after="80"/>
      </w:pPr>
      <w:r>
        <w:rPr>
          <w:b w:val="0"/>
          <w:i w:val="0"/>
        </w:rPr>
        <w:t>Nếu bạn là một cổ đông đang cân nhắc một cuộc tranh cử thu thập giấy ủy quyền, bạn sẽ cảm thấy yên tâm đến mức nào từ điều lệ này? Nó sẽ có tác động gì, nếu có, đến quyết định tham gia một cuộc tranh cử thu thập giấy ủy quyền của bạn?</w:t>
      </w:r>
    </w:p>
    <w:p>
      <w:pPr>
        <w:spacing w:after="80"/>
      </w:pPr>
      <w:r>
        <w:rPr>
          <w:b w:val="0"/>
          <w:i w:val="0"/>
        </w:rPr>
        <w:t>—————</w:t>
      </w:r>
    </w:p>
    <w:p>
      <w:pPr>
        <w:spacing w:after="80"/>
      </w:pPr>
      <w:r>
        <w:rPr>
          <w:b w:val="0"/>
          <w:i w:val="0"/>
        </w:rPr>
        <w:t xml:space="preserve">Các giải pháp tiềm năng khác cho vấn đề chi phí đã xuất hiện ở cấp liên bang. Chẳng hạn, SEC đã ban hành các quy định được thiết kế để cho phép phân phối tài liệu ủy quyền bằng phương thức điện tử. </w:t>
      </w:r>
      <w:r>
        <w:rPr>
          <w:b w:val="0"/>
          <w:i/>
        </w:rPr>
        <w:t>Xem</w:t>
      </w:r>
      <w:r>
        <w:rPr>
          <w:b w:val="0"/>
          <w:i w:val="0"/>
        </w:rPr>
        <w:t xml:space="preserve"> Rule 14a-16, 17 C.F.R. 240.14a-16. Bằng cách tránh phần lớn chi phí bản in giấy, chi phí phân phối của công ty và các cổ đông nổi dậy sẽ được giảm bớt.</w:t>
      </w:r>
    </w:p>
    <w:p>
      <w:pPr>
        <w:spacing w:after="80"/>
      </w:pPr>
      <w:r>
        <w:rPr>
          <w:b w:val="0"/>
          <w:i w:val="0"/>
        </w:rPr>
        <w:t>Đề xuất gây tranh cãi nhất là cho phép cổ đông đưa những người được họ đề cử vào bản tuyên bố ủy quyền của ban quản lý. Được biết đến với tên gọi "quyền truy cập của cổ đông" (shareholder access), các đề xuất trong lĩnh vực này có từ những năm 1940. Quyền truy cập này sẽ thực sự làm giảm chi phí của một cuộc vận động thu thập giấy ủy quyền bằng cách yêu cầu các công ty phân phối thông tin về ứng viên và đưa tên của người được đề cử vào thẻ ủy quyền của công ty.</w:t>
      </w:r>
    </w:p>
    <w:p>
      <w:pPr>
        <w:spacing w:after="80"/>
      </w:pPr>
      <w:r>
        <w:rPr>
          <w:b w:val="0"/>
          <w:i w:val="0"/>
        </w:rPr>
        <w:t>SEC đã đề xuất vào năm 2002 và một lần nữa vào năm 2007 một quy định cho phép cổ đông ít nhất có một phần quyền truy cập vào bản tuyên bố ủy quyền cho những người được chính họ đề cử. Nhìn chung, cơ quan này nhận được sự ủng hộ từ các nhóm cổ đông (mặc dù họ đã đưa ra phản đối đối với một số hạn chế sẽ được yêu cầu theo các đề xuất) và sự phản đối mạnh mẽ từ cộng đồng tổ chức phát hành. Cuối cùng, Ủy ban đã chọn không thông qua bất kỳ đề xuất nào trong hai đề xuất đó.</w:t>
      </w:r>
    </w:p>
    <w:p>
      <w:pPr>
        <w:spacing w:after="80"/>
      </w:pPr>
      <w:r>
        <w:rPr>
          <w:b w:val="0"/>
          <w:i w:val="0"/>
        </w:rPr>
        <w:t xml:space="preserve">Năm 2009, tuy nhiên, một đề xuất khác lại xuất hiện. </w:t>
      </w:r>
      <w:r>
        <w:rPr>
          <w:b w:val="0"/>
          <w:i/>
        </w:rPr>
        <w:t>Xem</w:t>
      </w:r>
      <w:r>
        <w:rPr>
          <w:b w:val="0"/>
          <w:i w:val="0"/>
        </w:rPr>
        <w:t xml:space="preserve"> Exchange Act Release No. 60089 (ngày 10 tháng 6 năm 2009). Trong số nhiều phản đối đối với Quy tắc này, một số ý kiến cho rằng SEC thiếu thẩm quyền để ban hành quy tắc. Những lo ngại đó đã được xoa dịu khi Quốc hội thông qua Đạo luật Dodd-Frank. Mục 971 của Đạo luật Dodd-Frank đã sửa đổi Mục 14(a) của Exchange Act và trao cho SEC thứ quyền hạn gần như toàn diện để ban hành các quy tắc điều chỉnh việc cổ đông tiếp cận bản tuyên bố ủy quyền (proxy statement) của công ty để đề cử ứng viên của mình. Với thẩm quyền đó trong tay, Ủy ban đã nhanh chóng ban hành Quy tắc 14a-11.</w:t>
      </w:r>
    </w:p>
    <w:p>
      <w:pPr>
        <w:pStyle w:val="Heading4"/>
      </w:pPr>
      <w:r>
        <w:rPr>
          <w:rFonts w:ascii="Calibri" w:hAnsi="Calibri"/>
          <w:b/>
          <w:i w:val="0"/>
          <w:sz w:val="23"/>
        </w:rPr>
        <w:t>Tạo điều kiện thuận lợi cho việc đề cử giám đốc của cổ đông</w:t>
      </w:r>
    </w:p>
    <w:p>
      <w:pPr>
        <w:spacing w:after="80"/>
      </w:pPr>
      <w:r>
        <w:rPr>
          <w:b w:val="0"/>
          <w:i w:val="0"/>
        </w:rPr>
        <w:t>Exchange Act Release No. 62764 (ngày 25 tháng 8 năm 2010)</w:t>
      </w:r>
    </w:p>
    <w:p>
      <w:pPr>
        <w:spacing w:after="80"/>
      </w:pPr>
      <w:r>
        <w:rPr>
          <w:b w:val="0"/>
          <w:i w:val="0"/>
        </w:rPr>
        <w:t>. . . Một trong những nguyên tắc chủ chốt của các quy tắc ủy quyền liên bang mà Ủy ban luôn tập trung vào là liệu quá trình ủy quyền có vận hành, càng gần càng tốt, như một sự thay thế cho cuộc họp cổ đông trực tiếp thực tế hay không. Điều này quan trọng vì quá trình ủy quyền đại diện cho phương tiện chính mà cổ đông tham gia một cách hiệu quả vào cuộc họp thường niên hoặc bất thường của cổ đông. Trong Đề xuất của mình, chúng tôi đã nêu lo ngại rằng các quy tắc ủy quyền liên bang có thể không tạo điều kiện cho việc thực thi các quyền theo luật tiểu bang của cổ đông trong việc đề cử và bầu chọn giám đốc. Nếu không có khả năng sử dụng hiệu quả quá trình ủy quyền, các ứng viên do cổ đông đề cử không có triển vọng thực tế nào để được bầu chọn vì hầu hết, nếu không muốn nói là tất cả, cổ đông gửi lại thẻ ủy quyền trước cuộc họp cổ đông và do đó, về bản chất, bỏ phiếu trước cuộc họp mà tại đó họ có thể đề cử giám đốc. Nhận thấy rằng sự thất bại này của quá trình ủy quyền trong việc tạo điều kiện cho quyền đề cử của cổ đông có ảnh hưởng thực tế đến quyền bầu chọn giám đốc, các quy tắc mới sẽ cho phép quá trình ủy quyền tiệm cận gần hơn với các điều kiện của cuộc họp cổ đông. Ngoài ra, vì các công ty sẽ được yêu cầu đưa các ứng viên giám đốc do cổ đông đề cử vào tài liệu ủy quyền của công ty, cổ đông sẽ nhận được thêm thông tin để làm cơ sở cho quyết định bỏ phiếu của mình. Cuối cùng, chúng tôi tin rằng những thay đổi này sẽ nâng cao đáng kể niềm tin của cổ đông, những người liên kết cuộc khủng hoảng tài chính gần đây với việc một số hội đồng quản trị thiếu phản hồi đối với lợi ích của cổ đông.</w:t>
      </w:r>
    </w:p>
    <w:p>
      <w:pPr>
        <w:spacing w:after="80"/>
      </w:pPr>
      <w:r>
        <w:rPr>
          <w:b w:val="0"/>
          <w:i w:val="0"/>
        </w:rPr>
        <w:t>* * *</w:t>
      </w:r>
    </w:p>
    <w:p>
      <w:pPr>
        <w:spacing w:after="80"/>
      </w:pPr>
      <w:r>
        <w:rPr>
          <w:b w:val="0"/>
          <w:i w:val="0"/>
        </w:rPr>
        <w:t>Những người bình luận phản đối Đề xuất của chúng tôi tin rằng những phát triển gần đây về quản trị công ty, bao gồm việc tăng cường sử dụng tiêu chuẩn bỏ phiếu đa số cho việc bầu chọn giám đốc và một số thay đổi luật tiểu bang, đã mang lại cho cổ đông những cơ hội có ý nghĩa để tham gia vào việc bầu chọn giám đốc. Những người bình luận này coi các sửa đổi là sự xâm phạm không thích hợp vào những vấn đề truyền thống được điều chỉnh bởi luật tiểu bang hoặc áp đặt một quy tắc "một cỡ vừa cho tất cả" đối với mọi công ty và bày tỏ lo ngại về các giám đốc "lợi ích đặc biệt", về việc buộc các công ty phải tập trung vào ngắn hạn thay vì tạo ra giá trị cổ đông dài hạn, và những tác động tiêu cực khác được cho là của các sửa đổi, nếu được thông qua, đối với hội đồng quản trị và công ty. Cuối cùng, những người bình luận lo ngại về tác động của các sửa đổi được đề xuất đối với các doanh nghiệp nhỏ.</w:t>
      </w:r>
    </w:p>
    <w:p>
      <w:pPr>
        <w:spacing w:after="80"/>
      </w:pPr>
      <w:r>
        <w:rPr>
          <w:b w:val="0"/>
          <w:i w:val="0"/>
        </w:rPr>
        <w:t>* * *</w:t>
      </w:r>
    </w:p>
    <w:p>
      <w:pPr>
        <w:spacing w:after="80"/>
      </w:pPr>
      <w:r>
        <w:rPr>
          <w:b w:val="0"/>
          <w:i w:val="0"/>
        </w:rPr>
        <w:t>Trong khi chúng tôi nhận thấy rằng một số tiểu bang, như Delaware, đã sửa đổi luật công ty của tiểu bang mình để cho phép các công ty áp dụng các thủ tục đưa ứng viên giám đốc do cổ đông đề cử vào tài liệu ủy quyền của công ty, như đã được nhiều người bình luận nhấn mạnh, các tiểu bang khác thì chưa làm điều đó. Những người bình luận này lưu ý rằng, do đó, các công ty không được thành lập tại Delaware có thể cản trở nỗ lực của cổ đông trong việc thiết lập các thủ tục để cổ đông đưa ứng viên hội đồng quản trị vào tài liệu ủy quyền của công ty bằng cách kiện tụng về tính hợp lệ của một đề xuất cổ đông thiết lập các thủ tục đó, hoặc có thể bãi bỏ các điều lệ do cổ đông thông qua thiết lập các thủ tục đó. Ngoài ra, do khó khăn mà cổ đông có thể gặp phải trong việc thiết lập các thủ tục đó, chúng tôi tin rằng sẽ là không thích hợp nếu chỉ dựa vào cách tiếp cận cho phép để tạo điều kiện cho khả năng của cổ đông thực thi các quyền theo luật tiểu bang của mình trong việc đề cử và bầu chọn giám đốc. Ngay cả khi các sửa đổi điều lệ cho phép cổ đông đưa ứng viên vào tài liệu ủy quyền của công ty được cho phép ở mọi tiểu bang, các đề xuất cổ đông nhằm sửa đổi điều lệ công ty như vậy có thể gặp phải những trở ngại đáng kể.</w:t>
      </w:r>
    </w:p>
    <w:p>
      <w:pPr>
        <w:spacing w:after="80"/>
      </w:pPr>
      <w:r>
        <w:rPr>
          <w:b w:val="0"/>
          <w:i w:val="0"/>
        </w:rPr>
        <w:t>Chúng tôi cũng đã xem xét liệu việc nhiều công ty chuyển từ bỏ phiếu đa nguyên sang chính sách chung là bỏ phiếu đa số trong các cuộc bầu chọn giám đốc không có cạnh tranh có nên dẫn đến kết luận rằng hành động của chúng tôi là không cần thiết hay liệu chúng tôi có nên đặt hành động của mình trên cơ sở việc một công ty không áp dụng bỏ phiếu đa số hay không. Chúng tôi đồng ý với những người bình luận đã lập luận rằng tiêu chuẩn bỏ phiếu đa số trong bầu chọn giám đốc không giải quyết được nhu cầu về một quy tắc tạo điều kiện đưa các ứng viên giám đốc do cổ đông đề cử vào tài liệu ủy quyền của công ty. Trong khi bỏ phiếu đa số tác động đến khả năng của cổ đông trong việc bầu chọn các ứng viên do ban điều hành đề xuất, nó không ảnh hưởng đến khả năng của cổ đông thực thi quyền đề cử ứng viên giám đốc của mình.</w:t>
      </w:r>
    </w:p>
    <w:p>
      <w:pPr>
        <w:spacing w:after="80"/>
      </w:pPr>
      <w:r>
        <w:rPr>
          <w:b w:val="0"/>
          <w:i w:val="0"/>
        </w:rPr>
        <w:t>* * *</w:t>
      </w:r>
    </w:p>
    <w:p>
      <w:pPr>
        <w:spacing w:after="80"/>
      </w:pPr>
      <w:r>
        <w:rPr>
          <w:b w:val="0"/>
          <w:i w:val="0"/>
        </w:rPr>
        <w:t>Chúng tôi nhận thấy rằng nhiều người bình luận đã chủ trương rằng khả năng của cổ đông trong việc đưa ứng viên vào tài liệu ủy quyền của công ty nên được quyết định hoàn toàn bởi những gì mà từng công ty hoặc cổ đông của họ chủ động lựa chọn cung cấp, hoặc rằng các công ty hoặc cổ đông của họ nên có thể chọn không tuân theo Quy tắc 14a-11 hoặc thay đổi các điều khoản của nó cho từng công ty riêng lẻ (các lập luận về "sắp xếp tư nhân"). Sau khi xem xét cẩn thận nhiều bình luận ủng hộ quan điểm này, chúng tôi tin rằng các lập luận ủng hộ quan điểm này là thiếu thuyết phục vì một số lý do.</w:t>
      </w:r>
    </w:p>
    <w:p>
      <w:pPr>
        <w:spacing w:after="80"/>
      </w:pPr>
      <w:r>
        <w:rPr>
          <w:b w:val="0"/>
          <w:i w:val="0"/>
        </w:rPr>
        <w:t>Thứ nhất, quản trị công ty không chỉ đơn thuần là vấn đề sắp xếp tư nhân. Các quyền, bao gồm quyền của cổ đông, là sản phẩm của luật pháp, và trong lĩnh vực quản trị công ty, một số quyền không thể bị mặc cả để từ bỏ mà thay vào đó được áp đặt bởi luật định. Không có gì mới lạ về những giới hạn bắt buộc đối với sắp xếp tư nhân trong quản trị công ty.</w:t>
      </w:r>
    </w:p>
    <w:p>
      <w:pPr>
        <w:spacing w:after="80"/>
      </w:pPr>
      <w:r>
        <w:rPr>
          <w:b w:val="0"/>
          <w:i w:val="0"/>
        </w:rPr>
        <w:t>Thứ hai, lập luận cho rằng có sự mâu thuẫn giữa việc bắt buộc đưa các ứng viên do cổ đông đề cử vào tài liệu ủy quyền của công ty và mối quan tâm của chúng tôi đối với quyền của cổ đông theo luật chứng khoán liên bang đã giả định một cách sai lầm rằng các biện pháp bảo vệ cơ bản và quyền của các cổ đông cụ thể được cung cấp theo các quy tắc ủy quyền liên bang nên có thể bị bãi bỏ bởi "các cổ đông" của một công ty cụ thể, hành động với tư cách tổng thể. Các quy tắc chúng tôi ban hành hôm nay trao cho từng cổ đông cá nhân khả năng đưa các ứng viên giám đốc vào tài liệu ủy quyền của công ty nếu luật tiểu bang và các tài liệu quản trị công ty cho phép một cổ đông đề cử giám đốc tại cuộc họp cổ đông và các yêu cầu của Quy tắc 14a-11 được đáp ứng. Những quy tắc đó cũng tạo điều kiện tương tự cho quyền của từng cổ đông cá nhân trong việc bỏ phiếu cho những người được đề cử, dù bởi ban điều hành hay cổ đông khác, nếu cổ đông có quyền biểu quyết theo luật tiểu bang và các tài liệu quản trị của công ty. Các quy tắc chúng tôi ban hành hôm nay phản ánh phán đoán của chúng tôi rằng các quy tắc ủy quyền nên tạo điều kiện tốt hơn cho việc cổ đông thực thi hiệu quả các quyền truyền thống theo luật tiểu bang của mình trong việc đề cử giám đốc và bỏ phiếu cho các ứng viên. Khi luật chứng khoán liên bang thiết lập các biện pháp bảo vệ hoặc tạo ra các quyền cho người nắm giữ chứng khoán, chúng làm điều đó một cách cá nhân, không phải với tư cách tổng hợp nào đó. Không có điều khoản nào của luật chứng khoán liên bang có thể bị từ bỏ bằng trưng cầu. Một quy tắc cho phép một số cổ đông (thậm chí là đa số) hạn chế quyền theo luật chứng khoán liên bang của các cổ đông khác sẽ là không có tiền lệ và, chúng tôi tin rằng, là sự hiểu sai cơ bản về các tiền đề cơ bản của luật chứng khoán liên bang. Ngoài ra, việc cho phép một số cổ đông làm suy yếu khả năng của các cổ đông khác trong việc đưa các ứng viên giám đốc của họ vào tài liệu ủy quyền của công ty không thể dung hòa với mục đích của các quy tắc chúng tôi ban hành hôm nay. Theo quan điểm của chúng tôi, sẽ không thích hợp hơn nếu đưa một quy tắc ủy quyền liên bang cung cấp khả năng đưa ứng viên vào bản tuyên bố ủy quyền của công ty ra bỏ phiếu của cổ đông so với việc đưa bất kỳ khía cạnh nào khác của các quy tắc ủy quyền—bao gồm các tiết lộ bắt buộc khác—ra bị bãi bỏ bởi bỏ phiếu của cổ đông.</w:t>
      </w:r>
    </w:p>
    <w:p>
      <w:pPr>
        <w:spacing w:after="80"/>
      </w:pPr>
      <w:r>
        <w:rPr>
          <w:b w:val="0"/>
          <w:i w:val="0"/>
        </w:rPr>
        <w:t>Thứ ba, hiệu ứng thực tế của các quy tắc của chúng tôi sẽ là mở rộng sự lựa chọn của cổ đông, chứ không phải hạn chế nó. Các quy tắc của chúng tôi sẽ dẫn đến số lượng ứng viên xuất hiện trên thẻ ủy quyền nhiều hơn. Cổ đông sẽ tiếp tục có cơ hội bỏ phiếu chỉ cho các ứng viên của ban điều hành, nhưng các quy tắc của chúng tôi cũng sẽ cho cổ đông cơ hội bỏ phiếu cho các ứng viên giám đốc mà nếu không thì có thể đã không được đưa vào tài liệu ủy quyền của công ty.</w:t>
      </w:r>
    </w:p>
    <w:p>
      <w:pPr>
        <w:spacing w:after="80"/>
      </w:pPr>
      <w:r>
        <w:rPr>
          <w:b w:val="0"/>
          <w:i w:val="0"/>
        </w:rPr>
        <w:t>Ngoài những kết luận cơ bản này, chúng tôi lưu ý rằng có những lo ngại đáng kể khác được nêu ra bởi cách tiếp cận sắp xếp tư nhân. Một cuộc bỏ phiếu của cổ đông theo từng công ty về việc áp dụng Quy tắc 14a-11 sẽ liên quan đến chi phí trực tiếp và gián tiếp đáng kể trên toàn thị trường, và có thể các hội đồng quản trị, hoặc cổ đông hành động với sự khuyến khích rõ ràng hoặc ngầm của họ, có thể tìm kiếm các cuộc bỏ phiếu của cổ đông như vậy, có lẽ lặp đi lặp lại, mà không tốn chi phí tài chính cho bản thân họ nhưng với chi phí đáng kể cho công ty và cổ đông của nó. Một lo ngại khác liên quan đến bản chất của cuộc bỏ phiếu của cổ đông về việc có chọn không tuân theo Quy tắc 14a-11 hay không: cụ thể là, trong bối cảnh đó, ban điều hành có thể sử dụng toàn bộ nguồn lực của công ty để thúc đẩy việc thông qua việc chọn không tuân theo, trong khi các cổ đông phân tán không có nền tảng hiệu quả tương tự để vận động chống lại việc chọn không tuân theo.</w:t>
      </w:r>
    </w:p>
    <w:p>
      <w:pPr>
        <w:spacing w:after="80"/>
      </w:pPr>
      <w:r>
        <w:rPr>
          <w:b w:val="0"/>
          <w:i w:val="0"/>
        </w:rPr>
        <w:t>Ngoài ra, con đường để cổ đông thông qua một thủ tục đưa ứng viên vào tài liệu ủy quyền của công ty không hề không có trở ngại. Trong khi cổ đông thông thường có thể có quyền theo luật tiểu bang để thông qua các điều lệ quy định việc đưa các ứng viên do cổ đông đề cử vào tài liệu ủy quyền của công ty ngay cả khi không có một đạo luật cho phép rõ ràng như của Delaware, sự tồn tại của quyền đó khi không có đạo luật như vậy có thể bị thách thức. Hơn nữa, chúng tôi hiểu rằng theo luật Delaware, hội đồng quản trị thông thường được tự do, tùy thuộc vào nghĩa vụ ủy thác của mình, sửa đổi hoặc bãi bỏ bất kỳ điều lệ nào do cổ đông thông qua. Ngoài ra, không phải tất cả các đạo luật tiểu bang đều trao cho cổ đông quyền thông qua và sửa đổi điều lệ, và ngay cả khi cổ đông có quyền đó, nó thường bị giới hạn bởi các yêu cầu trong tài liệu quản trị của công ty rằng các sửa đổi điều lệ phải được phê duyệt bởi một cuộc bỏ phiếu đa số tuyệt đối của cổ đông.</w:t>
      </w:r>
    </w:p>
    <w:p>
      <w:pPr>
        <w:pStyle w:val="Heading5"/>
      </w:pPr>
      <w:r>
        <w:rPr>
          <w:rFonts w:ascii="Calibri" w:hAnsi="Calibri"/>
          <w:b/>
          <w:i/>
          <w:sz w:val="22"/>
        </w:rPr>
        <w:t>Nhận xét và Câu hỏi</w:t>
      </w:r>
    </w:p>
    <w:p>
      <w:pPr>
        <w:spacing w:after="80"/>
      </w:pPr>
      <w:r>
        <w:rPr>
          <w:b w:val="0"/>
          <w:i w:val="0"/>
        </w:rPr>
        <w:t>1. Một số ưu điểm hoặc nhược điểm của quyền tiếp cận dành cho cổ đông là gì? Một trong những phản đối phổ biến là điều này sẽ tạo điều kiện cho việc bầu ra các giám đốc đại diện cho "lợi ích đặc biệt". Điều này nghĩa là gì? Rủi ro điều này xảy ra nghiêm trọng đến mức nào?</w:t>
      </w:r>
    </w:p>
    <w:p>
      <w:pPr>
        <w:spacing w:after="80"/>
      </w:pPr>
      <w:r>
        <w:rPr>
          <w:b w:val="0"/>
          <w:i w:val="0"/>
        </w:rPr>
        <w:t>2. Tiền đề của quyền tiếp cận dành cho cổ đông là quá trình ủy quyền (proxy process) đã thực sự thay thế cuộc họp thường niên và do đó nên tái hiện cuộc họp đó càng sát càng tốt. Điều này có đúng không? Những hàm ý của cách tiếp cận này là gì?</w:t>
      </w:r>
    </w:p>
    <w:p>
      <w:pPr>
        <w:spacing w:after="80"/>
      </w:pPr>
      <w:r>
        <w:rPr>
          <w:b w:val="0"/>
          <w:i w:val="0"/>
        </w:rPr>
        <w:t>3. SEC đưa ra một trong những lý do để thông qua quy định này là mối lo ngại về khả năng phản hồi của hội đồng quản trị trong cuộc khủng hoảng tài chính xảy ra vào năm 2008 và 2009. Hàm ý là nếu quyền tiếp cận đã được áp dụng, cuộc khủng hoảng tài chính có thể đã được ngăn chặn hoặc ít nhất là giảm bớt mức độ nghiêm trọng. Làm thế nào có thể liên kết hai khái niệm này với nhau? Bạn có đồng ý không?</w:t>
      </w:r>
    </w:p>
    <w:p>
      <w:pPr>
        <w:spacing w:after="80"/>
      </w:pPr>
      <w:r>
        <w:rPr>
          <w:b w:val="0"/>
          <w:i w:val="0"/>
        </w:rPr>
        <w:t>4. Trong cuộc tranh luận về quyền tiếp cận, nhiều người phản đối lập luận rằng vấn đề này không nên được bắt buộc áp dụng cho các công ty đại chúng (một khuôn khổ chung cho tất cả) mà thay vào đó nên để cho các thỏa thuận tư nhân (private ordering) quyết định. Họ đặc biệt chỉ ra Mục 112 của Luật Doanh nghiệp Tổng hợp Delaware (Delaware General Corporation Law), trong đó cho phép rõ ràng việc thông qua các điều lệ (bylaws) cho phép "một hoặc nhiều cá nhân được một cổ đông đề cử" được đưa vào bản tuyên bố ủy quyền (proxy statement) của công ty. Những lợi ích và phản đối đối với mô hình thỏa thuận tư nhân là gì?</w:t>
      </w:r>
    </w:p>
    <w:p>
      <w:pPr>
        <w:spacing w:after="80"/>
      </w:pPr>
      <w:r>
        <w:rPr>
          <w:b w:val="0"/>
          <w:i w:val="0"/>
        </w:rPr>
        <w:t>5. Việc sử dụng rộng rãi các quy định bỏ phiếu theo đa số (majority vote provisions) có làm cho quyền tiếp cận dành cho cổ đông trở nên không cần thiết không? Hãy phân tích cho cả hai quan điểm.</w:t>
      </w:r>
    </w:p>
    <w:p>
      <w:pPr>
        <w:spacing w:after="80"/>
      </w:pPr>
      <w:r>
        <w:rPr>
          <w:b w:val="0"/>
          <w:i w:val="0"/>
        </w:rPr>
        <w:t>6. Quy định này không cho phép các công ty "chọn không tham gia" (opt out) khỏi yêu cầu này nhưng lại quy định rằng một công ty không cần phải chấp nhận các ứng viên giám đốc khi cổ đông không có quyền đề cử theo luật tiểu bang hoặc theo một điều khoản trong điều lệ (charter). Có bất kỳ hạn chế nào như vậy theo luật tiểu bang không? Các công ty có thể đưa vào điều lệ thành lập (articles of incorporation) của mình một điều khoản cấm các cổ đông sở hữu dưới 20% số cổ phần đang lưu hành có quyền đề cử giám đốc không?</w:t>
      </w:r>
    </w:p>
    <w:p>
      <w:pPr>
        <w:spacing w:after="80"/>
      </w:pPr>
      <w:r>
        <w:rPr>
          <w:b w:val="0"/>
          <w:i w:val="0"/>
        </w:rPr>
        <w:t xml:space="preserve">7. SEC có thể yêu cầu đưa các ứng viên vào tài liệu ủy quyền. SEC cũng có thể quyết định liệu các ứng viên đó có thực sự được bầu vào hội đồng quản trị hay không? Theo Bản tóm tắt (Brief) do cơ quan này đệ trình trong vụ </w:t>
      </w:r>
      <w:r>
        <w:rPr>
          <w:b w:val="0"/>
          <w:i/>
        </w:rPr>
        <w:t>Business Roundtable v. SEC</w:t>
      </w:r>
      <w:r>
        <w:rPr>
          <w:b w:val="0"/>
          <w:i w:val="0"/>
        </w:rPr>
        <w:t xml:space="preserve"> , số 10-1305, D.C. Cir., ngày 19 tháng 1 năm 2011, một vụ án thách thức tính hợp lệ của quy định về quyền tiếp cận dành cho cổ đông, Ủy ban khẳng định rằng "[n]ếu một ứng viên không đáp ứng các tiêu chuẩn giám đốc của công ty được bầu, luật tiểu bang sẽ quyết định liệu ứng viên đó có được ngồi vào ghế hay không." Với quan điểm này, một công ty có khả năng gì để từ chối cho một ứng viên do cổ đông đệ trình và bầu chọn ngồi vào ghế? Những hạn chế thực tế nào có thể tồn tại đối với việc thực thi quyền hạn này?</w:t>
      </w:r>
    </w:p>
    <w:p>
      <w:pPr>
        <w:pStyle w:val="Heading4"/>
      </w:pPr>
      <w:r>
        <w:rPr>
          <w:rFonts w:ascii="Calibri" w:hAnsi="Calibri"/>
          <w:b/>
          <w:i w:val="0"/>
          <w:sz w:val="23"/>
        </w:rPr>
        <w:t>Business Roundtable v. SEC</w:t>
      </w:r>
    </w:p>
    <w:p>
      <w:pPr>
        <w:spacing w:after="80"/>
      </w:pPr>
      <w:r>
        <w:rPr>
          <w:b w:val="0"/>
          <w:i w:val="0"/>
        </w:rPr>
        <w:t>Tòa Phúc thẩm Hoa Kỳ, Vòng Đặc khu Columbia</w:t>
      </w:r>
      <w:r>
        <w:br/>
      </w:r>
      <w:r>
        <w:rPr>
          <w:b w:val="0"/>
          <w:i w:val="0"/>
        </w:rPr>
        <w:t xml:space="preserve"> 647 F.3d 1144 (2011)</w:t>
      </w:r>
    </w:p>
    <w:p>
      <w:pPr>
        <w:spacing w:after="80"/>
      </w:pPr>
      <w:r>
        <w:rPr>
          <w:b w:val="0"/>
          <w:i w:val="0"/>
        </w:rPr>
        <w:t>GINSBURG , THẨM PHÁN VÒNG :</w:t>
      </w:r>
    </w:p>
    <w:p>
      <w:pPr>
        <w:spacing w:after="80"/>
      </w:pPr>
      <w:r>
        <w:rPr>
          <w:b w:val="0"/>
          <w:i w:val="0"/>
        </w:rPr>
        <w:t>* * *</w:t>
      </w:r>
    </w:p>
    <w:p>
      <w:pPr>
        <w:spacing w:after="80"/>
      </w:pPr>
      <w:r>
        <w:rPr>
          <w:b w:val="0"/>
          <w:i w:val="0"/>
        </w:rPr>
        <w:t>I. Bối cảnh</w:t>
      </w:r>
    </w:p>
    <w:p>
      <w:pPr>
        <w:spacing w:after="80"/>
      </w:pPr>
      <w:r>
        <w:rPr>
          <w:b w:val="0"/>
          <w:i w:val="0"/>
        </w:rPr>
        <w:t>Quá trình ủy quyền (proxy process) là phương tiện chính mà các cổ đông của một công ty đại chúng niêm yết dùng để bầu ra hội đồng quản trị của công ty. Thông thường, các giám đốc đương nhiệm đề cử một ứng viên cho mỗi vị trí trống trước cuộc bầu cử, được tổ chức tại cuộc họp thường niên của công ty. Trước cuộc họp, công ty đưa thông tin về mỗi ứng viên vào bộ "tài liệu ủy quyền" (proxy materials)—thường bao gồm một thẻ bỏ phiếu ủy quyền (proxy voting card) và một bản tuyên bố ủy quyền (proxy statement)—mà công ty phân phối cho tất cả cổ đông. Bản tuyên bố ủy quyền liên quan đến các thủ tục bỏ phiếu và thông tin cơ bản về (các) ứng viên của hội đồng quản trị; thẻ ủy quyền cho phép cổ đông bỏ phiếu thuận hoặc chống lại (các) ứng viên mà không cần tham dự cuộc họp. Một cổ đông muốn đề cử một ứng viên khác có thể nộp riêng bản tuyên bố ủy quyền của mình và vận động phiếu bầu từ các cổ đông, từ đó khởi xướng một "cuộc tranh giành ủy quyền" (proxy contest).</w:t>
      </w:r>
    </w:p>
    <w:p>
      <w:pPr>
        <w:spacing w:after="80"/>
      </w:pPr>
      <w:r>
        <w:rPr>
          <w:b w:val="0"/>
          <w:i w:val="0"/>
        </w:rPr>
        <w:t>Quy định 14a-11 mang đến cho cổ đông một con đường thay thế để đề cử và bầu chọn giám đốc. Lo ngại rằng quy trình hiện tại cản trở việc thực hiện quyền của cổ đông theo luật doanh nghiệp tiểu bang trong việc đề cử và bầu chọn giám đốc, Ủy ban đã đề xuất quy định này, xem Facilitating Shareholder Director Nominations, 74 Fed. Reg. 29,024, 29,025–26 (2009) (sau đây gọi là Proposing Release), và thông qua nó với mục tiêu đảm bảo "quá trình ủy quyền vận hành, càng sát càng tốt, như một sự thay thế cho một cuộc họp trực tiếp thực sự của cổ đông," 75 Fed. Reg. 56,668, 56,670 (2010) (sau đây gọi là Adopting Release). Sau khi phản hồi các ý kiến đóng góp của công chúng, Ủy ban đã sửa đổi quy định được đề xuất và, bằng một cuộc bỏ phiếu ba thuận hai chống, thông qua Quy định 14a-11. Id. tại 56,677. Quy định này yêu cầu một công ty thuộc phạm vi điều chỉnh của các quy định ủy quyền theo Exchange Act, bao gồm một công ty đầu tư (chẳng hạn như một quỹ tương hỗ) đăng ký theo Investment Company Act of 1940 (ICA), phải đưa vào tài liệu ủy quyền của mình "tên của một người hoặc nhiều người được đề cử bởi một cổ đông [đủ điều kiện] hoặc một nhóm cổ đông để bầu vào hội đồng quản trị." Id. tại 56,682–83, 56,782/3.</w:t>
      </w:r>
    </w:p>
    <w:p>
      <w:pPr>
        <w:spacing w:after="80"/>
      </w:pPr>
      <w:r>
        <w:rPr>
          <w:b w:val="0"/>
          <w:i w:val="0"/>
        </w:rPr>
        <w:t>Để sử dụng Quy định 14a-11, một cổ đông hoặc một nhóm cổ đông phải đã nắm giữ liên tục "ít nhất 3% quyền biểu quyết của các chứng khoán của công ty được quyền biểu quyết" trong ít nhất ba năm trước ngày cổ đông hoặc nhóm cổ đông đề cử nộp thông báo về ý định sử dụng quy định này, và phải tiếp tục sở hữu các chứng khoán đó cho đến ngày diễn ra cuộc họp thường niên. Id. tại 56,674–75. Cổ đông hoặc nhóm cổ đông đề cử phải nộp thông báo, trong đó có thể bao gồm một tuyên bố dài tối đa 500 từ để ủng hộ mỗi ứng viên của mình, cho Ủy ban và cho công ty. Id. tại 56,675–76. Một công ty nhận được thông báo từ một cổ đông hoặc nhóm cổ đông đủ điều kiện phải đưa thông tin được cung cấp về (các) cổ đông và (các) ứng viên của họ vào bản tuyên bố ủy quyền của mình và đưa (các) ứng viên vào thẻ bỏ phiếu ủy quyền. Id. tại 56,676/1.</w:t>
      </w:r>
    </w:p>
    <w:p>
      <w:pPr>
        <w:spacing w:after="80"/>
      </w:pPr>
      <w:r>
        <w:rPr>
          <w:b w:val="0"/>
          <w:i w:val="0"/>
        </w:rPr>
        <w:t xml:space="preserve">Ủy ban đã đặt ra một số giới hạn nhất định đối với việc áp dụng Quy tắc 14a-11. Quy tắc này không áp dụng nếu luật tiểu bang hiện hành hoặc tài liệu quản trị của công ty “cấm cổ đông đề cử một ứng viên để bầu làm giám đốc.” Id. at 56,674/3. Cổ đông cũng không được sử dụng Quy tắc 14a-11 nếu họ đang nắm giữ chứng khoán của công ty với ý định tạo ra sự thay đổi quyền kiểm soát công ty. Id. at 56,675/1. Công ty không bắt buộc phải đưa vào tài liệu ủy quyền của mình nhiều hơn một ứng viên do cổ đông đề cử hoặc số lượng ứng viên, nếu nhiều hơn một, bằng 25 phần trăm số lượng giám đốc trong hội đồng quản trị. </w:t>
      </w:r>
      <w:r>
        <w:rPr>
          <w:b w:val="0"/>
          <w:i/>
        </w:rPr>
        <w:t>Id</w:t>
      </w:r>
      <w:r>
        <w:rPr>
          <w:b w:val="0"/>
          <w:i w:val="0"/>
        </w:rPr>
        <w:t xml:space="preserve"> . at 56,675/2.</w:t>
      </w:r>
    </w:p>
    <w:p>
      <w:pPr>
        <w:spacing w:after="80"/>
      </w:pPr>
      <w:r>
        <w:rPr>
          <w:b w:val="0"/>
          <w:i w:val="0"/>
        </w:rPr>
        <w:t>* * *</w:t>
      </w:r>
    </w:p>
    <w:p>
      <w:pPr>
        <w:spacing w:after="80"/>
      </w:pPr>
      <w:r>
        <w:rPr>
          <w:b w:val="0"/>
          <w:i w:val="0"/>
        </w:rPr>
        <w:t>Theo APA, chúng tôi sẽ bãi bỏ hành động của cơ quan nếu hành động đó là “tùy tiện, thất thường, lạm dụng quyền tự quyết, hoặc không phù hợp với luật pháp.” 5 U.S.C. § 706(2)(A). Chúng tôi phải tự đảm bảo rằng cơ quan đã “xem xét dữ liệu liên quan và đưa ra lời giải thích thỏa đáng cho hành động của mình, bao gồm mối liên hệ hợp lý giữa các sự kiện được phát hiện và các lựa chọn được đưa ra.” Motor Vehicle Mfrs. Ass'n of U.S., Inc. v. State Farm Mut. Auto. Ins. Co., 463 U.S. 29, 43, 103 S. Ct. 2856, 77 L. Ed. 2d 443 (1983) (đã lược bỏ dấu ngoặc kép nội bộ). Ủy ban cũng có “nghĩa vụ theo luật định là xác định tốt nhất có thể các tác động kinh tế của quy tắc.” Chamber of Commerce v. SEC, 412 F.3d 133, 143, 366 U.S. App. D.C. 351 (D.C. Cir. 2005).</w:t>
      </w:r>
    </w:p>
    <w:p>
      <w:pPr>
        <w:spacing w:after="80"/>
      </w:pPr>
      <w:r>
        <w:rPr>
          <w:b w:val="0"/>
          <w:i w:val="0"/>
        </w:rPr>
        <w:t>Thật vậy, Ủy ban có một nghĩa vụ đặc biệt là xem xét tác động của một quy tắc mới đối với “hiệu quả, cạnh tranh và hình thành vốn,” 15 U.S.C. §§ 78c(f), 78w(a)(2), 80a-2(c), và việc không “tự thông báo cho mình—và do đó cho công chúng và Quốc hội—về các hệ quả kinh tế của một quy định được đề xuất” khiến việc ban hành quy tắc trở nên tùy tiện và thất thường cũng như không phù hợp với luật pháp. Chamber of Commerce, 412 F.3d at 144; Pub. Citizen v. Fed. Motor Carrier Safety Admin., 374 F.3d 1209, 1216, 362 U.S. App. D.C. 384 (D.C. Cir. 2004) (quy tắc là tùy tiện và thất thường vì cơ quan đã không xem xét một yếu tố được luật định yêu cầu).</w:t>
      </w:r>
    </w:p>
    <w:p>
      <w:pPr>
        <w:spacing w:after="80"/>
      </w:pPr>
      <w:r>
        <w:rPr>
          <w:b w:val="0"/>
          <w:i w:val="0"/>
        </w:rPr>
        <w:t>* * *</w:t>
      </w:r>
    </w:p>
    <w:p>
      <w:pPr>
        <w:spacing w:after="80"/>
      </w:pPr>
      <w:r>
        <w:rPr>
          <w:b w:val="0"/>
          <w:i w:val="0"/>
        </w:rPr>
        <w:t>1. Xem xét Chi phí và Lợi ích</w:t>
      </w:r>
    </w:p>
    <w:p>
      <w:pPr>
        <w:spacing w:after="80"/>
      </w:pPr>
      <w:r>
        <w:rPr>
          <w:b w:val="0"/>
          <w:i w:val="0"/>
        </w:rPr>
        <w:t xml:space="preserve">Trong Adopting Release, Ủy ban đã thừa nhận rằng “hội đồng quản trị công ty có thể được thúc đẩy bởi các vấn đề đang bị đặt ra để sử dụng nguồn lực đáng kể nhằm thách thức các ứng viên giám đốc do cổ đông đề cử.” 75 Fed. Reg. at 56,770/2. Tuy nhiên, Ủy ban tin rằng chi phí vận động và chiến dịch của công ty “có thể bị giới hạn bởi hai yếu tố”: thứ nhất, “trong phạm vi mà nghĩa vụ ủy thác của các giám đốc ngăn họ sử dụng quỹ công ty để chống lại các đề cử giám đốc của cổ đông mà không có mục đích công ty thiện chí,” họ có thể quyết định “chỉ đơn giản là đưa các ứng viên giám đốc do cổ đông đề cử . . . vào tài liệu ủy quyền của công ty”; và thứ hai, “ngưỡng sở hữu và thời gian nắm giữ theo yêu cầu” sẽ “giới hạn số lượng đề cử giám đốc của cổ đông mà một hội đồng quản trị có thể nhận được, xem xét và có thể tranh chấp.” </w:t>
      </w:r>
      <w:r>
        <w:rPr>
          <w:b w:val="0"/>
          <w:i/>
        </w:rPr>
        <w:t>Id</w:t>
      </w:r>
      <w:r>
        <w:rPr>
          <w:b w:val="0"/>
          <w:i w:val="0"/>
        </w:rPr>
        <w:t xml:space="preserve"> . at 56,770/2–3.</w:t>
      </w:r>
    </w:p>
    <w:p>
      <w:pPr>
        <w:spacing w:after="80"/>
      </w:pPr>
      <w:r>
        <w:rPr>
          <w:b w:val="0"/>
          <w:i w:val="0"/>
        </w:rPr>
        <w:t xml:space="preserve">Các nguyên đơn phản đối rằng Ủy ban đã không đánh giá đúng mức độ quyết liệt mà các tổ chức phát hành sẽ phản đối các ứng viên và đã tùy tiện bác bỏ khả năng rằng các giám đốc sẽ kết luận rằng nghĩa vụ ủy thác của họ buộc họ phải ủng hộ các ứng viên của chính mình. Các nguyên đơn cũng lập luận rằng việc Ủy ban không ước tính chi phí vận động và chiến dịch mà các công ty sẽ phải chịu để phản đối các ứng viên do cổ đông đề cử là tùy tiện, trong khi những người bình luận kỳ vọng những chi phí này khá lớn. Chamber of Commerce đã gửi một bình luận dự đoán rằng các hội đồng quản trị sẽ phải chịu các khoản chi tiêu đáng kể để phản đối các ứng viên của cổ đông thông qua “các nỗ lực truyền thông và quan hệ công chúng đáng kể, quảng cáo. . ., gửi thư hàng loạt, và các nỗ lực truyền thông khác, cũng như việc thuê các cố vấn bên ngoài và việc nhân viên công ty dành nhiều thời gian và nỗ lực đáng kể.” </w:t>
      </w:r>
      <w:r>
        <w:rPr>
          <w:b w:val="0"/>
          <w:i/>
        </w:rPr>
        <w:t>Id</w:t>
      </w:r>
      <w:r>
        <w:rPr>
          <w:b w:val="0"/>
          <w:i w:val="0"/>
        </w:rPr>
        <w:t xml:space="preserve"> . at 56,770/1. Tổ chức này chỉ ra rằng trong các cuộc tranh chấp ủy quyền gần đây tại các công ty lớn hơn, chi phí “dao động từ 14 triệu đô la đến 4 triệu đô la” và tại các công ty nhỏ hơn “từ 3 triệu đô la đến 800,000 đô la.” </w:t>
      </w:r>
      <w:r>
        <w:rPr>
          <w:b w:val="0"/>
          <w:i/>
        </w:rPr>
        <w:t>Id</w:t>
      </w:r>
      <w:r>
        <w:rPr>
          <w:b w:val="0"/>
          <w:i w:val="0"/>
        </w:rPr>
        <w:t xml:space="preserve"> . Trong bản tóm tắt lập luận của mình, Ủy ban khẳng định rằng mình đã xem xét các ước tính chi phí của những người bình luận, nhưng đã giải thích một cách hợp lý lý do tại sao những chi phí đó “có thể thấp hơn các ước tính này.”</w:t>
      </w:r>
    </w:p>
    <w:p>
      <w:pPr>
        <w:spacing w:after="80"/>
      </w:pPr>
      <w:r>
        <w:rPr>
          <w:b w:val="0"/>
          <w:i w:val="0"/>
        </w:rPr>
        <w:t>Chúng tôi đồng ý với các nguyên đơn rằng dự đoán của Ủy ban rằng các giám đốc có thể chọn không phản đối các ứng viên của cổ đông không có cơ sở nào ngoài sự suy đoán thuần túy. Mặc dù có thể một hội đồng quản trị, phù hợp với nghĩa vụ ủy thác của mình, có thể từ bỏ việc sử dụng nguồn lực để phản đối một ứng viên của cổ đông—ví dụ, nếu hội đồng tin rằng chi phí phản đối sẽ vượt quá chi phí đối với công ty khi ứng viên ưa thích của hội đồng thua trong cuộc bầu cử, được chiết khấu theo xác suất điều đó xảy ra—Ủy ban đã không đưa ra bằng chứng nào cho thấy sự kiềm chế như vậy từng được thấy trong thực tế. Ngược lại, Ủy ban về Quy định Liên bang đối với Chứng khoán của Hiệp hội Luật sư Hoa Kỳ đã bình luận:</w:t>
      </w:r>
    </w:p>
    <w:p>
      <w:pPr>
        <w:spacing w:after="80"/>
      </w:pPr>
      <w:r>
        <w:rPr>
          <w:b w:val="0"/>
          <w:i w:val="0"/>
        </w:rPr>
        <w:t>Nếu [hội đồng quản trị] xác định rằng ứng viên [của cổ đông] không phải là ứng viên phù hợp như những người sẽ được đề cử bởi ủy ban đề cử độc lập của hội đồng. . ., thì hội đồng sẽ bị nghĩa vụ ủy thác của mình buộc phải nỗ lực thích đáng để phản đối ứng viên đó, như các hội đồng quản trị hiện nay vẫn làm trong các cuộc tranh chấp ủy quyền truyền thống. Letter from Jeffrey W. Rubin, Chair, Comm. on Fed. Regulation of Secs., Am. Bar Ass'n, to SEC 35 (August 31, 2009) . . .</w:t>
      </w:r>
    </w:p>
    <w:p>
      <w:pPr>
        <w:spacing w:after="80"/>
      </w:pPr>
      <w:r>
        <w:rPr>
          <w:b w:val="0"/>
          <w:i w:val="0"/>
        </w:rPr>
        <w:t xml:space="preserve">Điểm thứ hai của Ủy ban, rằng số lượng tối thiểu và thời gian nắm giữ cổ phần theo yêu cầu sẽ giới hạn số lượng giám đốc được đề cử theo quy tắc mới, là một lý do để kỳ vọng các cuộc tranh cử sẽ không thường xuyên; điều đó không nói lên điều gì về số tiền mà một công ty sẽ chi cho chi phí vận động và chiến dịch khi có một cuộc tranh cử. Mặc dù Ủy ban thừa nhận rằng các công ty có thể sử dụng nguồn lực để phản đối các ứng viên của cổ đông, </w:t>
      </w:r>
      <w:r>
        <w:rPr>
          <w:b w:val="0"/>
          <w:i/>
        </w:rPr>
        <w:t>see</w:t>
      </w:r>
      <w:r>
        <w:rPr>
          <w:b w:val="0"/>
          <w:i w:val="0"/>
        </w:rPr>
        <w:t xml:space="preserve"> 75 Fed. Reg. at 56,770/2, Ủy ban đã không làm gì để ước tính và định lượng các chi phí mà mình kỳ vọng các công ty sẽ phải chịu; cũng không tuyên bố rằng việc ước tính những chi phí đó là không thể, vì bằng chứng thực nghiệm về chi tiêu trong các cuộc tranh chấp ủy quyền truyền thống đã sẵn có. Bởi vì cơ quan đã không “đưa ra những lựa chọn khó khăn về việc ước tính nào trong số các ước tính cạnh tranh là hợp lý nhất, [hoặc] mạo hiểm đoán xem ước tính nào là đúng,” Pub. Citizen, 374 F.3d at 1221, chúng tôi tin rằng cơ quan đã bỏ qua nghĩa vụ theo luật định của mình là đánh giá các hệ quả kinh tế của quy tắc, see Chamber of Commerce, 412 F.3d at 143.</w:t>
      </w:r>
    </w:p>
    <w:p>
      <w:pPr>
        <w:spacing w:after="80"/>
      </w:pPr>
      <w:r>
        <w:rPr>
          <w:b w:val="0"/>
          <w:i w:val="0"/>
        </w:rPr>
        <w:t>Các nguyên đơn cũng khẳng định, và chúng tôi đồng ý, rằng Ủy ban đã dựa vào dữ liệu thực nghiệm không đầy đủ khi kết luận rằng Quy tắc 14a-11 sẽ cải thiện hiệu quả hoạt động của hội đồng quản trị và tăng giá trị cổ đông bằng cách tạo điều kiện cho việc bầu các ứng viên giám đốc của cổ đông bất đồng chính kiến. See 75 Fed. Reg. at 56,761–62. Ủy ban đã thừa nhận nhiều nghiên cứu do những người bình luận gửi đến đưa ra kết quả ngược lại. Id. at 56,762/2 &amp; n.924. Chẳng hạn, một người bình luận đã gửi một nghiên cứu thực nghiệm cho thấy rằng “khi các giám đốc bất đồng chính kiến giành được ghế trong hội đồng quản trị, những công ty đó hoạt động kém hơn so với các công ty cùng ngành từ 19 đến 40% trong hai năm sau các cuộc tranh chấp ủy quyền.” Elaine Buckberg, NERA Econ. Consulting, &amp; Jonathan Macey, Yale Law School, Report on Effects of Proposed SEC Rule 14a-11 on Efficiency, Competitiveness and Capital Formation 9 (2009), available at www.nera.com/upload/Buckberg_Macey_Report_FINAL.pdf . Ủy ban đã hoàn toàn bác bỏ những nghiên cứu đó “vì những câu hỏi được nêu ra bởi các nghiên cứu tiếp theo, những hạn chế được chính các tác giả của nghiên cứu thừa nhận, hoặc [những] lo ngại của chính [Ủy ban] về phương pháp luận hoặc phạm vi của các nghiên cứu.” 75 Fed. Reg. at 56,762–63 &amp; n.926–28.</w:t>
      </w:r>
    </w:p>
    <w:p>
      <w:pPr>
        <w:spacing w:after="80"/>
      </w:pPr>
      <w:r>
        <w:rPr>
          <w:b w:val="0"/>
          <w:i w:val="0"/>
        </w:rPr>
        <w:t>Thay vào đó, Ủy ban dựa hoàn toàn và chủ yếu vào hai nghiên cứu tương đối không thuyết phục, một nghiên cứu liên quan đến tác động của “hội đồng quản trị hỗn hợp” (bao gồm một số giám đốc bất đồng chính kiến) và nghiên cứu còn lại liên quan đến tác động của các cuộc tranh chấp ủy quyền nói chung, đối với giá trị cổ đông. . . . Thật vậy, Ủy ban “thừa nhận[d] những hạn chế của nghiên cứu Cernich (2009),” và lưu ý rằng “các phát hiện dài hạn của nó về việc tạo ra giá trị cổ đông rất khó diễn giải.” Id. at 56,760/3 n.911. Xét thấy bằng chứng thực nghiệm được thừa nhận là (và cùng lắm chỉ là) “hỗn hợp,” id. at 56,761/1, chúng tôi cho rằng Ủy ban đã không hỗ trợ đầy đủ cho kết luận của mình rằng việc tăng khả năng bầu các giám đốc do cổ đông đề cử sẽ dẫn đến hiệu quả hoạt động của hội đồng quản trị và công ty được cải thiện cũng như giá trị cổ đông được nâng cao, id. at 56,761/1; see id. at 56,761/3.</w:t>
      </w:r>
    </w:p>
    <w:p>
      <w:pPr>
        <w:spacing w:after="80"/>
      </w:pPr>
      <w:r>
        <w:rPr>
          <w:b w:val="0"/>
          <w:i w:val="0"/>
        </w:rPr>
        <w:t>Hơn nữa, như các nguyên đơn chỉ ra, Ủy ban đã chiết khấu các chi phí của Quy tắc 14a-11—nhưng không chiết khấu các lợi ích—như một sản phẩm phụ thuần túy của quyền theo luật tiểu bang của cổ đông trong việc bầu giám đốc. Ví dụ, liên quan đến các chi phí tiềm ẩn của Quy tắc 14a-11, chẳng hạn như sự xao nhãng của ban quản lý và việc giảm thời gian mà hội đồng quản trị dành cho “tư duy chiến lược và dài hạn,” Ủy ban cho rằng “điều quan trọng là phải lưu ý rằng những chi phí này gắn liền với quyền theo luật tiểu bang truyền thống trong việc đề cử và bầu giám đốc, và không phải là chi phí phát sinh do việc đưa các ứng viên giám đốc của cổ đông vào tài liệu ủy quyền của công ty.” Id. at 56,765/1–2. Như chúng tôi đã từng nói trước đây, kiểu lập luận này, vốn không xem xét một chi phí ở mức biên, là phi logic và, trong một phân tích kinh tế, là không thể chấp nhận được. See Chamber of Commerce, 412 F.3d at 143 (bác bỏ lập luận của Ủy ban rằng quy tắc sẽ không tạo ra “các chi phí liên quan đến việc thuê nhân sự vì các hội đồng quản trị thường có quyền này theo luật tiểu bang,” và cho rằng “việc một hội đồng quản trị có được luật pháp cho phép thuê thêm nhân sự hay không không hề liên quan đến” câu hỏi liệu quy tắc có “thực tế khiến quỹ phải chịu thêm chi phí nhân sự hay không”).</w:t>
      </w:r>
    </w:p>
    <w:p>
      <w:pPr>
        <w:spacing w:after="80"/>
      </w:pPr>
      <w:r>
        <w:rPr>
          <w:b w:val="0"/>
          <w:i w:val="0"/>
        </w:rPr>
        <w:t>2. Các Cổ đông có Lợi ích Đặc biệt</w:t>
      </w:r>
    </w:p>
    <w:p>
      <w:pPr>
        <w:spacing w:after="80"/>
      </w:pPr>
      <w:r>
        <w:rPr>
          <w:b w:val="0"/>
          <w:i w:val="0"/>
        </w:rPr>
        <w:t xml:space="preserve">Tiếp theo, các nguyên đơn lập luận rằng Ủy ban đã hành động tùy tiện và thất thường khi “hoàn toàn không xem xét một khía cạnh quan trọng của vấn đề,” Motor Vehicle Mfrs. Ass'n, 463 U.S. at 43, cụ thể là cách các công đoàn và quỹ hưu trí nhà nước có thể sử dụng Quy tắc 14a-11. Những người bình luận bày tỏ lo ngại rằng các quỹ phúc lợi nhân viên này sẽ áp đặt chi phí lên các công ty bằng cách sử dụng Quy tắc 14a-11 như một đòn bẩy để giành được các nhượng bộ, chẳng hạn như phúc lợi bổ sung cho nhân viên công đoàn, không liên quan đến giá trị cổ đông. Ủy ban khẳng định rằng mình đã xem xét vấn đề này, dù không bằng đúng những lời lẽ đó, trên con đường đi đến kết luận rằng “toàn bộ bằng chứng và lý thuyết kinh tế” đều cho thấy quy tắc này “có tiềm năng tạo ra lợi ích là hiệu quả hoạt động của hội đồng quản trị được cải thiện và giá trị cổ đông được nâng cao.” 75 Fed. Reg. at 56,761/1. Cụ thể, Ủy ban thừa nhận rằng “các công ty có thể bị ảnh hưởng tiêu cực nếu cổ đông sử dụng các quy tắc mới để thúc đẩy những lợi ích hẹp hòi của họ gây thiệt hại cho các cổ đông khác,” id. at 56,772/3, nhưng lập luận rằng những chi phí tiềm ẩn này “có thể bị giới hạn” vì các yêu cầu về quyền sở hữu và thời gian nắm giữ sẽ “chỉ cho phép những người nắm giữ đã chứng minh được cam kết đáng kể, dài hạn đối với công ty sử dụng quy tắc này,” id. at 56,766/3, và do đó những người này ít có khả năng hành động theo cách làm giảm giá trị cổ đông. Ủy ban cũng lưu ý rằng chi phí có thể bị giới hạn vì các cổ đông khác có thể được cảnh báo, thông qua các yêu cầu công bố thông tin, “về những lợi ích hẹp hòi của cổ đông đề cử.” </w:t>
      </w:r>
      <w:r>
        <w:rPr>
          <w:b w:val="0"/>
          <w:i/>
        </w:rPr>
        <w:t>Id</w:t>
      </w:r>
      <w:r>
        <w:rPr>
          <w:b w:val="0"/>
          <w:i w:val="0"/>
        </w:rPr>
        <w:t xml:space="preserve"> .</w:t>
      </w:r>
    </w:p>
    <w:p>
      <w:pPr>
        <w:spacing w:after="80"/>
      </w:pPr>
      <w:r>
        <w:rPr>
          <w:b w:val="0"/>
          <w:i w:val="0"/>
        </w:rPr>
        <w:t>Những người kiến nghị cũng cho rằng Ủy ban đã không phản hồi về các chi phí mà các công ty sẽ phải gánh chịu ngay cả khi một người được cổ đông đề cử cuối cùng không được bầu. Những chi phí này có thể phát sinh hoặc do hội đồng quản trị phải nhượng bộ trước những yêu cầu, không liên quan đến việc gia tăng giá trị, của một cổ đông có lợi ích đặc biệt đe dọa đề cử một giám đốc, hoặc do phải phản đối và đánh bại (những) người được đề cử như vậy. Ủy ban đã không hoàn toàn phớt lờ những chi phí tiềm tàng này, nhưng cũng không giải quyết chúng một cách thỏa đáng.</w:t>
      </w:r>
    </w:p>
    <w:p>
      <w:pPr>
        <w:spacing w:after="80"/>
      </w:pPr>
      <w:r>
        <w:rPr>
          <w:b w:val="0"/>
          <w:i w:val="0"/>
        </w:rPr>
        <w:t>Bất chấp các yêu cầu về quyền sở hữu và thời gian nắm giữ, có lý do chính đáng để tin rằng các nhà đầu tư tổ chức có lợi ích đặc biệt sẽ có thể sử dụng quy tắc này và, như nhiều hơn một người bình luận đã lưu ý, "các quỹ hưu trí công và công đoàn" là những nhà đầu tư tổ chức "có khả năng sử dụng quyền tiếp cận proxy (proxy access) cao nhất". Thư của Jonathan D. Urick, Chuyên viên phân tích, Hội đồng Nhà đầu tư Tổ chức, gửi SEC 2 (ngày 14 tháng 1 năm 2010). . . . Tuy nhiên, Ủy ban đã không phản hồi các bình luận lập luận rằng các nhà đầu tư có lợi ích đặc biệt, chẳng hạn như công đoàn và chính quyền tiểu bang và địa phương - những bên có lợi ích về việc làm có thể lớn hơn lợi ích về giá trị cổ phần - có thể được kỳ vọng sẽ theo đuổi các mục tiêu vì lợi ích riêng thay vì mục tiêu tối đa hóa giá trị cổ đông, và có khả năng sẽ khiến các công ty phải gánh chịu chi phí ngay cả khi người được họ đề cử khó có thể được bầu. . . . Bằng cách né tránh việc đánh giá nghiêm túc các chi phí có thể bị áp đặt lên các công ty từ việc các cổ đông đại diện cho lợi ích đặc biệt, đặc biệt là các quỹ hưu trí công đoàn và chính phủ, sử dụng quy tắc này, chúng tôi cho rằng Ủy ban đã hành động một cách tùy tiện.</w:t>
      </w:r>
    </w:p>
    <w:p>
      <w:pPr>
        <w:spacing w:after="80"/>
      </w:pPr>
      <w:r>
        <w:rPr>
          <w:b w:val="0"/>
          <w:i w:val="0"/>
        </w:rPr>
        <w:t>3. Tần suất của các cuộc tranh cử bầu cử</w:t>
      </w:r>
    </w:p>
    <w:p>
      <w:pPr>
        <w:spacing w:after="80"/>
      </w:pPr>
      <w:r>
        <w:rPr>
          <w:b w:val="0"/>
          <w:i w:val="0"/>
        </w:rPr>
        <w:t xml:space="preserve">Trong Văn bản Đề xuất (Proposing Release), Ủy ban ước tính 269 công ty mỗi năm, bao gồm 208 công ty báo cáo theo Exchange Act và 61 công ty đầu tư đã đăng ký, sẽ nhận được các đề cử theo Quy tắc 14a-11. 74 Fed. Reg. tại 29,064/1. Tuy nhiên, trong Văn bản Ban hành (Adopting Release), Ủy ban đã giảm ước tính đó xuống còn 51, chỉ bao gồm 45 công ty báo cáo và 6 công ty đầu tư, do "các yêu cầu về điều kiện đủ bổ sung" mà Ủy ban đã thông qua trong phiên bản cuối cùng của Quy tắc 14a-11. 75 Fed. Reg. tại 56,743/3–56,744/1. (Như được đề xuất ban đầu, Quy tắc 14a-11 sẽ yêu cầu một cổ đông đề cử chỉ cần nắm giữ chứng khoán trong một năm thay vì ba năm như yêu cầu trong quy tắc cuối cùng. </w:t>
      </w:r>
      <w:r>
        <w:rPr>
          <w:b w:val="0"/>
          <w:i/>
        </w:rPr>
        <w:t>Xem id</w:t>
      </w:r>
      <w:r>
        <w:rPr>
          <w:b w:val="0"/>
          <w:i w:val="0"/>
        </w:rPr>
        <w:t xml:space="preserve"> . tại 56,755/1.) Khi sửa đổi ước tính của mình, Ủy ban cũng mới dựa vào "[s]ố lượng các cuộc tranh cử bầu cử và các đề xuất cổ đông liên quan đến hội đồng quản trị" trong một năm gần đây, mà Ủy ban tin là "một chỉ báo tốt hơn về việc có bao nhiêu cổ đông có thể đệ trình đề cử" so với dữ liệu mà Ủy ban đã dựa vào để đưa ra ước tính trong Văn bản Đề xuất. </w:t>
      </w:r>
      <w:r>
        <w:rPr>
          <w:b w:val="0"/>
          <w:i/>
        </w:rPr>
        <w:t>Id</w:t>
      </w:r>
      <w:r>
        <w:rPr>
          <w:b w:val="0"/>
          <w:i w:val="0"/>
        </w:rPr>
        <w:t xml:space="preserve"> . tại 56,743/3.</w:t>
      </w:r>
    </w:p>
    <w:p>
      <w:pPr>
        <w:spacing w:after="80"/>
      </w:pPr>
      <w:r>
        <w:rPr>
          <w:b w:val="0"/>
          <w:i w:val="0"/>
        </w:rPr>
        <w:t>Những người kiến nghị lập luận rằng ước tính đã sửa đổi của Ủy ban đi chệch một cách bất hợp lý khỏi ước tính được sử dụng trong Văn bản Đề xuất, mâu thuẫn với khẳng định của Ủy ban rằng quy tắc này tạo điều kiện thuận lợi cho các cuộc tranh cử bầu cử, và làm suy yếu việc Ủy ban dựa vào việc sử dụng thường xuyên Quy tắc 14a-11 để ước tính mức độ mà cổ đông sẽ được hưởng lợi từ "tiết kiệm chi phí in ấn và gửi thư trực tiếp", id. tại 56,756 &amp; n.872. Những người kiến nghị cũng cho rằng ước tính này không nhất quán với dự đoán của Ủy ban rằng cổ đông sẽ khởi xướng 147 đề xuất mỗi năm theo Quy tắc 14a-8, một quy tắc không bị thách thức ở đây. Xem id. tại 56,677/2.</w:t>
      </w:r>
    </w:p>
    <w:p>
      <w:pPr>
        <w:spacing w:after="80"/>
      </w:pPr>
      <w:r>
        <w:rPr>
          <w:b w:val="0"/>
          <w:i w:val="0"/>
        </w:rPr>
        <w:t>Ủy ban đã không bất hợp lý khi dự đoán các nhà đầu tư sẽ sử dụng Quy tắc 14a-11 ít thường xuyên hơn so với việc các cuộc tranh cử proxy truyền thống đã được sử dụng trong quá khứ. Như luật sư của Ủy ban đã chỉ ra tại phần tranh luận miệng, vẫn sẽ có một số cuộc tranh cử proxy truyền thống; tổng số nỗ lực của cổ đông nhằm đề cử và bầu giám đốc chắc chắn sẽ lớn hơn khi cổ đông có hai con đường thay vì một con đường mở ra cho họ. Dù sao đi nữa, tần suất ước tính cuối cùng (51) mà cổ đông sẽ sử dụng Quy tắc 14a-11 không mâu thuẫn rõ ràng với ước tính cao hơn trong Văn bản Đề xuất (269), hoặc ước tính về các đề xuất theo Quy tắc 14a-8 (147), cả hai đều dựa trên các tiêu chuẩn điều kiện đủ lỏng lẻo hơn.</w:t>
      </w:r>
    </w:p>
    <w:p>
      <w:pPr>
        <w:spacing w:after="80"/>
      </w:pPr>
      <w:r>
        <w:rPr>
          <w:b w:val="0"/>
          <w:i w:val="0"/>
        </w:rPr>
        <w:t>Tuy nhiên, khi cân nhắc chi phí và lợi ích của quy tắc, Ủy ban đã tùy tiện phớt lờ tác động của quy tắc cuối cùng lên tổng số các cuộc tranh cử bầu cử. Nghĩa là, Văn bản Ban hành không đề cập liệu và ở mức độ nào Quy tắc 14a-11 sẽ thay thế các cuộc tranh cử proxy truyền thống. So sánh 75 Fed. Reg. tại 56,772/2. Không có dữ liệu quan trọng này, Ủy ban không có cách nào biết liệu quy tắc này có tạo điều kiện cho đủ các cuộc tranh cử bầu cử để mang lại lợi ích ròng hay không. Xem id. tại 56,761/1 (dự đoán "các hiệu ứng có lợi" vì quy tắc sẽ "khiến các cuộc tranh cử bầu cử trở thành một con đường khả thi hơn để cổ đông tham gia vào việc quản trị công ty của họ").</w:t>
      </w:r>
    </w:p>
    <w:p>
      <w:pPr>
        <w:spacing w:after="80"/>
      </w:pPr>
      <w:r>
        <w:rPr>
          <w:b w:val="0"/>
          <w:i w:val="0"/>
        </w:rPr>
        <w:t xml:space="preserve">Chúng tôi cũng đồng ý với những người kiến nghị rằng phần thảo luận của Ủy ban về tần suất ước tính của các đề cử theo Quy tắc 14a-11 là không nhất quán nội tại và do đó là tùy tiện. Khi thảo luận về lợi ích của mình, Ủy ban dự đoán các cổ đông đề cử sẽ đạt được "[c]ác khoản tiết kiệm chi phí trực tiếp" từ việc không phải tự in hoặc gửi tài liệu proxy của họ. Id. tại 56,756/2. Những khoản tiết kiệm này sẽ "loại bỏ một rào cản khiến cổ đông không muốn đệ trình đề cử giám đốc của riêng họ" và bằng cách khác tạo điều kiện cho các cuộc tranh cử bầu cử. Id. Sau đó, Ủy ban đã trích dẫn các thư bình luận dự đoán số lượng các cuộc bầu cử bị tranh chấp theo Quy tắc 14a-11 sẽ khá cao. Xem id. tại 56,756/3 n.872. Một trong những bình luận được báo cáo, dựa trên quy tắc được đề xuất và một cuộc khảo sát các giám đốc, cho biết khoảng 15 phần trăm tất cả các công ty có cổ phiếu niêm yết trên các sàn giao dịch, tức là "hàng trăm" công ty đại chúng, kỳ vọng một cổ đông hoặc một nhóm cổ đông sẽ đề cử một giám đốc bằng cách sử dụng quy tắc mới. Thư của Kenneth L. Altman, Chủ tịch, The Altman Group, Inc., gửi SEC 3 (ngày 19 tháng 1 năm 2010), có tại http://www.sec.gov/comments/s7-10-09/s71009-605.pdf . Như vậy, Ủy ban đã dự đoán việc sử dụng thường xuyên Quy tắc 14a-11 khi ước tính lợi ích, nhưng lại giả định việc sử dụng không thường xuyên khi ước tính chi phí. </w:t>
      </w:r>
      <w:r>
        <w:rPr>
          <w:b w:val="0"/>
          <w:i/>
        </w:rPr>
        <w:t>Xem, ví dụ, supra</w:t>
      </w:r>
      <w:r>
        <w:rPr>
          <w:b w:val="0"/>
          <w:i w:val="0"/>
        </w:rPr>
        <w:t xml:space="preserve"> tại 10 (SEC khẳng định chi phí vận động và chi phí chiến dịch sẽ được giảm thiểu do việc sử dụng quy tắc hạn chế).</w:t>
      </w:r>
    </w:p>
    <w:p>
      <w:pPr>
        <w:spacing w:after="80"/>
      </w:pPr>
      <w:r>
        <w:rPr>
          <w:b w:val="0"/>
          <w:i w:val="0"/>
        </w:rPr>
        <w:t>III. Kết luận</w:t>
      </w:r>
    </w:p>
    <w:p>
      <w:pPr>
        <w:spacing w:after="80"/>
      </w:pPr>
      <w:r>
        <w:rPr>
          <w:b w:val="0"/>
          <w:i w:val="0"/>
        </w:rPr>
        <w:t xml:space="preserve">Vì những lý do nêu trên, chúng tôi cho rằng Ủy ban đã hành động một cách tùy tiện và tùy nghi trong việc ban hành Quy tắc 14a-11. Do đó, chúng tôi không có dịp để giải quyết thách thức của những người kiến nghị đối với Tu chính án thứ nhất liên quan đến quy tắc này. Đơn kiến nghị được chấp thuận và quy tắc theo đây bị </w:t>
      </w:r>
      <w:r>
        <w:rPr>
          <w:b w:val="0"/>
          <w:i/>
        </w:rPr>
        <w:t>Hủy bỏ</w:t>
      </w:r>
      <w:r>
        <w:rPr>
          <w:b w:val="0"/>
          <w:i w:val="0"/>
        </w:rPr>
        <w:t xml:space="preserve"> .</w:t>
      </w:r>
    </w:p>
    <w:p>
      <w:pPr>
        <w:pStyle w:val="Heading5"/>
      </w:pPr>
      <w:r>
        <w:rPr>
          <w:rFonts w:ascii="Calibri" w:hAnsi="Calibri"/>
          <w:b/>
          <w:i/>
          <w:sz w:val="22"/>
        </w:rPr>
        <w:t>Bình luận và Câu hỏi</w:t>
      </w:r>
    </w:p>
    <w:p>
      <w:pPr>
        <w:spacing w:after="80"/>
      </w:pPr>
      <w:r>
        <w:rPr>
          <w:b w:val="0"/>
          <w:i w:val="0"/>
        </w:rPr>
        <w:t xml:space="preserve">1. Để có thảo luận về lịch sử của quyền tiếp cận của cổ đông, bắt đầu từ những năm 1940, xem J. Robert Brown, Jr., </w:t>
      </w:r>
      <w:r>
        <w:rPr>
          <w:b w:val="0"/>
          <w:i/>
        </w:rPr>
        <w:t>The SEC, Corporate Governance and Shareholder Access to the Board Room</w:t>
      </w:r>
      <w:r>
        <w:rPr>
          <w:b w:val="0"/>
          <w:i w:val="0"/>
        </w:rPr>
        <w:t xml:space="preserve"> , 2008 Utah L. Rev. 1339.</w:t>
      </w:r>
    </w:p>
    <w:p>
      <w:pPr>
        <w:spacing w:after="80"/>
      </w:pPr>
      <w:r>
        <w:rPr>
          <w:b w:val="0"/>
          <w:i w:val="0"/>
        </w:rPr>
        <w:t xml:space="preserve">2. Vào thời điểm quy tắc này được đề xuất, một số nhà bình luận đã đặt câu hỏi liệu Ủy ban Chứng khoán và Giao dịch (Securities and Exchange Commission) có thẩm quyền quản lý để thông qua một quy tắc về quyền tiếp cận của cổ đông hay không. Phần lớn lập luận cho rằng Ủy ban không có thẩm quyền xuất phát từ phân tích trong </w:t>
      </w:r>
      <w:r>
        <w:rPr>
          <w:b w:val="0"/>
          <w:i/>
        </w:rPr>
        <w:t>Business Roundtable v. SEC</w:t>
      </w:r>
      <w:r>
        <w:rPr>
          <w:b w:val="0"/>
          <w:i w:val="0"/>
        </w:rPr>
        <w:t xml:space="preserve"> , 905 F.2d 406 (D.C. Cir. 1990). Bạn nghĩ gì về lập luận này? Quốc hội phần lớn đã loại bỏ sự không chắc chắn trong Đạo luật Dodd-Frank được thông qua năm 2010. Trong Đạo luật đó, Mục 14(a) của Exchange Act đã được sửa đổi để trao cho SEC thẩm quyền thông qua một quy tắc về quyền tiếp cận của cổ đông. </w:t>
      </w:r>
      <w:r>
        <w:rPr>
          <w:b w:val="0"/>
          <w:i/>
        </w:rPr>
        <w:t>Xem</w:t>
      </w:r>
      <w:r>
        <w:rPr>
          <w:b w:val="0"/>
          <w:i w:val="0"/>
        </w:rPr>
        <w:t xml:space="preserve"> Mục 971 của Đạo luật Dodd Frank (sửa đổi 15 U.S.C. § 78n(a)).</w:t>
      </w:r>
    </w:p>
    <w:p>
      <w:pPr>
        <w:spacing w:after="80"/>
      </w:pPr>
      <w:r>
        <w:rPr>
          <w:b w:val="0"/>
          <w:i w:val="0"/>
        </w:rPr>
        <w:t>3. Tòa án đưa ra quan điểm rằng SEC đã hành động một cách tùy tiện khi không phản hồi các lập luận do những người bình luận đưa ra rằng các cổ đông "có lợi ích đặc biệt" sẽ sử dụng mối đe dọa đề cử giám đốc để đạt được những lợi ích không thuộc về cổ đông (chẳng hạn như nhượng bộ về tiền lương). APA có yêu cầu SEC phải giải quyết mọi bình luận được đưa ra không? Tòa án đã trích dẫn bằng chứng nào cho luận điểm rằng điều này có thể xảy ra? Bằng chứng đó có thuyết phục không?</w:t>
      </w:r>
    </w:p>
    <w:p>
      <w:pPr>
        <w:spacing w:after="80"/>
      </w:pPr>
      <w:r>
        <w:rPr>
          <w:b w:val="0"/>
          <w:i w:val="0"/>
        </w:rPr>
        <w:t>4. Tòa án đã bác bỏ quy tắc bắt buộc nhưng không đụng đến thay đổi đối với Quy tắc 14a-8 vốn cho phép các đề xuất cổ đông tìm kiếm quyền tiếp cận. Điều này để ngỏ khả năng về trật tự tư nhân (private ordering). Lĩnh vực này đã tỏ ra khá phổ biến. Ví dụ, vào năm 2014, Tổng Kiểm toán Thành phố New York đã đệ trình các đề xuất tới 75 công ty, ít nhất một số trong đó bị nhắm đến vì lo ngại về thù lao điều hành và các vấn đề đa dạng. Một số đáng kể đã nhận được sự ủng hộ của đa số cổ đông và đến đầu năm 2016, hơn 200 công ty đã đưa vào áp dụng một điều lệ về quyền tiếp cận. Hãy thảo luận về những lợi ích và điểm yếu của phương pháp trật tự tư nhân đối với quyền tiếp cận của cổ đông.</w:t>
      </w:r>
    </w:p>
    <w:p>
      <w:pPr>
        <w:spacing w:after="80"/>
      </w:pPr>
      <w:r>
        <w:rPr>
          <w:b w:val="0"/>
          <w:i w:val="0"/>
        </w:rPr>
        <w:t>1 . Bản quyền © 2007 Florida State University Law Review. Được tái bản với sự cho phép.</w:t>
      </w:r>
    </w:p>
    <w:p>
      <w:pPr>
        <w:spacing w:after="80"/>
      </w:pPr>
      <w:r>
        <w:rPr>
          <w:b w:val="0"/>
          <w:i w:val="0"/>
        </w:rPr>
        <w:t>2 . Bản quyền © 1981 Harvard Law Review Association. Được tái bản với sự cho phép.</w:t>
      </w:r>
    </w:p>
    <w:p>
      <w:pPr>
        <w:spacing w:after="80"/>
      </w:pPr>
      <w:r>
        <w:rPr>
          <w:b w:val="0"/>
          <w:i w:val="0"/>
        </w:rPr>
        <w:t>3 . Được tái bản với sự cho phép của tác giả.</w:t>
      </w:r>
    </w:p>
    <w:p>
      <w:pPr>
        <w:spacing w:after="80"/>
      </w:pPr>
      <w:r>
        <w:rPr>
          <w:b w:val="0"/>
          <w:i w:val="0"/>
        </w:rPr>
        <w:t>4 . Bản quyền © 2003 Emory Law Journal. Được tái bản với sự cho phép của Emory Law Journal và tác giả.</w:t>
      </w:r>
    </w:p>
    <w:p>
      <w:pPr>
        <w:spacing w:after="80"/>
      </w:pPr>
      <w:r>
        <w:rPr>
          <w:b w:val="0"/>
          <w:i w:val="0"/>
        </w:rPr>
        <w:t>5 . Bản quyền © 1993 Stanford Law Review. Được tái bản với sự cho phép.</w:t>
      </w:r>
    </w:p>
    <w:p>
      <w:pPr>
        <w:spacing w:after="80"/>
      </w:pPr>
      <w:r>
        <w:rPr>
          <w:b w:val="0"/>
          <w:i w:val="0"/>
        </w:rPr>
        <w:t>6 . Bản quyền © 2015 Columbia Law Review. Được tái bản với sự cho phép.</w:t>
      </w:r>
    </w:p>
    <w:p>
      <w:pPr>
        <w:spacing w:after="80"/>
      </w:pPr>
      <w:r>
        <w:rPr>
          <w:b w:val="0"/>
          <w:i w:val="0"/>
        </w:rPr>
        <w:t>7 . Bản quyền © 2002 Stanford Law Review. Được tái bản với sự cho phép.</w:t>
      </w:r>
    </w:p>
    <w:p>
      <w:pPr>
        <w:pStyle w:val="Heading1"/>
      </w:pPr>
      <w:r>
        <w:rPr>
          <w:rFonts w:ascii="Calibri" w:hAnsi="Calibri"/>
          <w:b/>
          <w:i w:val="0"/>
          <w:sz w:val="40"/>
        </w:rPr>
        <w:t>Chương 9</w:t>
      </w:r>
    </w:p>
    <w:p>
      <w:pPr>
        <w:pStyle w:val="Heading1"/>
      </w:pPr>
      <w:r>
        <w:rPr>
          <w:rFonts w:ascii="Calibri" w:hAnsi="Calibri"/>
          <w:b/>
          <w:i w:val="0"/>
          <w:sz w:val="40"/>
        </w:rPr>
        <w:t>Vai trò của việc công bố thông tin trong quá trình quản trị</w:t>
      </w:r>
    </w:p>
    <w:p>
      <w:pPr>
        <w:spacing w:after="80"/>
      </w:pPr>
      <w:r>
        <w:rPr>
          <w:b w:val="0"/>
          <w:i w:val="0"/>
        </w:rPr>
        <w:t>Việc công bố thông tin đóng một vai trò then chốt trong quá trình quản trị công ty. Cổ đông không thể đưa ra quyết định sáng suốt hay thực thi các quyền của mình nếu không có đủ thông tin về các hoạt động của hội đồng quản trị và công ty. Do đó, các công ty đại chúng phải tuân theo một hệ thống pháp lý đồ sộ, đòi hỏi phải công bố vô số thông tin về hành vi của ban quản lý.</w:t>
      </w:r>
    </w:p>
    <w:p>
      <w:pPr>
        <w:spacing w:after="80"/>
      </w:pPr>
      <w:r>
        <w:rPr>
          <w:b w:val="0"/>
          <w:i w:val="0"/>
        </w:rPr>
        <w:t>Tuy nhiên, việc công bố thông tin không chỉ cung cấp thông tin trọng yếu cho những người tham gia thị trường. Nó còn được dùng để tác động đến hành vi thực chất. Ban quản lý có thể thà thay đổi hành vi của mình còn hơn phải kích hoạt một đợt công bố thông tin gây khó chịu. Chẳng hạn, tỷ lệ tham dự các cuộc họp của hội đồng quản trị có lẽ đã được cải thiện sau khi SEC yêu cầu các công ty phải nêu tên bất kỳ giám đốc nào vắng mặt quá nhiều cuộc họp. Tương tự, nghĩa vụ phải tiết lộ bất kỳ “bất đồng” nào trong hội đồng quản trị dẫn đến việc một giám đốc từ chức có khả năng tạo ra động lực để giải quyết tranh chấp thay vì công khai hóa tranh chấp đó.</w:t>
      </w:r>
    </w:p>
    <w:p>
      <w:pPr>
        <w:spacing w:after="80"/>
      </w:pPr>
      <w:r>
        <w:rPr>
          <w:b w:val="0"/>
          <w:i w:val="0"/>
        </w:rPr>
        <w:t>Hai hệ thống pháp lý riêng biệt quy định việc công bố thông tin cho cổ đông và nhà đầu tư. Luật tiểu bang thực hiện điều này thông qua các quyền kiểm tra. Theo hệ thống đó, trách nhiệm đặt lên vai cổ đông trong việc tìm kiếm thông tin. Như một điều kiện tiên quyết để thực thi các quyền này, cổ đông phải có “mục đích chính đáng”. Các yếu tố này đã được giải thích một cách hẹp hòi và tạo ra những rào cản đáng kể cho việc tiếp cận.</w:t>
      </w:r>
    </w:p>
    <w:p>
      <w:pPr>
        <w:spacing w:after="80"/>
      </w:pPr>
      <w:r>
        <w:rPr>
          <w:b w:val="0"/>
          <w:i w:val="0"/>
        </w:rPr>
        <w:t xml:space="preserve">Luật liên bang có cách tiếp cận khác. Các công ty đại chúng phải tuân thủ chế độ công bố thông tin do Ủy ban Chứng khoán và Giao dịch (Securities and Exchange Commission) thực hiện và quản lý theo Đạo luật Giao dịch Chứng khoán (Exchange Act). </w:t>
      </w:r>
      <w:r>
        <w:rPr>
          <w:b w:val="0"/>
          <w:i/>
        </w:rPr>
        <w:t>Xem</w:t>
      </w:r>
      <w:r>
        <w:rPr>
          <w:b w:val="0"/>
          <w:i w:val="0"/>
        </w:rPr>
        <w:t xml:space="preserve"> Mục 12(g), 15 USC § 78l(g). Những công ty có ít nhất 500 cổ đông đăng ký sở hữu và tài sản trị giá 10 triệu đô-la phải nộp báo cáo định kỳ theo quý. </w:t>
      </w:r>
      <w:r>
        <w:rPr>
          <w:b w:val="0"/>
          <w:i/>
        </w:rPr>
        <w:t>Xem</w:t>
      </w:r>
      <w:r>
        <w:rPr>
          <w:b w:val="0"/>
          <w:i w:val="0"/>
        </w:rPr>
        <w:t xml:space="preserve"> Quy tắc 12g-1, 17 CFR § 240.12g-1.</w:t>
      </w:r>
    </w:p>
    <w:p>
      <w:pPr>
        <w:spacing w:after="80"/>
      </w:pPr>
      <w:r>
        <w:rPr>
          <w:b w:val="0"/>
          <w:i w:val="0"/>
        </w:rPr>
        <w:t xml:space="preserve">Ngoài ra, mỗi năm cổ đông nhận được một bản ủy quyền (proxy) hoặc bản tuyên bố thông tin (information statement) chứa đựng sự công bố đầy đủ về các vấn đề sẽ được giải quyết tại cuộc họp thường niên. Mục 14(a) &amp; 14(c), 15 USC § 78n(a) &amp; (c). Các tài liệu này bao gồm sự công bố đáng kể về các thông lệ quản trị công ty; </w:t>
      </w:r>
      <w:r>
        <w:rPr>
          <w:b w:val="0"/>
          <w:i/>
        </w:rPr>
        <w:t>xem</w:t>
      </w:r>
      <w:r>
        <w:rPr>
          <w:b w:val="0"/>
          <w:i w:val="0"/>
        </w:rPr>
        <w:t xml:space="preserve"> Mục 407 của Quy định S-K, 17 CFR § 229.407, và thông tin lý lịch về các cán bộ và giám đốc. Mục 401 của Quy định S-K, 17 CFR § 229.401. Trong số những điều khác, cổ đông sẽ biết được khoản thù lao trả cho các giám đốc và các cán bộ cấp cao nhất.</w:t>
      </w:r>
    </w:p>
    <w:p>
      <w:pPr>
        <w:spacing w:after="80"/>
      </w:pPr>
      <w:r>
        <w:rPr>
          <w:b w:val="0"/>
          <w:i w:val="0"/>
        </w:rPr>
        <w:t>Việc công bố thông tin theo hệ thống liên bang chịu ảnh hưởng mạnh mẽ từ các quy định chống gian lận, đặc biệt là Quy tắc 10b-5. 17 C.F.R. 240.10b-5. Các quy tắc này áp đặt nghĩa vụ phải đầy đủ mỗi khi một công ty đưa ra phát ngôn. Theo các quy định chống gian lận, đôi khi các công ty buộc phải tiết lộ thông tin liên quan đến tính chính trực của ban quản lý. Những thông tin này có thể bao gồm việc đóng góp tài chính cho chiến dịch tranh cử một cách bất hợp pháp hoặc việc khai man bằng cấp học vấn. Các tòa án và SEC đã chật vật với việc áp dụng các quy định chống gian lận cho những loại vấn đề này, đặc biệt là những vấn đề liên quan đến tính trọng yếu của thông tin.</w:t>
      </w:r>
    </w:p>
    <w:p>
      <w:pPr>
        <w:spacing w:after="80"/>
      </w:pPr>
      <w:r>
        <w:rPr>
          <w:b w:val="0"/>
          <w:i w:val="0"/>
        </w:rPr>
        <w:t>Mặc dù Ủy ban theo truyền thống đã tìm cách giới hạn việc công bố thông tin ở mức chỉ những thông tin trọng yếu đối với nhà đầu tư và cổ đông, điều này đã bắt đầu thay đổi. Áp lực đã gia tăng đối với SEC trong việc yêu cầu công bố những thông tin có thể mang lại lợi ích cho nhà đầu tư nhưng cũng được công chúng nói chung hết sức quan tâm. Biến đổi khí hậu và các khoản đóng góp chính trị là hai ví dụ. Hơn nữa, Quốc hội đã biến SEC thành cái mà một nhà bình luận mô tả là “bãi rác” cho việc công bố thông tin được thiết kế chủ yếu nhằm thúc đẩy các mục tiêu xã hội hơn là kinh tế. Điều này có thể thấy rõ nhất qua quyết định của Quốc hội trong Dodd-Frank yêu cầu SEC giám sát quá trình công bố thông tin liên quan đến việc sử dụng “khoáng sản xung đột”.</w:t>
      </w:r>
    </w:p>
    <w:p>
      <w:pPr>
        <w:pStyle w:val="Heading2"/>
      </w:pPr>
      <w:r>
        <w:rPr>
          <w:rFonts w:ascii="Calibri" w:hAnsi="Calibri"/>
          <w:b/>
          <w:i w:val="0"/>
          <w:sz w:val="32"/>
        </w:rPr>
        <w:t>I. Chế độ của tiểu bang: Quyền kiểm tra</w:t>
      </w:r>
    </w:p>
    <w:p>
      <w:pPr>
        <w:spacing w:after="80"/>
      </w:pPr>
      <w:r>
        <w:rPr>
          <w:b w:val="0"/>
          <w:i w:val="0"/>
        </w:rPr>
        <w:t xml:space="preserve">Luật tiểu bang không buộc các công ty phải công bố thông tin minh bạch một cách có ý nghĩa cho cổ đông, mặc dù Delaware có công nhận nghĩa vụ trung thực hoàn toàn mỗi khi công ty lên tiếng. </w:t>
      </w:r>
      <w:r>
        <w:rPr>
          <w:b w:val="0"/>
          <w:i/>
        </w:rPr>
        <w:t>Xem Malone v. Brincat</w:t>
      </w:r>
      <w:r>
        <w:rPr>
          <w:b w:val="0"/>
          <w:i w:val="0"/>
        </w:rPr>
        <w:t xml:space="preserve"> , 722 A.2d 5 (Del. 1998). Thay vào đó, cổ đông muốn có thông tin về hoạt động của ban điều hành phải viện dẫn quyền kiểm tra theo luật định của mình. 8 Del. Gen. Corp. L. § 220.</w:t>
      </w:r>
    </w:p>
    <w:p>
      <w:pPr>
        <w:pStyle w:val="Heading3"/>
      </w:pPr>
      <w:r>
        <w:rPr>
          <w:rFonts w:ascii="Calibri" w:hAnsi="Calibri"/>
          <w:b/>
          <w:i w:val="0"/>
          <w:sz w:val="26"/>
        </w:rPr>
        <w:t>A. Quy trình</w:t>
      </w:r>
    </w:p>
    <w:p>
      <w:pPr>
        <w:spacing w:after="80"/>
      </w:pPr>
      <w:r>
        <w:rPr>
          <w:b w:val="0"/>
          <w:i w:val="0"/>
        </w:rPr>
        <w:t>Mục 220 đặt ra một số rào cản về thủ tục như điều kiện tiên quyết để có được tài liệu. Cổ đông phải gửi yêu cầu bằng văn bản. Văn bản đó phải nêu rõ mục đích chính đáng. Ngoài ra, trong trường hợp hồ sơ được yêu cầu bởi chủ sở hữu theo tên đường phố (street name) và các chủ sở hữu hưởng lợi (beneficial owner) khác, yêu cầu phải kèm theo bằng chứng về quyền sở hữu hưởng lợi. Tòa án giải thích các yêu cầu về "hình thức và cách thức" này một cách nghiêm ngặt.</w:t>
      </w:r>
    </w:p>
    <w:p>
      <w:pPr>
        <w:pStyle w:val="Heading4"/>
      </w:pPr>
      <w:r>
        <w:rPr>
          <w:rFonts w:ascii="Calibri" w:hAnsi="Calibri"/>
          <w:b/>
          <w:i w:val="0"/>
          <w:sz w:val="23"/>
        </w:rPr>
        <w:t>Central Laborers Pension Fund v. News Corporation</w:t>
      </w:r>
    </w:p>
    <w:p>
      <w:pPr>
        <w:spacing w:after="80"/>
      </w:pPr>
      <w:r>
        <w:rPr>
          <w:b w:val="0"/>
          <w:i w:val="0"/>
        </w:rPr>
        <w:t>Tòa án Tối cao Delaware</w:t>
      </w:r>
      <w:r>
        <w:br/>
      </w:r>
      <w:r>
        <w:rPr>
          <w:b w:val="0"/>
          <w:i w:val="0"/>
        </w:rPr>
        <w:t xml:space="preserve"> 45 A.3d 139 (2012)</w:t>
      </w:r>
    </w:p>
    <w:p>
      <w:pPr>
        <w:spacing w:after="80"/>
      </w:pPr>
      <w:r>
        <w:rPr>
          <w:b w:val="0"/>
          <w:i w:val="0"/>
        </w:rPr>
        <w:t>HOLLAND , THẨM PHÁN :</w:t>
      </w:r>
    </w:p>
    <w:p>
      <w:pPr>
        <w:spacing w:after="80"/>
      </w:pPr>
      <w:r>
        <w:rPr>
          <w:b w:val="0"/>
          <w:i w:val="0"/>
        </w:rPr>
        <w:t>Nguyên đơn-kháng cáo, Central Laborers Pension Fund ("Central Laborers"), đã khởi kiện vụ này, theo mục 220 của Luật Công ty Đại chúng Delaware, để buộc bị đơn-bị kháng cáo, News Corporation ("News Corp."), phải cung cấp sổ sách và hồ sơ của News Corp. (gọi là "Vụ kiện 220") liên quan đến việc mua lại Shine Group Ltd. ("Thương vụ Shine"). Central Laborers tìm cách kiểm tra sổ sách và hồ sơ của News Corp. để điều tra các hành vi vi phạm nghĩa vụ tín thác (fiduciary duty) tiềm tàng liên quan đến Thương vụ Shine. Cùng ngày nộp Vụ kiện 220 này, Central Laborers, cùng với một nguyên đơn khác, đã khởi kiện một vụ kiện phái sinh (derivative action) chống lại các giám đốc của News Corp. và News Corp., với tư cách bị đơn danh nghĩa ("Vụ kiện Phái sinh"), cho rằng Thương vụ Shine được thực hiện với mức giá không công bằng do một quy trình không công bằng.</w:t>
      </w:r>
    </w:p>
    <w:p>
      <w:pPr>
        <w:spacing w:after="80"/>
      </w:pPr>
      <w:r>
        <w:rPr>
          <w:b w:val="0"/>
          <w:i w:val="0"/>
        </w:rPr>
        <w:t>Tại Tòa án Chancery, News Corp. đã yêu cầu bác bỏ Vụ kiện 220 với ba lý do. Thứ nhất, họ lập luận rằng yêu cầu kiểm tra của Central Laborers không tuân thủ các yêu cầu thủ tục theo luật định của mục 220. Thứ hai, News Corp. cho rằng việc nộp đồng thời Vụ kiện Phái sinh và Vụ kiện 220 bác bỏ mọi tuyên bố về mục đích chính đáng cho yêu cầu kiểm tra của họ. Thứ ba, họ cho rằng phạm vi biện pháp kiểm tra được yêu cầu là quá rộng.</w:t>
      </w:r>
    </w:p>
    <w:p>
      <w:pPr>
        <w:spacing w:after="80"/>
      </w:pPr>
      <w:r>
        <w:rPr>
          <w:b w:val="0"/>
          <w:i w:val="0"/>
        </w:rPr>
        <w:t>* * *</w:t>
      </w:r>
    </w:p>
    <w:p>
      <w:pPr>
        <w:spacing w:after="80"/>
      </w:pPr>
      <w:r>
        <w:rPr>
          <w:b w:val="0"/>
          <w:i/>
        </w:rPr>
        <w:t>Quyền Kiểm tra</w:t>
      </w:r>
    </w:p>
    <w:p>
      <w:pPr>
        <w:spacing w:after="80"/>
      </w:pPr>
      <w:r>
        <w:rPr>
          <w:b w:val="0"/>
          <w:i w:val="0"/>
        </w:rPr>
        <w:t>"Các cổ đông của các công ty Delaware được hưởng một quyền có điều kiện để kiểm tra sổ sách và hồ sơ của công ty." Những quyền này bắt nguồn từ thông luật (common law) và được công nhận vì "[n]hư một biện pháp tự bảo vệ, cổ đông được quyền biết các đại diện của mình đang điều hành công việc của công ty mà mình là đồng sở hữu như thế nào." Quyền kiểm tra của cổ đông được pháp điển hóa tại tiêu đề 8, mục 220(b) của Bộ luật Delaware. Mục đó quy định, một phần rằng "[b]ất kỳ cổ đông nào, trực tiếp hoặc thông qua luật sư hay đại diện khác, khi có yêu cầu bằng văn bản có tuyên thệ nêu rõ mục đích của yêu cầu đó, sẽ có quyền . . . kiểm tra vì bất kỳ mục đích chính đáng nào . . . [s]ổ sách và hồ sơ . . . của công ty. . . ."</w:t>
      </w:r>
    </w:p>
    <w:p>
      <w:pPr>
        <w:spacing w:after="80"/>
      </w:pPr>
      <w:r>
        <w:rPr>
          <w:b w:val="0"/>
          <w:i w:val="0"/>
        </w:rPr>
        <w:t>Quyền kiểm tra theo luật định ban đầu chỉ giới hạn cho các cổ đông ghi danh (stockholder of record). Sau khi mục 220 được ban hành vào năm 1967, "các cổ đông ghi danh" là những người duy nhất được quyền kiểm tra sổ sách và hồ sơ của công ty trong hơn ba mươi lăm năm. Năm 2003, mục 220 được sửa đổi để mở rộng quyền kiểm tra cho các chủ sở hữu hưởng lợi.12 Ở dạng hiện tại, mục 220(b) áp đặt các yêu cầu yêu cầu sau đây đối với các cổ đông hưởng lợi tìm cách kiểm tra sổ sách và hồ sơ:</w:t>
      </w:r>
    </w:p>
    <w:p>
      <w:pPr>
        <w:spacing w:after="80"/>
      </w:pPr>
      <w:r>
        <w:rPr>
          <w:b w:val="0"/>
          <w:i w:val="0"/>
        </w:rPr>
        <w:t>Trong mọi trường hợp mà cổ đông không phải là người nắm giữ cổ phần ghi danh trong một công ty cổ phần, . . . yêu cầu có tuyên thệ phải [1] nêu rõ tình trạng cổ đông của người đó, [2] kèm theo bằng chứng tài liệu về quyền sở hữu hưởng lợi đối với cổ phần, và [3] nêu rõ rằng bằng chứng tài liệu đó là bản sao trung thực và chính xác của những gì nó được cho là.</w:t>
      </w:r>
    </w:p>
    <w:p>
      <w:pPr>
        <w:spacing w:after="80"/>
      </w:pPr>
      <w:r>
        <w:rPr>
          <w:b w:val="0"/>
          <w:i w:val="0"/>
        </w:rPr>
        <w:t>Ba yêu cầu này là một "yếu tố quan trọng của cơ chế luật định" đã mở rộng quyền kiểm tra cho các chủ sở hữu hưởng lợi. Thật vậy, chúng "bảo vệ các công ty khỏi những yêu cầu không chính đáng bằng cách đòi hỏi rằng bằng chứng về quyền sở hữu hưởng lợi phải được cung cấp kèm theo yêu cầu và phải có tuyên thệ."</w:t>
      </w:r>
    </w:p>
    <w:p>
      <w:pPr>
        <w:spacing w:after="80"/>
      </w:pPr>
      <w:r>
        <w:rPr>
          <w:b w:val="0"/>
          <w:i w:val="0"/>
        </w:rPr>
        <w:t>Yêu cầu luật định thứ nhất và thứ ba không phải là vấn đề ở đây. Tuy nhiên, không thể tranh cãi rằng Yêu cầu Kiểm tra của Central Laborers đã không thỏa mãn yêu cầu thủ tục luật định thứ hai.</w:t>
      </w:r>
    </w:p>
    <w:p>
      <w:pPr>
        <w:spacing w:after="80"/>
      </w:pPr>
      <w:r>
        <w:rPr>
          <w:b w:val="0"/>
          <w:i/>
        </w:rPr>
        <w:t>Sự Cân bằng của Mục 220</w:t>
      </w:r>
    </w:p>
    <w:p>
      <w:pPr>
        <w:spacing w:after="80"/>
      </w:pPr>
      <w:r>
        <w:rPr>
          <w:b w:val="0"/>
          <w:i w:val="0"/>
        </w:rPr>
        <w:t>“Luật Delaware cho phép cổ đông có quyền theo luật định được kiểm tra sổ sách và hồ sơ của một công ty miễn là đáp ứng một số yêu cầu về hình thức nhất định, và việc kiểm tra nhằm mục đích chính đáng.” Mục 220(c) quy định rằng cổ đông muốn kiểm tra sổ sách và hồ sơ của công ty “</w:t>
      </w:r>
      <w:r>
        <w:rPr>
          <w:b w:val="0"/>
          <w:i/>
        </w:rPr>
        <w:t>trước tiên phải chứng minh</w:t>
      </w:r>
      <w:r>
        <w:rPr>
          <w:b w:val="0"/>
          <w:i w:val="0"/>
        </w:rPr>
        <w:t xml:space="preserve"> rằng: (1) [c]ổ đông đó là cổ đông; (2) [c]ổ đông đó đã </w:t>
      </w:r>
      <w:r>
        <w:rPr>
          <w:b w:val="0"/>
          <w:i/>
        </w:rPr>
        <w:t xml:space="preserve">tuân thủ </w:t>
      </w:r>
      <w:r>
        <w:rPr>
          <w:b w:val="0"/>
          <w:i w:val="0"/>
        </w:rPr>
        <w:t xml:space="preserve"> mục 220</w:t>
      </w:r>
      <w:r>
        <w:rPr>
          <w:b w:val="0"/>
          <w:i/>
        </w:rPr>
        <w:t>] về hình thức và cách thức gửi yêu cầu kiểm tra các tài liệu đó;</w:t>
      </w:r>
      <w:r>
        <w:rPr>
          <w:b w:val="0"/>
          <w:i w:val="0"/>
        </w:rPr>
        <w:t xml:space="preserve"> và (3) [v]iệc kiểm tra mà cổ đông đó tìm kiếm là vì mục đích chính đáng.” Ngôn ngữ luật định này cho thấy rõ rằng cổ đông phải tuân thủ “hình thức và cách thức” gửi yêu cầu </w:t>
      </w:r>
      <w:r>
        <w:rPr>
          <w:b w:val="0"/>
          <w:i/>
        </w:rPr>
        <w:t>trước khi</w:t>
      </w:r>
      <w:r>
        <w:rPr>
          <w:b w:val="0"/>
          <w:i w:val="0"/>
        </w:rPr>
        <w:t xml:space="preserve"> công ty xác định liệu yêu cầu kiểm tra có vì mục đích chính đáng hay không. Nếu không tuân thủ thủ tục như vậy, cổ đông đã không thực hiện đúng quyền theo luật định để yêu cầu kiểm tra, và do đó, công ty không có nghĩa vụ phải phản hồi.</w:t>
      </w:r>
    </w:p>
    <w:p>
      <w:pPr>
        <w:spacing w:after="80"/>
      </w:pPr>
      <w:r>
        <w:rPr>
          <w:b w:val="0"/>
          <w:i w:val="0"/>
        </w:rPr>
        <w:t xml:space="preserve">Yêu cầu rằng công ty phải nhận được yêu cầu kiểm tra đúng hình thức thể hiện tầm quan trọng của việc tạo ra sự cân bằng thích hợp giữa quyền của cổ đông và quyền của công ty. Trong </w:t>
      </w:r>
      <w:r>
        <w:rPr>
          <w:b w:val="0"/>
          <w:i/>
        </w:rPr>
        <w:t>Seinfeld v. Verizon Communications,</w:t>
      </w:r>
      <w:r>
        <w:rPr>
          <w:b w:val="0"/>
          <w:i w:val="0"/>
        </w:rPr>
        <w:t xml:space="preserve"> Tòa án này đã nhắc lại nguyên tắc lâu đời rằng quyền của cổ đông được tiếp cận thông tin dựa trên những cáo buộc đáng tin cậy về việc quản lý công ty yếu kém phải được cân bằng với quyền của hội đồng quản trị trong việc điều hành hoạt động kinh doanh của công ty mà không bị cổ đông can thiệp quá mức. Tái khẳng định các phán quyết trước đây của mình trong </w:t>
      </w:r>
      <w:r>
        <w:rPr>
          <w:b w:val="0"/>
          <w:i/>
        </w:rPr>
        <w:t>Security First Corp. v. U.S. Die Casting &amp; Development Co.</w:t>
      </w:r>
      <w:r>
        <w:rPr>
          <w:b w:val="0"/>
          <w:i w:val="0"/>
        </w:rPr>
        <w:t xml:space="preserve"> và </w:t>
      </w:r>
      <w:r>
        <w:rPr>
          <w:b w:val="0"/>
          <w:i/>
        </w:rPr>
        <w:t>Thomas &amp; Betts Corp. v. Leviton Manufacturing Co.,</w:t>
      </w:r>
      <w:r>
        <w:rPr>
          <w:b w:val="0"/>
          <w:i w:val="0"/>
        </w:rPr>
        <w:t xml:space="preserve"> Tòa án này đã phán quyết rằng cổ đông có quyền kiểm tra sổ sách và hồ sơ khi họ đã thiết lập được một “cơ sở đáng tin cậy” nào đó để tin rằng đã có hành vi sai trái. Chúng tôi kết luận rằng tiêu chuẩn như vậy đạt được “sự cân bằng thích hợp giữa việc cung cấp cho cổ đông - những người có thể đưa ra một số bằng chứng về hành vi sai trái có thể xảy ra - quyền tiếp cận hồ sơ công ty, và việc bảo vệ quyền của công ty trong việc từ chối các yêu cầu kiểm tra chỉ dựa trên sự nghi ngờ hoặc tò mò.”</w:t>
      </w:r>
    </w:p>
    <w:p>
      <w:pPr>
        <w:spacing w:after="80"/>
      </w:pPr>
      <w:r>
        <w:rPr>
          <w:b w:val="0"/>
          <w:i w:val="0"/>
        </w:rPr>
        <w:t xml:space="preserve">Yêu cầu của Mục 220 rằng cổ đông muốn kiểm tra tài liệu trước tiên phải tuân thủ “hình thức và cách thức” gửi yêu cầu kiểm tra hồ sơ công ty cũng đạt được sự cân bằng thích hợp tương tự giữa lợi ích của cổ đông và công ty. Các yêu cầu trong Mục 220 bảo vệ “các công ty khỏi những yêu cầu không chính đáng bằng cách đòi hỏi rằng </w:t>
      </w:r>
      <w:r>
        <w:rPr>
          <w:b w:val="0"/>
          <w:i/>
        </w:rPr>
        <w:t>bằng chứng về quyền sở hữu hưởng lợi phải được cung cấp kèm theo yêu cầu và được cung cấp dưới hình thức tuyên thệ.</w:t>
      </w:r>
      <w:r>
        <w:rPr>
          <w:b w:val="0"/>
          <w:i w:val="0"/>
        </w:rPr>
        <w:t>” Theo đó, các tòa án Delaware yêu cầu tuân thủ nghiêm ngặt các yêu cầu thủ tục về yêu cầu kiểm tra theo Mục 220.</w:t>
      </w:r>
    </w:p>
    <w:p>
      <w:pPr>
        <w:spacing w:after="80"/>
      </w:pPr>
      <w:r>
        <w:rPr>
          <w:b w:val="0"/>
          <w:i/>
        </w:rPr>
        <w:t>Không Tuân Theo Luật Định</w:t>
      </w:r>
    </w:p>
    <w:p>
      <w:pPr>
        <w:spacing w:after="80"/>
      </w:pPr>
      <w:r>
        <w:rPr>
          <w:b w:val="0"/>
          <w:i w:val="0"/>
        </w:rPr>
        <w:t xml:space="preserve">Trong trường hợp này, Yêu cầu Kiểm tra của Central Laborers' đã không tuân thủ các yêu cầu thủ tục trong Mục 220(b). Thực vậy, nó chứa một số lỗi. Thứ nhất, Yêu cầu Kiểm tra đã xác định sai công ty, tuyên bố rằng nó tìm cách “kiểm tra và sao chép . . . sổ sách và hồ sơ của </w:t>
      </w:r>
      <w:r>
        <w:rPr>
          <w:b w:val="0"/>
          <w:i/>
        </w:rPr>
        <w:t>Viacom</w:t>
      </w:r>
      <w:r>
        <w:rPr>
          <w:b w:val="0"/>
          <w:i w:val="0"/>
        </w:rPr>
        <w:t xml:space="preserve"> và các công ty con của nó,” thay vì của </w:t>
      </w:r>
      <w:r>
        <w:rPr>
          <w:b w:val="0"/>
          <w:i/>
        </w:rPr>
        <w:t>News Corp.</w:t>
      </w:r>
      <w:r>
        <w:rPr>
          <w:b w:val="0"/>
          <w:i w:val="0"/>
        </w:rPr>
        <w:t xml:space="preserve"> Thứ hai, các tài liệu hỗ trợ được nộp để ủng hộ Yêu cầu Kiểm tra không nhất quán. Bản tuyên thệ của Dan Koeppel, Giám đốc Điều hành của Central Laborers' (“Bản Tuyên thệ Koeppel”), khẳng định rằng Central Laborers' </w:t>
      </w:r>
      <w:r>
        <w:rPr>
          <w:b w:val="0"/>
          <w:i/>
        </w:rPr>
        <w:t>sở hữu hưởng lợi</w:t>
      </w:r>
      <w:r>
        <w:rPr>
          <w:b w:val="0"/>
          <w:i w:val="0"/>
        </w:rPr>
        <w:t xml:space="preserve"> 14,110 cổ phiếu của News Corp. Tuy nhiên, Giấy Ủy quyền do Koeppel ký lại mô tả Central Laborers là chủ sở hữu </w:t>
      </w:r>
      <w:r>
        <w:rPr>
          <w:b w:val="0"/>
          <w:i/>
        </w:rPr>
        <w:t>theo sổ đăng ký</w:t>
      </w:r>
      <w:r>
        <w:rPr>
          <w:b w:val="0"/>
          <w:i w:val="0"/>
        </w:rPr>
        <w:t xml:space="preserve"> của cùng 14,110 cổ phiếu News Corp. đó. Thứ ba, bằng chứng về quyền sở hữu hưởng lợi của Central Laborers' đối với cổ phiếu của News Corp. đã không được đính kèm với Yêu cầu Kiểm tra. Bản Tuyên thệ Koeppel tuyên bố rằng “Central Laborers sở hữu hưởng lợi và nắm giữ 14,110 cổ phiếu phổ thông của News Corporation, </w:t>
      </w:r>
      <w:r>
        <w:rPr>
          <w:b w:val="0"/>
          <w:i/>
        </w:rPr>
        <w:t>như được thể hiện bởi tài liệu đính kèm theo đây</w:t>
      </w:r>
      <w:r>
        <w:rPr>
          <w:b w:val="0"/>
          <w:i w:val="0"/>
        </w:rPr>
        <w:t xml:space="preserve"> là bản sao đúng và chính xác của hồ sơ gốc.” Tuy nhiên, không có tài liệu nào được đính kèm với Bản Tuyên thệ Koeppel.</w:t>
      </w:r>
    </w:p>
    <w:p>
      <w:pPr>
        <w:spacing w:after="80"/>
      </w:pPr>
      <w:r>
        <w:rPr>
          <w:b w:val="0"/>
          <w:i w:val="0"/>
        </w:rPr>
        <w:t>Tại Tòa án Chancery, luật sư của Central Laborers' đã thừa nhận rằng không có bằng chứng tài liệu nào về quyền sở hữu cổ phiếu của Central Laborers' trong News Corporation được đính kèm với Yêu cầu Kiểm tra và mô tả đó là một “lỗi văn thư.” Tuy nhiên, Central Laborers' lập luận rằng nó đã thỏa mãn các yêu cầu thủ tục của Mục 220 bằng cách nộp một bảng sao kê tài khoản chứng minh quyền sở hữu hưởng lợi của mình đối với cổ phiếu News Corp. và một Bản Tuyên thệ Koeppel đã sửa đổi, cùng với bản luận cứ phản đối đơn yêu cầu bác bỏ của News Corp. Lập luận đó không có giá trị.</w:t>
      </w:r>
    </w:p>
    <w:p>
      <w:pPr>
        <w:spacing w:after="80"/>
      </w:pPr>
      <w:r>
        <w:rPr>
          <w:b w:val="0"/>
          <w:i w:val="0"/>
        </w:rPr>
        <w:t xml:space="preserve">Việc tuân thủ nghiêm ngặt các yêu cầu thủ tục của Mục 220 để gửi yêu cầu kiểm tra bảo vệ “quyền của công ty được nhận và xem xét một yêu cầu </w:t>
      </w:r>
      <w:r>
        <w:rPr>
          <w:b w:val="0"/>
          <w:i/>
        </w:rPr>
        <w:t>đúng hình thức trước khi vụ kiện được khởi xướng.</w:t>
      </w:r>
      <w:r>
        <w:rPr>
          <w:b w:val="0"/>
          <w:i w:val="0"/>
        </w:rPr>
        <w:t xml:space="preserve"> Quyền đó của công ty bị vô hiệu hóa và một phần thiết yếu của luật định trở nên vô nghĩa khi . . . yêu cầu không đáp ứng mệnh lệnh luật định và nỗ lực tuân thủ các yêu cầu về hình thức được thực hiện trong quá trình tố tụng mà không gửi một yêu cầu mới.”</w:t>
      </w:r>
    </w:p>
    <w:p>
      <w:pPr>
        <w:spacing w:after="80"/>
      </w:pPr>
      <w:r>
        <w:rPr>
          <w:b w:val="0"/>
          <w:i w:val="0"/>
        </w:rPr>
        <w:t xml:space="preserve">Trong </w:t>
      </w:r>
      <w:r>
        <w:rPr>
          <w:b w:val="0"/>
          <w:i/>
        </w:rPr>
        <w:t>Mattes v. Checkers Drive-In Restaurants, Inc.,</w:t>
      </w:r>
      <w:r>
        <w:rPr>
          <w:b w:val="0"/>
          <w:i w:val="0"/>
        </w:rPr>
        <w:t xml:space="preserve"> cũng như trong trường hợp này, nguyên đơn là cổ đông đã nộp một yêu cầu kiểm tra bị khiếm khuyết. Sau khi kiện dựa trên yêu cầu khiếm khuyết của mình, nguyên đơn “đã nộp một bản tuyên thệ trong vụ kiện để xác minh yêu cầu và xác nhận rằng luật sư đã đưa ra yêu cầu đang hành động với tư cách là luật sư được ủy quyền của mình.” Ở đó, cũng như ở đây, nguyên đơn “đã không đưa ra một yêu cầu mới phù hợp với luật định và [sau đó] kiện dựa trên nó.” Tòa án Chancery đã từ chối chấp nhận yêu cầu của nguyên đơn vì “các yêu cầu luật định rõ ràng của § 220 về hình thức của yêu cầu cổ đông nên được tuân thủ nghiêm ngặt.” </w:t>
      </w:r>
      <w:r>
        <w:rPr>
          <w:b w:val="0"/>
          <w:i/>
        </w:rPr>
        <w:t>Lý do phán quyết</w:t>
      </w:r>
      <w:r>
        <w:rPr>
          <w:b w:val="0"/>
          <w:i w:val="0"/>
        </w:rPr>
        <w:t xml:space="preserve"> của </w:t>
      </w:r>
      <w:r>
        <w:rPr>
          <w:b w:val="0"/>
          <w:i/>
        </w:rPr>
        <w:t>Mattes</w:t>
      </w:r>
      <w:r>
        <w:rPr>
          <w:b w:val="0"/>
          <w:i w:val="0"/>
        </w:rPr>
        <w:t xml:space="preserve"> áp dụng với hiệu lực tương tự trong trường hợp này.</w:t>
      </w:r>
    </w:p>
    <w:p>
      <w:pPr>
        <w:spacing w:after="80"/>
      </w:pPr>
      <w:r>
        <w:rPr>
          <w:b w:val="0"/>
          <w:i w:val="0"/>
        </w:rPr>
        <w:t xml:space="preserve">Việc Central Laborers' nộp bảng sao kê tài khoản như một phần của hồ sơ nộp trong Vụ kiện 220 đã không khắc phục được một cách hiệu quả khiếm khuyết luật định trong Yêu cầu Kiểm tra. Mục 220(b) quy định rằng “yêu cầu dưới hình thức tuyên thệ </w:t>
      </w:r>
      <w:r>
        <w:rPr>
          <w:b w:val="0"/>
          <w:i/>
        </w:rPr>
        <w:t>phải . . . được kèm theo</w:t>
      </w:r>
      <w:r>
        <w:rPr>
          <w:b w:val="0"/>
          <w:i w:val="0"/>
        </w:rPr>
        <w:t xml:space="preserve"> bằng chứng tài liệu về quyền sở hữu hưởng lợi của cổ phiếu” và “</w:t>
      </w:r>
      <w:r>
        <w:rPr>
          <w:b w:val="0"/>
          <w:i/>
        </w:rPr>
        <w:t>phải được gửi đến công ty tại văn phòng đã đăng ký của nó . . . hoặc tại địa điểm kinh doanh chính của nó.</w:t>
      </w:r>
      <w:r>
        <w:rPr>
          <w:b w:val="0"/>
          <w:i w:val="0"/>
        </w:rPr>
        <w:t>” Điều đó đã không được thực hiện trong trường hợp này. Central Laborers' đã cung cấp bảng sao kê tài khoản trong phản hồi của mình đối với đơn yêu cầu bác bỏ của News Corp. Luật định yêu cầu bằng chứng tài liệu phải đi kèm với yêu cầu kiểm tra. Do đó, việc nộp sau đó của Central Laborers' sẽ chỉ tuân thủ luật định nếu nó được nộp cùng với một yêu cầu mới hoặc yêu cầu đã sửa đổi, gửi đến văn phòng đã đăng ký hoặc địa điểm kinh doanh chính của News Corp. Điều đó đã không được thực hiện ở đây. Theo đó, Central Laborers' đã không thành công trong nỗ lực khắc phục khiếm khuyết trong Yêu cầu Kiểm tra của mình.</w:t>
      </w:r>
    </w:p>
    <w:p>
      <w:pPr>
        <w:pStyle w:val="Heading5"/>
      </w:pPr>
      <w:r>
        <w:rPr>
          <w:rFonts w:ascii="Calibri" w:hAnsi="Calibri"/>
          <w:b/>
          <w:i/>
          <w:sz w:val="22"/>
        </w:rPr>
        <w:t>Bình luận và Câu hỏi</w:t>
      </w:r>
    </w:p>
    <w:p>
      <w:pPr>
        <w:spacing w:after="80"/>
      </w:pPr>
      <w:r>
        <w:rPr>
          <w:b w:val="0"/>
          <w:i w:val="0"/>
        </w:rPr>
        <w:t xml:space="preserve">1. Bạn có đồng ý với kết quả của phán quyết không? Có phải là một nguyên tắc giải thích luật định rằng các yêu cầu về hình thức và cách thức phải được giải thích nghiêm ngặt? Còn yêu cầu rằng việc từ chức của giám đốc phải bằng văn bản thì sao? </w:t>
      </w:r>
      <w:r>
        <w:rPr>
          <w:b w:val="0"/>
          <w:i/>
        </w:rPr>
        <w:t>Xem</w:t>
      </w:r>
      <w:r>
        <w:rPr>
          <w:b w:val="0"/>
          <w:i w:val="0"/>
        </w:rPr>
        <w:t xml:space="preserve"> 8 </w:t>
      </w:r>
      <w:r>
        <w:rPr>
          <w:b w:val="0"/>
          <w:i/>
        </w:rPr>
        <w:t>Del. C.</w:t>
      </w:r>
      <w:r>
        <w:rPr>
          <w:b w:val="0"/>
          <w:i w:val="0"/>
        </w:rPr>
        <w:t xml:space="preserve"> § 141(b) (“Bất kỳ giám đốc nào cũng có thể từ chức bất cứ lúc nào khi có thông báo bằng văn bản hoặc bằng phương tiện điện tử gửi đến công ty.”). Điều đó có nên được giải thích nghiêm ngặt không? Để biết câu trả lời, xem </w:t>
      </w:r>
      <w:r>
        <w:rPr>
          <w:b w:val="0"/>
          <w:i/>
        </w:rPr>
        <w:t>Biolase Inc. v. Oracle Partners, LP</w:t>
      </w:r>
      <w:r>
        <w:rPr>
          <w:b w:val="0"/>
          <w:i w:val="0"/>
        </w:rPr>
        <w:t xml:space="preserve"> , 97 A.3d 1029, 1034 (Del. 2014) (“Cách giải thích của Tòa án Chancery về § 141(b) là áp dụng cách tiếp cận cho phép, cho phép từ chức bằng các phương tiện được chỉ định, nhưng không loại trừ việc từ chức bằng các phương tiện khác, là một cách giải thích hợp lý và thỏa đáng.”).</w:t>
      </w:r>
    </w:p>
    <w:p>
      <w:pPr>
        <w:spacing w:after="80"/>
      </w:pPr>
      <w:r>
        <w:rPr>
          <w:b w:val="0"/>
          <w:i w:val="0"/>
        </w:rPr>
        <w:t>2. Tòa án Chancery đã bác bỏ yêu cầu, với quan điểm rằng sau khi đã nộp đơn kiện phái sinh, nguyên đơn không thể sử dụng quyền kiểm tra như một sự thay thế cho việc thu thập chứng cứ. Tòa án không khẳng định dựa trên cơ sở đó nhưng cũng không lật ngược phân tích. Trong phạm vi là một cách giải thích chính xác của Mục 220, phân tích của tòa án cấp dưới có thể có tác động gì đến quyền kiểm tra?</w:t>
      </w:r>
    </w:p>
    <w:p>
      <w:pPr>
        <w:spacing w:after="80"/>
      </w:pPr>
      <w:r>
        <w:rPr>
          <w:b w:val="0"/>
          <w:i w:val="0"/>
        </w:rPr>
        <w:t xml:space="preserve">3. Ai nên có quyền kiểm tra hồ sơ? Delaware ban đầu giới hạn quyền kiểm tra cho chủ sở hữu theo sổ đăng ký, yêu cầu chủ sở hữu theo tên đường phố phải gửi yêu cầu thông qua Cede &amp; Co., tổ chức lưu ký nắm giữ hầu hết cổ phiếu thay mặt cho các nhà môi giới và ngân hàng. Tuy nhiên, điều đó đã được thay đổi, và hiện nay chủ sở hữu theo tên đường phố có thể gửi yêu cầu trực tiếp. </w:t>
      </w:r>
      <w:r>
        <w:rPr>
          <w:b w:val="0"/>
          <w:i/>
        </w:rPr>
        <w:t>Xem</w:t>
      </w:r>
      <w:r>
        <w:rPr>
          <w:b w:val="0"/>
          <w:i w:val="0"/>
        </w:rPr>
        <w:t xml:space="preserve"> 8 Del. C. § 220(a) (2) (định nghĩa “cổ đông” là “một người là chủ sở hữu hưởng lợi của cổ phiếu của cổ phiếu đó”). Tuy nhiên, như trường hợp này minh họa, các yêu cầu kiểm tra phải được kèm theo bằng chứng đầy đủ về quyền sở hữu hưởng lợi.</w:t>
      </w:r>
    </w:p>
    <w:p>
      <w:pPr>
        <w:spacing w:after="80"/>
      </w:pPr>
      <w:r>
        <w:rPr>
          <w:b w:val="0"/>
          <w:i w:val="0"/>
        </w:rPr>
        <w:t xml:space="preserve">4. Việc thu thập tài liệu của một công ty con có thể đặt ra những câu hỏi hóc búa. Mục 220 cho phép yêu cầu hồ sơ của một công ty con nhưng chỉ khi công ty mẹ “có quyền chiếm hữu và kiểm soát thực tế đối với các hồ sơ đó.” Del. Gen. Corp. L. § 220(b)(2). </w:t>
      </w:r>
      <w:r>
        <w:rPr>
          <w:b w:val="0"/>
          <w:i/>
        </w:rPr>
        <w:t>Xem Weinstein Enters. v. Orloff</w:t>
      </w:r>
      <w:r>
        <w:rPr>
          <w:b w:val="0"/>
          <w:i w:val="0"/>
        </w:rPr>
        <w:t xml:space="preserve"> , 870 A.2d 499 (Del. 2005) (phán quyết rằng công ty mẹ sở hữu 45.16% không có quyền kiểm soát cần thiết đối với sổ sách và hồ sơ của công ty con).</w:t>
      </w:r>
    </w:p>
    <w:p>
      <w:pPr>
        <w:spacing w:after="80"/>
      </w:pPr>
      <w:r>
        <w:rPr>
          <w:b w:val="0"/>
          <w:i w:val="0"/>
        </w:rPr>
        <w:t xml:space="preserve">5. Ngoài việc thiết lập mục đích chính đáng, cổ đông cũng phải chứng minh rằng “mỗi loại sổ sách và hồ sơ được yêu cầu là thiết yếu và đầy đủ cho mục đích đã nêu của cổ đông.” </w:t>
      </w:r>
      <w:r>
        <w:rPr>
          <w:b w:val="0"/>
          <w:i/>
        </w:rPr>
        <w:t>Thomas &amp; Betts Corp. v. Leviton Mfg. Co.</w:t>
      </w:r>
      <w:r>
        <w:rPr>
          <w:b w:val="0"/>
          <w:i w:val="0"/>
        </w:rPr>
        <w:t xml:space="preserve"> , 681 A.2d 1026 (Del. 1996). Hiệu quả thực tế của yêu cầu này là gì?</w:t>
      </w:r>
    </w:p>
    <w:p>
      <w:pPr>
        <w:spacing w:after="80"/>
      </w:pPr>
      <w:r>
        <w:rPr>
          <w:b w:val="0"/>
          <w:i w:val="0"/>
        </w:rPr>
        <w:t xml:space="preserve">6. Khi cho phép kiểm tra, các tòa án có thể áp đặt “các giới hạn hoặc điều kiện” liên quan đến việc kiểm tra. Thường thì điều này có hình thức là nghĩa vụ giữ bí mật các vấn đề. Còn việc giới hạn việc sử dụng bất kỳ tài liệu nào thu được từ một công ty cho các hành động được đưa ra tại Delaware, ít nhất là khi công ty có điều khoản nội quy lựa chọn diễn đàn chỉ định Delaware là diễn đàn, thì sao? Để biết câu trả lời, hãy xem </w:t>
      </w:r>
      <w:r>
        <w:rPr>
          <w:b w:val="0"/>
          <w:i/>
        </w:rPr>
        <w:t>United Technologies Corp. v. Treppel</w:t>
      </w:r>
      <w:r>
        <w:rPr>
          <w:b w:val="0"/>
          <w:i w:val="0"/>
        </w:rPr>
        <w:t xml:space="preserve"> , 109 A.3d 553 (Del. 2014).</w:t>
      </w:r>
    </w:p>
    <w:p>
      <w:pPr>
        <w:pStyle w:val="Heading3"/>
      </w:pPr>
      <w:r>
        <w:rPr>
          <w:rFonts w:ascii="Calibri" w:hAnsi="Calibri"/>
          <w:b/>
          <w:i w:val="0"/>
          <w:sz w:val="26"/>
        </w:rPr>
        <w:t>B. Mục đích chính đáng</w:t>
      </w:r>
    </w:p>
    <w:p>
      <w:pPr>
        <w:spacing w:after="80"/>
      </w:pPr>
      <w:r>
        <w:rPr>
          <w:b w:val="0"/>
          <w:i w:val="0"/>
        </w:rPr>
        <w:t xml:space="preserve">Các cổ đông muốn kiểm tra thông tin phải có mục đích chính đáng. Mục đích chính đáng là mục đích "có liên quan một cách hợp lý đến lợi ích của người đó với tư cách là cổ đông." </w:t>
      </w:r>
      <w:r>
        <w:rPr>
          <w:b w:val="0"/>
          <w:i/>
        </w:rPr>
        <w:t>Xem</w:t>
      </w:r>
      <w:r>
        <w:rPr>
          <w:b w:val="0"/>
          <w:i w:val="0"/>
        </w:rPr>
        <w:t xml:space="preserve"> Mục 220(b). Tuy nhiên, trên thực tế, loại lợi ích này thường chỉ giới hạn ở các cáo buộc về việc lãng phí tài sản công ty, quản lý yếu kém hoặc các hành vi sai trái khác. Trên thực tế, cổ đông bị giới hạn trong việc tiếp cận thông tin liên quan đến khả năng vi phạm nghĩa vụ tín thác (fiduciary obligation). Tuy nhiên, như vụ án tiếp theo sẽ minh họa, đây không phải là những loại lợi ích duy nhất mà cổ đông nắm giữ.</w:t>
      </w:r>
    </w:p>
    <w:p>
      <w:pPr>
        <w:pStyle w:val="Heading4"/>
      </w:pPr>
      <w:r>
        <w:rPr>
          <w:rFonts w:ascii="Calibri" w:hAnsi="Calibri"/>
          <w:b/>
          <w:i w:val="0"/>
          <w:sz w:val="23"/>
        </w:rPr>
        <w:t>City of Westland Police &amp; Fire Retirement System v.</w:t>
      </w:r>
      <w:r>
        <w:br/>
      </w:r>
      <w:r>
        <w:rPr>
          <w:rFonts w:ascii="Calibri" w:hAnsi="Calibri"/>
          <w:b/>
          <w:i w:val="0"/>
          <w:sz w:val="23"/>
        </w:rPr>
        <w:t xml:space="preserve"> Axcelis Technologies, Inc.</w:t>
      </w:r>
    </w:p>
    <w:p>
      <w:pPr>
        <w:spacing w:after="80"/>
      </w:pPr>
      <w:r>
        <w:rPr>
          <w:b w:val="0"/>
          <w:i w:val="0"/>
        </w:rPr>
        <w:t>Tòa án Tối cao Delaware</w:t>
      </w:r>
      <w:r>
        <w:br/>
      </w:r>
      <w:r>
        <w:rPr>
          <w:b w:val="0"/>
          <w:i w:val="0"/>
        </w:rPr>
        <w:t xml:space="preserve"> 1 A.3d 281 (2010)</w:t>
      </w:r>
    </w:p>
    <w:p>
      <w:pPr>
        <w:spacing w:after="80"/>
      </w:pPr>
      <w:r>
        <w:rPr>
          <w:b w:val="0"/>
          <w:i w:val="0"/>
        </w:rPr>
        <w:t>THẨM PHÁN JACOBS :</w:t>
      </w:r>
    </w:p>
    <w:p>
      <w:pPr>
        <w:spacing w:after="80"/>
      </w:pPr>
      <w:r>
        <w:rPr>
          <w:b w:val="0"/>
          <w:i w:val="0"/>
        </w:rPr>
        <w:t>Axcelis là một công ty Delaware chuyên sản xuất thiết bị cấy ion (ion implantation) và thiết bị bán dẫn (semiconductor). Cổ phiếu của Axcelis được giao dịch công khai trên NASDAQ. Westland là một quỹ hưu trí của Michigan, sở hữu hưởng lợi cổ phiếu phổ thông của Axcelis.</w:t>
      </w:r>
    </w:p>
    <w:p>
      <w:pPr>
        <w:spacing w:after="80"/>
      </w:pPr>
      <w:r>
        <w:rPr>
          <w:b w:val="0"/>
          <w:i w:val="0"/>
        </w:rPr>
        <w:t>Năm 1983, Axcelis và Sumitomo Heavy Industries, Ltd. ("SHI"), một công ty Nhật Bản, thành lập với tư cách đối tác ngang bằng một liên doanh có tên "SEN." Liên doanh này phát triển, sản xuất và bán thiết bị bán dẫn và cấp phép công nghệ từ Axcelis.</w:t>
      </w:r>
    </w:p>
    <w:p>
      <w:pPr>
        <w:spacing w:after="80"/>
      </w:pPr>
      <w:r>
        <w:rPr>
          <w:b w:val="0"/>
          <w:i w:val="0"/>
        </w:rPr>
        <w:t>Trong suốt các thời điểm liên quan, hội đồng quản trị của Axcelis ("Hội đồng") gồm bảy thành viên. Chủ tịch Mary G. Puma là Chủ tịch kiêm Tổng Giám đốc Điều hành của Axcelis. Sáu giám đốc còn lại—Stephen R. Hardis, Patrick H. Nettles, H. Brian Thompson, William C. Jennings, R. John Fletcher, và Geoffrey Wild—là các giám đốc bên ngoài, không phải nhân viên và là "Giám đốc Độc lập" theo tiêu chuẩn niêm yết của NASDAQ.</w:t>
      </w:r>
    </w:p>
    <w:p>
      <w:pPr>
        <w:spacing w:after="80"/>
      </w:pPr>
      <w:r>
        <w:rPr>
          <w:b w:val="0"/>
          <w:i/>
        </w:rPr>
        <w:t>B. Các đề xuất thâu tóm của SHI</w:t>
      </w:r>
    </w:p>
    <w:p>
      <w:pPr>
        <w:spacing w:after="80"/>
      </w:pPr>
      <w:r>
        <w:rPr>
          <w:b w:val="0"/>
          <w:i w:val="0"/>
        </w:rPr>
        <w:t>Ngày 4 tháng 2 năm 2008, SHI (cùng với TPG Capital LLP) đưa ra đề nghị không được mời thâu tóm Axcelis với giá $5.20 mỗi cổ phiếu. Ngày hôm đó, cổ phiếu Axcelis đóng cửa ở mức $4.18 mỗi cổ phiếu. Ngày 7 tháng 2, Axcelis thông báo cho SHI rằng họ sẽ phản hồi đề xuất thâu tóm sau khi tham khảo ý kiến các cố vấn của Axcelis. Ngày 25 tháng 2 năm 2008, Hội đồng phát hành thông cáo báo chí công bố việc từ chối đề xuất của SHI. Hội đồng xác định rằng mức giá $5.20 mỗi cổ phiếu được đề nghị đã chiết khấu đáng kể so với giá trị thực của Axcelis, vì nó không gán bất kỳ giá trị nào cho cơ hội giành lại thị phần từ các đối thủ cạnh tranh của Axcelis, cũng như không tính đến giá trị cộng hưởng (synergistic value) từ 50% lợi ích của Axcelis trong SEN.</w:t>
      </w:r>
    </w:p>
    <w:p>
      <w:pPr>
        <w:spacing w:after="80"/>
      </w:pPr>
      <w:r>
        <w:rPr>
          <w:b w:val="0"/>
          <w:i w:val="0"/>
        </w:rPr>
        <w:t>Ngày 10 tháng 3 năm 2008, SHI đưa ra đề nghị thâu tóm Axcelis lần thứ hai, lần này với giá $6 mỗi cổ phiếu. Ngày hôm đó, cổ phiếu Axcelis đóng cửa ở mức $5.45 mỗi cổ phiếu. Ngày 17 tháng 3, Hội đồng từ chối đề xuất thứ hai của SHI, tuyên bố rằng "đề xuất này đánh giá thấp Axcelis và không vì lợi ích tốt nhất của Axcelis và các cổ đông." Tuy nhiên, Hội đồng bày tỏ sẵn sàng gặp riêng SHI để khám phá liệu các bên có thể đạt được thỏa thuận về một giao dịch liên quan đến SEN hay không.</w:t>
      </w:r>
    </w:p>
    <w:p>
      <w:pPr>
        <w:spacing w:after="80"/>
      </w:pPr>
      <w:r>
        <w:rPr>
          <w:b w:val="0"/>
          <w:i/>
        </w:rPr>
        <w:t>C. Cuộc họp cổ đông Axcelis tháng 5 năm 2008</w:t>
      </w:r>
    </w:p>
    <w:p>
      <w:pPr>
        <w:spacing w:after="80"/>
      </w:pPr>
      <w:r>
        <w:rPr>
          <w:b w:val="0"/>
          <w:i w:val="0"/>
        </w:rPr>
        <w:t>Ngày 1 tháng 5 năm 2008, Axcelis tổ chức cuộc họp cổ đông thường niên. Axcelis có hội đồng quản trị phân nhóm (classified board) và ba giám đốc được bầu lại—ông Hardis, Fletcher và Thompson—không có đối thủ cạnh tranh. Axcelis tuân theo các quy định bỏ phiếu đa số tương đối (plurality voting) của luật pháp Delaware, theo đó một giám đốc có thể được bầu mà không cần nhận được đa số phiếu bầu. Tuy nhiên, điều quan trọng là Hội đồng Axcelis cũng đã thông qua chính sách quản trị "đa số cộng" (plurality plus), quy định rằng:</w:t>
      </w:r>
    </w:p>
    <w:p>
      <w:pPr>
        <w:spacing w:after="80"/>
      </w:pPr>
      <w:r>
        <w:rPr>
          <w:b w:val="0"/>
          <w:i w:val="0"/>
        </w:rPr>
        <w:t>Tại bất kỳ cuộc họp cổ đông nào mà các Giám đốc phải chịu cuộc bầu cử không có đối thủ, bất kỳ ứng viên Giám đốc nào nhận được số phiếu "bị giữ lại" (withheld) nhiều hơn số phiếu "ủng hộ" (for) cho cuộc bầu cử của mình phải nộp cho Hội đồng một lá thư từ chức để Ủy ban Đề cử và Quản trị xem xét. Ủy ban Đề cử và Quản trị sẽ đề xuất với Hội đồng hành động cần thực hiện đối với đề nghị từ chức đó. Hội đồng phải hành động kịp thời đối với mỗi lá thư từ chức như vậy và phải thông báo kịp thời cho Giám đốc liên quan về quyết định của mình.</w:t>
      </w:r>
    </w:p>
    <w:p>
      <w:pPr>
        <w:spacing w:after="80"/>
      </w:pPr>
      <w:r>
        <w:rPr>
          <w:b w:val="0"/>
          <w:i w:val="0"/>
        </w:rPr>
        <w:t>Cả ba giám đốc tìm kiếm tái cử tại cuộc họp thường niên năm 2008 đều nhận được ít hơn đa số phiếu bầu, điều này kích hoạt chính sách quản trị "đa số cộng". Do đó, theo chính sách đó, ba giám đốc đã nộp thư từ chức. Tuy nhiên, Hội đồng quyết định không chấp nhận các đơn từ chức, và trong thông cáo báo chí ngày 23 tháng 5 năm 2008, đã giải thích lý do:</w:t>
      </w:r>
    </w:p>
    <w:p>
      <w:pPr>
        <w:spacing w:after="80"/>
      </w:pPr>
      <w:r>
        <w:rPr>
          <w:b w:val="0"/>
          <w:i w:val="0"/>
        </w:rPr>
        <w:t>[H]ội đồng đã xem xét một số yếu tố liên quan đến lợi ích tốt nhất của Axcelis. Hội đồng lưu ý rằng ba giám đốc này có kinh nghiệm và hiểu biết về [Công ty], và nếu đơn từ chức của họ được chấp nhận, Hội đồng sẽ chỉ còn lại bốn giám đốc. Một hoặc nhiều hơn trong số ba giám đốc này phục vụ trong mỗi ủy ban chính của Công ty và ông Hardis giữ vai trò giám đốc chủ trì (lead director). Hội đồng tin rằng việc mất đi kinh nghiệm và kiến thức này sẽ gây tổn hại cho Công ty. Hội đồng cũng lưu ý rằng việc giữ lại các giám đốc này đặc biệt quan trọng nếu Axcelis có thể tiến hành các cuộc thảo luận với SHI sau khi hoàn tất một thỏa thuận bảo mật (non-disclosure agreement) phù hợp.</w:t>
      </w:r>
    </w:p>
    <w:p>
      <w:pPr>
        <w:spacing w:after="80"/>
      </w:pPr>
      <w:r>
        <w:rPr>
          <w:b w:val="0"/>
          <w:i w:val="0"/>
        </w:rPr>
        <w:t>Hội đồng quản trị cũng bày tỏ ý định sẽ phản hồi tích cực trước những lo ngại của cổ đông – những lo ngại đã dẫn đến các lá phiếu chống (withhold votes). Hội đồng quản trị đang tìm cách tham gia vào các cuộc thảo luận bảo mật với SHI và, trước Đại hội đồng cổ đông thường niên năm sau, Hội đồng quản trị sẽ cân nhắc đề xuất ủng hộ một đề xuất giải thể phân loại hội đồng (declassification proposal) tại cuộc họp đó.</w:t>
      </w:r>
    </w:p>
    <w:p>
      <w:pPr>
        <w:spacing w:after="80"/>
      </w:pPr>
      <w:r>
        <w:rPr>
          <w:b w:val="0"/>
          <w:i/>
        </w:rPr>
        <w:t>PHÂN TÍCH</w:t>
      </w:r>
    </w:p>
    <w:p>
      <w:pPr>
        <w:spacing w:after="80"/>
      </w:pPr>
      <w:r>
        <w:rPr>
          <w:b w:val="0"/>
          <w:i/>
        </w:rPr>
        <w:t>A. Các khiếu nại của Westland trong kháng cáo</w:t>
      </w:r>
    </w:p>
    <w:p>
      <w:pPr>
        <w:spacing w:after="80"/>
      </w:pPr>
      <w:r>
        <w:rPr>
          <w:b w:val="0"/>
          <w:i w:val="0"/>
        </w:rPr>
        <w:t xml:space="preserve">Westland khiếu nại rằng Tòa án Chancery đã sai về mặt pháp lý khi áp dụng sai tiêu chuẩn pháp lý hiện hành. Westland thừa nhận rằng phán quyết của Tòa án Chancery có viện dẫn đúng tiêu chuẩn – cụ thể là, một nguyên đơn yêu cầu được kiểm tra sổ sách và hồ sơ phải trình ra một số bằng chứng, “thông qua tài liệu, lập luận logic, lời khai hoặc cách khác”, để gợi ý một cơ sở đáng tin cậy (credible basis) mà từ đó Tòa án Chancery có thể suy luận rằng hành vi sai trái có thể đã xảy ra. Tuy nhiên, Westland cho rằng Tòa án đã áp dụng sai tiêu chuẩn đó khi buộc Westland phải cung cấp bằng chứng khẳng định về hành vi sai trái. Westland lập luận rằng các sự kiện không tranh cãi đã đủ để hoàn thành nghĩa vụ chứng minh của mình, bởi vì chỉ riêng những sự kiện đó đã thiết lập một cơ sở đáng tin cậy để suy luận có hành vi sai trái. Ngoài ra, Westland cũng thúc giục Tòa án này áp dụng tiêu chuẩn </w:t>
      </w:r>
      <w:r>
        <w:rPr>
          <w:b w:val="0"/>
          <w:i/>
        </w:rPr>
        <w:t>Blasius</w:t>
      </w:r>
      <w:r>
        <w:rPr>
          <w:b w:val="0"/>
          <w:i w:val="0"/>
        </w:rPr>
        <w:t xml:space="preserve"> khi xem xét quyết định của Hội đồng quản trị trong việc từ chối đơn từ chức của ba giám đốc.</w:t>
      </w:r>
    </w:p>
    <w:p>
      <w:pPr>
        <w:spacing w:after="80"/>
      </w:pPr>
      <w:r>
        <w:rPr>
          <w:b w:val="0"/>
          <w:i/>
        </w:rPr>
        <w:t>B. Tiêu chuẩn xem xét</w:t>
      </w:r>
    </w:p>
    <w:p>
      <w:pPr>
        <w:spacing w:after="80"/>
      </w:pPr>
      <w:r>
        <w:rPr>
          <w:b w:val="0"/>
          <w:i w:val="0"/>
        </w:rPr>
        <w:t>Tòa án này xem xét lại từ đầu (de novo) liệu mục đích được nêu của một bên khi tìm kiếm quyền kiểm tra theo 8 Del. C. § 220(b) (ở đây, là để điều tra khả năng quản lý yếu kém) có phải là một “mục đích chính đáng” (proper purpose) hay không. Việc thẩm phán xét xử xác định rằng có (hoặc không có) cơ sở đáng tin cậy để suy luận có hành vi quản lý sai trái là một phát hiện hỗn hợp giữa sự kiện và pháp lý, được hưởng sự tôn trọng đáng kể.</w:t>
      </w:r>
    </w:p>
    <w:p>
      <w:pPr>
        <w:spacing w:after="80"/>
      </w:pPr>
      <w:r>
        <w:rPr>
          <w:b w:val="0"/>
          <w:i w:val="0"/>
        </w:rPr>
        <w:t>Tiêu chuẩn áp dụng cho một yêu cầu theo Mục 220(b) đã được thiết lập vững chắc. Một cổ đông tìm cách kiểm tra sổ sách và hồ sơ của một công ty phải chứng minh một “mục đích chính đáng” cho việc kiểm tra đó. Một “mục đích chính đáng” là mục đích “có liên quan hợp lý đến lợi ích của người đó với tư cách là cổ đông”.</w:t>
      </w:r>
    </w:p>
    <w:p>
      <w:pPr>
        <w:spacing w:after="80"/>
      </w:pPr>
      <w:r>
        <w:rPr>
          <w:b w:val="0"/>
          <w:i w:val="0"/>
        </w:rPr>
        <w:t xml:space="preserve">Pháp luật của chúng ta công nhận việc điều tra khả năng có hành vi sai trái hoặc quản lý yếu kém là một “mục đích chính đáng”. Để được hưởng sự trợ giúp theo Mục 220 dựa trên mục đích đó, cổ đông nguyên đơn phải trình ra “một số bằng chứng” để gợi ý một “cơ sở đáng tin cậy” mà từ đó tòa án có thể suy luận có khả năng quản lý yếu kém đáng để điều tra thêm. Trong </w:t>
      </w:r>
      <w:r>
        <w:rPr>
          <w:b w:val="0"/>
          <w:i/>
        </w:rPr>
        <w:t>Seinfeld v. Verizon Comm'n, Inc.</w:t>
      </w:r>
      <w:r>
        <w:rPr>
          <w:b w:val="0"/>
          <w:i w:val="0"/>
        </w:rPr>
        <w:t xml:space="preserve"> , Tòa án này đã tái khẳng định tiêu chuẩn “cơ sở đáng tin cậy” là tiêu chuẩn tạo ra sự cân bằng thích hợp giữa (một mặt) việc trao cho cổ đông quyền tiếp cận các hồ sơ công ty có thể cung cấp một số bằng chứng về khả năng có hành vi sai trái và (mặt khác) việc bảo vệ quyền của công ty trong việc từ chối các yêu cầu kiểm tra chỉ dựa trên sự nghi ngờ hoặc tò mò. Do đó, “chỉ một tuyên bố đơn thuần về mục đích điều tra khả năng quản lý yếu kém nói chung, mà không có gì thêm, sẽ không cho phép cổ đông được hưởng sự trợ giúp kiểm tra rộng rãi theo § 220.”</w:t>
      </w:r>
    </w:p>
    <w:p>
      <w:pPr>
        <w:spacing w:after="80"/>
      </w:pPr>
      <w:r>
        <w:rPr>
          <w:b w:val="0"/>
          <w:i w:val="0"/>
        </w:rPr>
        <w:t>Nguyên đơn có thể thiết lập một cơ sở đáng tin cậy để suy luận có hành vi sai trái “thông qua tài liệu, lập luận logic, lời khai hoặc cách khác”. Bằng chứng như vậy không cần phải chứng minh rằng hành vi sai trái đó thực sự đã xảy ra. Bởi vì tiêu chuẩn “cơ sở đáng tin cậy” “đặt ra mức nghĩa vụ chứng minh thấp nhất có thể”, bất kỳ sự giảm nhẹ nào đối với nghĩa vụ đó cũng sẽ tương đương với việc cho phép kiểm tra chỉ dựa trên sự nghi ngờ đơn thuần của cổ đông nguyên đơn về hành vi sai trái.</w:t>
      </w:r>
    </w:p>
    <w:p>
      <w:pPr>
        <w:spacing w:after="80"/>
      </w:pPr>
      <w:r>
        <w:rPr>
          <w:b w:val="0"/>
          <w:i/>
        </w:rPr>
        <w:t>C. Westland đã thất bại trong việc thiết lập một cơ sở đáng tin cậy để suy luận có hành vi sai trái</w:t>
      </w:r>
    </w:p>
    <w:p>
      <w:pPr>
        <w:spacing w:after="80"/>
      </w:pPr>
      <w:r>
        <w:rPr>
          <w:b w:val="0"/>
          <w:i w:val="0"/>
        </w:rPr>
        <w:t>Yêu cầu kiểm tra sổ sách và hồ sơ của Westland đã xác định hai sự việc bị cho là “đáng ngờ” về “hành vi sai trái”. Thứ nhất là cách Hội đồng quản trị Axcelis xử lý hai đề xuất mua lại của SHI. Thứ hai là việc Hội đồng quản trị từ chối chấp nhận đơn từ chức của ba giám đốc – những người đã không nhận được đa số phiếu thuận tại đại hội cổ đông thường niên tháng 5 năm 2008. Bằng chứng mà Westland dùng để hỗ trợ cho mục đích của mình bao gồm (1) Bản Thỏa thuận chung về các Sự kiện Không tranh cãi của các bên và các tài liệu kèm theo, và (2) những “kết luận logic” của Westland từ các sự kiện và tài liệu đó rằng Hội đồng quản trị Axcelis đã hành động vì động cơ củng cố quyền lực (entrenchment) không chính đáng. Tuy nhiên, Phó Chánh án (Vice Chancellor) lại rút ra những “kết luận logic” khác từ chính những sự kiện không tranh cãi đó, và xác định rằng “không có cơ sở nào trong hồ sơ cho thấy có động cơ củng cố quyền lực” nào khác ngoài những “lời buộc tội trống rỗng” của Westland gợi ý về động cơ như vậy.</w:t>
      </w:r>
    </w:p>
    <w:p>
      <w:pPr>
        <w:spacing w:after="80"/>
      </w:pPr>
      <w:r>
        <w:rPr>
          <w:b w:val="0"/>
          <w:i w:val="0"/>
        </w:rPr>
        <w:t xml:space="preserve">Westland cho rằng Tòa án Chancery đã áp dụng sai tiêu chuẩn “cơ sở đáng tin cậy” khi buộc Westland phải trình ra “bằng chứng khẳng định” về hành vi sai trái. Để hỗ trợ, Westland chỉ đưa ra cách diễn giải đề xuất của mình về các sự kiện không tranh cãi, mà (theo Westland khẳng định) tạo ra một “cơ sở chính đáng để tin rằng” các quyết định của Hội đồng quản trị </w:t>
      </w:r>
      <w:r>
        <w:rPr>
          <w:b w:val="0"/>
          <w:i/>
        </w:rPr>
        <w:t>có thể</w:t>
      </w:r>
      <w:r>
        <w:rPr>
          <w:b w:val="0"/>
          <w:i w:val="0"/>
        </w:rPr>
        <w:t xml:space="preserve"> là sản phẩm của những động cơ củng cố quyền lực không chính đáng. Ví dụ, Westland khẳng định một cách kết luận rằng “[k]hông thể tranh cãi một cách nghiêm túc . . . rằng các đề xuất mua lại của SHI có thể đã bị coi là một ‘mối đe dọa’ đối với quyền kiểm soát Công ty của Hội đồng quản trị Axcelis”, và rằng việc Hội đồng quản trị từ chối đơn từ chức của ba giám đốc và từ chối yêu cầu gia hạn “khiêm tốn” của SHI đều được đưa ra “[t]rước mối đe dọa này”. Về cơ bản, Westland không đồng ý với những suy luận của Phó Chánh án từ các sự kiện không tranh cãi. Sự bất đồng của Westland, mà không có bất kỳ sự chứng minh khẳng định nào thêm, là không đủ. Phó Chánh án kết luận rằng việc Axcelis từ chối các đề xuất mua lại không được yêu cầu của SHI, mà không có gì thêm, không phải là một “hành động phòng vệ” theo </w:t>
      </w:r>
      <w:r>
        <w:rPr>
          <w:b w:val="0"/>
          <w:i/>
        </w:rPr>
        <w:t>Unocal.</w:t>
      </w:r>
      <w:r>
        <w:rPr>
          <w:b w:val="0"/>
          <w:i w:val="0"/>
        </w:rPr>
        <w:t xml:space="preserve"> Kết luận đó phải được giữ nguyên, bởi vì hồ sơ không cung cấp cơ sở đáng tin cậy nào để suy luận rằng việc Hội đồng quản trị từ chối các đề xuất đó, và việc từ chối gia hạn thời hạn để SHI nộp đề xuất mua lại sửa đổi, là bất cứ điều gì khác ngoài những quyết định kinh doanh thiện chí.</w:t>
      </w:r>
    </w:p>
    <w:p>
      <w:pPr>
        <w:spacing w:after="80"/>
      </w:pPr>
      <w:r>
        <w:rPr>
          <w:b w:val="0"/>
          <w:i/>
        </w:rPr>
        <w:t>D. Mục đích chính đáng để điều tra tính phù hợp của các giám đốc</w:t>
      </w:r>
    </w:p>
    <w:p>
      <w:pPr>
        <w:spacing w:after="80"/>
      </w:pPr>
      <w:r>
        <w:rPr>
          <w:b w:val="0"/>
          <w:i w:val="0"/>
        </w:rPr>
        <w:t xml:space="preserve">Khiếu nại thứ hai của Westland trong kháng cáo là Tòa án này nên áp dụng tiêu chuẩn </w:t>
      </w:r>
      <w:r>
        <w:rPr>
          <w:b w:val="0"/>
          <w:i/>
        </w:rPr>
        <w:t>Blasius</w:t>
      </w:r>
      <w:r>
        <w:rPr>
          <w:b w:val="0"/>
          <w:i w:val="0"/>
        </w:rPr>
        <w:t xml:space="preserve"> khi xem xét quyết định của hội đồng quản trị trong việc từ chối đơn từ chức của giám đốc trong các trường hợp mà một chính sách (hoặc điều lệ) quản trị “đa số tương đối cộng thêm” (plurality plus) được kích hoạt và yêu cầu phải nộp đơn từ chức. Theo </w:t>
      </w:r>
      <w:r>
        <w:rPr>
          <w:b w:val="0"/>
          <w:i/>
        </w:rPr>
        <w:t>Blasius</w:t>
      </w:r>
      <w:r>
        <w:rPr>
          <w:b w:val="0"/>
          <w:i w:val="0"/>
        </w:rPr>
        <w:t xml:space="preserve"> , hội đồng quản trị của một công ty phải chứng minh một “lý lẽ chính đáng thuyết phục” (compelling justification) cho các biện pháp do hội đồng quản trị thông qua nhằm can thiệp vào, hoặc cản trở, một cuộc bỏ phiếu của cổ đông. Westland cho rằng bằng việc giữ lại lá phiếu của mình trong các cuộc bầu cử giám đốc tháng 5 năm 2008 – qua đó kích hoạt chính sách quản trị “đa số tương đối cộng thêm” của Axcelis – đa số cổ đông Axcelis đã bày tỏ ý chí rằng ba giám đốc đó nên bị loại bỏ. Bởi vì việc Hội đồng quản trị không chấp nhận đơn từ chức của ba giám đốc đã cản trở ý chí và lá phiếu của cổ đông đó (Westland thúc giục), Hội đồng quản trị Axcelis phải được yêu cầu đưa ra một “lý lẽ chính đáng thuyết phục” cho quyết định của mình.</w:t>
      </w:r>
    </w:p>
    <w:p>
      <w:pPr>
        <w:spacing w:after="80"/>
      </w:pPr>
      <w:r>
        <w:rPr>
          <w:b w:val="0"/>
          <w:i w:val="0"/>
        </w:rPr>
        <w:t xml:space="preserve">Tòa án Chancery đã bác bỏ lập luận </w:t>
      </w:r>
      <w:r>
        <w:rPr>
          <w:b w:val="0"/>
          <w:i/>
        </w:rPr>
        <w:t>Blasius</w:t>
      </w:r>
      <w:r>
        <w:rPr>
          <w:b w:val="0"/>
          <w:i w:val="0"/>
        </w:rPr>
        <w:t xml:space="preserve"> của Westland. Chúng tôi đã kết luận rằng lập luận </w:t>
      </w:r>
      <w:r>
        <w:rPr>
          <w:b w:val="0"/>
          <w:i/>
        </w:rPr>
        <w:t>Blasius</w:t>
      </w:r>
      <w:r>
        <w:rPr>
          <w:b w:val="0"/>
          <w:i w:val="0"/>
        </w:rPr>
        <w:t xml:space="preserve"> của Westland không có giá trị, bởi vì nó cố gắng chuyển một cách không chính đáng sang Axcelis nghĩa vụ của Westland trong việc thiết lập một “mục đích chính đáng” cho việc kiểm tra theo Mục 220. Theo đó, chúng tôi đồng ý với quyết định của Tòa án Chancery là không áp dụng tiêu chuẩn </w:t>
      </w:r>
      <w:r>
        <w:rPr>
          <w:b w:val="0"/>
          <w:i/>
        </w:rPr>
        <w:t>Blasius</w:t>
      </w:r>
      <w:r>
        <w:rPr>
          <w:b w:val="0"/>
          <w:i w:val="0"/>
        </w:rPr>
        <w:t xml:space="preserve"> khi xem xét quyết định theo quyền tùy nghi của hội đồng quản trị trong việc từ chối đơn từ chức của giám đốc trong các trường hợp mà một chính sách quản trị “đa số tương đối cộng thêm” được kích hoạt và yêu cầu phải nộp đơn từ chức.</w:t>
      </w:r>
    </w:p>
    <w:p>
      <w:pPr>
        <w:spacing w:after="80"/>
      </w:pPr>
      <w:r>
        <w:rPr>
          <w:b w:val="0"/>
          <w:i w:val="0"/>
        </w:rPr>
        <w:t xml:space="preserve">Mặc dù chúng tôi kết luận rằng Tòa án Chancery đã bác bỏ đúng đắn lập luận </w:t>
      </w:r>
      <w:r>
        <w:rPr>
          <w:b w:val="0"/>
          <w:i/>
        </w:rPr>
        <w:t>Blasius</w:t>
      </w:r>
      <w:r>
        <w:rPr>
          <w:b w:val="0"/>
          <w:i w:val="0"/>
        </w:rPr>
        <w:t xml:space="preserve"> của Westland, việc tranh chấp này phát sinh liên quan đến một cuộc bỏ phiếu của cổ đông đòi hỏi phải giải thích thêm về yêu cầu “mục đích chính đáng” trong án lệ Mục 220 của chúng ta trong bối cảnh đó. Theo thông luật (common law), một cổ đông của một công ty Delaware có quyền có điều kiện để kiểm tra hoặc xem xét sổ sách và hồ sơ của công ty. Cổ đông phải chứng minh rằng việc kiểm tra được yêu cầu là vì một “mục đích chính đáng”, mà theo thông luật là một mục đích liên quan đến lợi ích mà cổ đông tìm cách bảo vệ bằng việc yêu cầu kiểm tra.</w:t>
      </w:r>
    </w:p>
    <w:p>
      <w:pPr>
        <w:spacing w:after="80"/>
      </w:pPr>
      <w:r>
        <w:rPr>
          <w:b w:val="0"/>
          <w:i w:val="0"/>
        </w:rPr>
        <w:t xml:space="preserve">Quyền kiểm tra của cổ đông hiện được pháp điển hóa tại Title 8, Section 220 của Bộ luật Delaware. Với lòng trung thành với nguồn gốc thông luật của mình, Section 220(b) định nghĩa “mục đích chính đáng” (proper purpose) là “mục đích có liên quan hợp lý đến lợi ích của người đó với tư cách là cổ đông.” Theo thời gian, khái niệm đó đã mở rộng khi các tòa án Delaware giải thích thuật ngữ luật định “mục đích chính đáng” để dung hòa lợi ích chính đáng của cổ đông với động lực và công nghệ luôn thay đổi của quản trị công ty. Một chuyên luận hàng đầu về luật Delaware đã tổng hợp một danh sách không độc quyền các mục đích chính đáng được tòa án công nhận theo Section 220. Một trong những mục đích đó là “để xác định sự phù hợp của một cá nhân với vai trò giám đốc,” điều mà Tòa án Chancery đã công nhận trong </w:t>
      </w:r>
      <w:r>
        <w:rPr>
          <w:b w:val="0"/>
          <w:i/>
        </w:rPr>
        <w:t>Pershing Square, L.P. v. Ceridian Corp.</w:t>
      </w:r>
      <w:r>
        <w:rPr>
          <w:b w:val="0"/>
          <w:i w:val="0"/>
        </w:rPr>
        <w:t xml:space="preserve"> Tại đó, Tòa án Chancery tuyên bố:</w:t>
      </w:r>
    </w:p>
    <w:p>
      <w:pPr>
        <w:spacing w:after="80"/>
      </w:pPr>
      <w:r>
        <w:rPr>
          <w:b w:val="0"/>
          <w:i w:val="0"/>
        </w:rPr>
        <w:t>Thật khó để tôi hiểu làm sao việc xác định sự phù hợp của một cá nhân với vai trò giám đốc công ty lại không liên quan hợp lý đến lợi ích của một người với tư cách là cổ đông. Suy cho cùng, cổ đông bầu ra các giám đốc để đại diện cho lợi ích của họ trong công ty và có rất ít con đường khác để họ có thể gây ảnh hưởng đến việc quản trị công ty của mình. Một khi đã được bầu, cổ đông chỉ có thể bày tỏ sự bất mãn thông qua cơ chế bầu cử.</w:t>
      </w:r>
    </w:p>
    <w:p>
      <w:pPr>
        <w:spacing w:after="80"/>
      </w:pPr>
      <w:r>
        <w:rPr>
          <w:b w:val="0"/>
          <w:i w:val="0"/>
        </w:rPr>
        <w:t>Tuy nhiên, Thẩm phán Chánh án (Chancellor) công nhận rằng chỉ nêu ra mục đích đó thôi thì không tự động cho cổ đông quyền được hưởng biện pháp khắc phục theo Section 220:</w:t>
      </w:r>
    </w:p>
    <w:p>
      <w:pPr>
        <w:spacing w:after="80"/>
      </w:pPr>
      <w:r>
        <w:rPr>
          <w:b w:val="0"/>
          <w:i w:val="0"/>
        </w:rPr>
        <w:t>Việc kiểm tra theo § 220 không tự động được tiến hành chỉ vì đã nêu ra một mục đích chính đáng. Thứ nhất, bị đơn có thể bác bỏ yêu cầu bằng cách chứng minh rằng tuy nguyên đơn nêu ra một mục đích chính đáng, nhưng mục đích thực sự hoặc chủ yếu của nguyên đơn lại là không chính đáng. Thứ hai, nguyên đơn nêu ra một mục đích chính đáng cũng phải trình bày một số bằng chứng để thiết lập cơ sở đáng tin cậy mà từ đó Tòa án Chancery có thể suy luận rằng có những lo ngại chính đáng về sự phù hợp của một giám đốc. Nghĩa là, cổ đông phải thiết lập cơ sở đáng tin cậy để suy luận rằng một giám đốc không phù hợp, từ đó biện minh cho việc điều tra thêm. Thứ ba, nguyên đơn cũng phải chứng minh rằng thông tin mà mình tìm kiếm là cần thiết và thiết yếu để đánh giá liệu một giám đốc có không phù hợp để ra ứng cử lại hay không. Cuối cùng, việc tiếp cận các tài liệu của hội đồng quản trị có thể bị hạn chế thêm bởi nhu cầu bảo vệ các thông tin liên lạc mật của hội đồng quản trị. Do đó, việc chấp nhận rằng mong muốn điều tra ‘sự phù hợp của một giám đốc’ là một mục đích chính đáng không nhất thiết khiến các công ty phải đối mặt với nguy cơ bị lạm dụng cao hơn.</w:t>
      </w:r>
    </w:p>
    <w:p>
      <w:pPr>
        <w:spacing w:after="80"/>
      </w:pPr>
      <w:r>
        <w:rPr>
          <w:b w:val="0"/>
          <w:i w:val="0"/>
        </w:rPr>
        <w:t>Chúng tôi đồng ý rằng mục đích được nêu trong Pershing Square là một “mục đích chính đáng” để tìm kiếm việc kiểm tra sổ sách và hồ sơ công ty theo Section 220. Mặc dù điều đó không làm thay đổi kết quả của vụ án này—bởi vì Westland đã không dựa vào mục đích đó làm cơ sở để tìm kiếm biện pháp khắc phục—tuy nhiên mối quan hệ giữa quyền kiểm tra của cổ đông và chính sách “đa số tương đối cộng thêm” (plurality plus) được hội đồng quản trị Axcelis thông qua vẫn đáng được tập trung xem xét sắc nét hơn để làm hướng dẫn cho tương lai.</w:t>
      </w:r>
    </w:p>
    <w:p>
      <w:pPr>
        <w:spacing w:after="80"/>
      </w:pPr>
      <w:r>
        <w:rPr>
          <w:b w:val="0"/>
          <w:i w:val="0"/>
        </w:rPr>
        <w:t>Trong vụ án này, chính sách “đa số tương đối cộng thêm” của Axcelis được thông qua một cách đơn phương như một nghị quyết của Hội đồng quản trị, chứ không phải như một điều lệ nội bộ (by-law) hay một phần của giấy chứng nhận thành lập (certificate of incorporation), cả hai đều sẽ đòi hỏi sự chấp thuận của cổ đông. Ở đây, Hội đồng quản trị Axcelis đã đơn phương trao cho các cổ đông quyền bầu giám đốc bằng đa số phiếu. Nhưng Hội đồng quản trị cũng đặt điều kiện cho quyền đó dựa trên quyền tùy nghi của hội đồng quản trị trong việc chấp nhận (hoặc từ chối) đơn từ chức của những giám đốc được bầu bằng đa số tương đối, chứ không phải bằng đa số phiếu của cổ đông.</w:t>
      </w:r>
    </w:p>
    <w:p>
      <w:pPr>
        <w:spacing w:after="80"/>
      </w:pPr>
      <w:r>
        <w:rPr>
          <w:b w:val="0"/>
          <w:i w:val="0"/>
        </w:rPr>
        <w:t>Có một mối quan hệ giữa quyền kiểm tra của cổ đông và chính sách “đa số tương đối cộng thêm” được thông qua đơn phương, theo đó các giám đốc tự trao cho mình quyền tùy nghi từ chối các đơn từ chức do những ứng viên không nhận được đa số phiếu đệ trình. Việc bỏ phiếu của cổ đông dưới mức đa số có thể được xem như một phán quyết của những người nắm đa số phiếu bầu rằng các ứng viên giám đốc đó không còn phù hợp để phục vụ (hoặc tiếp tục phục vụ) với tư cách giám đốc. Tương ứng, quyết định không chấp nhận các đơn từ chức đó của Hội đồng quản trị có thể được xem như một phán quyết ngược lại, mang tính áp đảo của Hội đồng quản trị. Do đó, điều đang bị đặt lên bàn cân là tính chính trực của quyết định của Hội đồng quản trị khi áp đảo phán quyết của đa số cổ đông. Nói cách khác, câu hỏi đặt ra là liệu các giám đốc, với tư cách là người được ủy thác (fiduciaries), có đưa ra một phán quyết kinh doanh vô tư, đầy đủ thông tin rằng lợi ích tốt nhất của công ty đòi hỏi sự phục vụ tiếp tục của các giám đốc này hay không, hay liệu Hội đồng quản trị có động cơ nào đó khác, khuất tất hay không.</w:t>
      </w:r>
    </w:p>
    <w:p>
      <w:pPr>
        <w:spacing w:after="80"/>
      </w:pPr>
      <w:r>
        <w:rPr>
          <w:b w:val="0"/>
          <w:i w:val="0"/>
        </w:rPr>
        <w:t>Khi mà, như trong trường hợp này, hội đồng quản trị tự trao cho mình quyền áp đảo một quyền bầu cử của cổ đông đã được thực thi mà không có sự chấp thuận trước của cổ đông (điều mà sẽ được yêu cầu trong trường hợp một điều lệ nội bộ do cổ đông thông qua hoặc một điều khoản trong giấy chứng nhận thành lập), thì hội đồng quản trị phải chịu trách nhiệm về việc thực thi quyền lực được trao đơn phương đó. Trong bối cảnh cụ thể này, trách nhiệm đó nên mang hình thức là việc phải chịu sự điều chỉnh bởi quyền theo Section 220 của cổ đông để tìm kiếm việc kiểm tra bất kỳ tài liệu và hồ sơ nào khác mà hội đồng quản trị đã dựa vào để quyết định không chấp nhận các đơn từ chức đã được đệ trình.</w:t>
      </w:r>
    </w:p>
    <w:p>
      <w:pPr>
        <w:spacing w:after="80"/>
      </w:pPr>
      <w:r>
        <w:rPr>
          <w:b w:val="0"/>
          <w:i w:val="0"/>
        </w:rPr>
        <w:t xml:space="preserve">Điều đó không có nghĩa là việc đưa ra một yêu cầu theo Section 220, hay việc nộp một vụ kiện theo Section 220, nhằm mục đích điều tra sự phù hợp của các giám đốc mà đơn từ chức của họ đã bị từ chối, sẽ tự động cho nguyên đơn là cổ đông quyền được hưởng biện pháp khắc phục. Điều đó có nghĩa là việc chứng minh rằng đủ số cổ đông đã giữ lại phiếu bầu của mình để kích hoạt chính sách “đa số tương đối cộng thêm” (do hội đồng quản trị thông qua) của một công ty sẽ thỏa mãn yêu cầu của </w:t>
      </w:r>
      <w:r>
        <w:rPr>
          <w:b w:val="0"/>
          <w:i/>
        </w:rPr>
        <w:t>Pershing Square</w:t>
      </w:r>
      <w:r>
        <w:rPr>
          <w:b w:val="0"/>
          <w:i w:val="0"/>
        </w:rPr>
        <w:t xml:space="preserve"> rằng “cổ đông phải thiết lập cơ sở đáng tin cậy để suy luận rằng một giám đốc không phù hợp, từ đó biện minh cho việc kiểm tra thêm.” Tuy nhiên, để được hưởng biện pháp khắc phục, nguyên đơn vẫn phải đưa ra chứng minh bổ sung mà Thẩm phán Chánh án đã nêu rõ trong </w:t>
      </w:r>
      <w:r>
        <w:rPr>
          <w:b w:val="0"/>
          <w:i/>
        </w:rPr>
        <w:t>Pershing Square.</w:t>
      </w:r>
      <w:r>
        <w:rPr>
          <w:b w:val="0"/>
          <w:i w:val="0"/>
        </w:rPr>
        <w:t xml:space="preserve"> Theo quan điểm của chúng tôi, điều đó tạo ra sự cân bằng thích hợp giữa quyền được thông tin của cổ đông và quyền của các giám đốc được đưa ra quyết định vì lợi ích tốt nhất của công ty mà không bị quấy rầy bởi các vụ kiện tụng mang tính lạm dụng.</w:t>
      </w:r>
    </w:p>
    <w:p>
      <w:pPr>
        <w:spacing w:after="80"/>
      </w:pPr>
      <w:r>
        <w:rPr>
          <w:b w:val="0"/>
          <w:i/>
        </w:rPr>
        <w:t>KẾT LUẬN</w:t>
      </w:r>
    </w:p>
    <w:p>
      <w:pPr>
        <w:spacing w:after="80"/>
      </w:pPr>
      <w:r>
        <w:rPr>
          <w:b w:val="0"/>
          <w:i w:val="0"/>
        </w:rPr>
        <w:t>Vì những lý do đã trình bày, phán quyết của Tòa án Chancery được giữ nguyên.</w:t>
      </w:r>
    </w:p>
    <w:p>
      <w:pPr>
        <w:pStyle w:val="Heading5"/>
      </w:pPr>
      <w:r>
        <w:rPr>
          <w:rFonts w:ascii="Calibri" w:hAnsi="Calibri"/>
          <w:b/>
          <w:i/>
          <w:sz w:val="22"/>
        </w:rPr>
        <w:t>Bình luận và Câu hỏi</w:t>
      </w:r>
    </w:p>
    <w:p>
      <w:pPr>
        <w:spacing w:after="80"/>
      </w:pPr>
      <w:r>
        <w:rPr>
          <w:b w:val="0"/>
          <w:i w:val="0"/>
        </w:rPr>
        <w:t xml:space="preserve">1. </w:t>
      </w:r>
      <w:r>
        <w:rPr>
          <w:b w:val="0"/>
          <w:i/>
        </w:rPr>
        <w:t>Axcelix</w:t>
      </w:r>
      <w:r>
        <w:rPr>
          <w:b w:val="0"/>
          <w:i w:val="0"/>
        </w:rPr>
        <w:t xml:space="preserve"> liên quan đến một yêu cầu kiểm tra được thiết kế để xem xét lý do của hội đồng quản trị trong việc từ chối chấp nhận các lá thư từ chức do ba giám đốc đệ trình, những người không nhận được đủ sự ủng hộ theo một điều lệ nội bộ về bỏ phiếu đa số. Nguyên đơn tìm kiếm các tài liệu sau:</w:t>
      </w:r>
    </w:p>
    <w:p>
      <w:pPr>
        <w:spacing w:after="80"/>
      </w:pPr>
      <w:r>
        <w:rPr>
          <w:b w:val="0"/>
          <w:i w:val="0"/>
        </w:rPr>
        <w:t>Tất cả biên bản của các chương trình nghị sự cho các cuộc họp (bao gồm tất cả biên bản nháp và các tài liệu kèm theo của các biên bản và chương trình nghị sự đó) của Hội đồng quản trị mà tại đó Hội đồng quản trị đã thảo luận, xem xét hoặc được trình bày thông tin liên quan đến hoặc có liên quan đến quyết định của Hội đồng quản trị về việc không chấp nhận đơn từ chức của [ba giám đốc].</w:t>
      </w:r>
    </w:p>
    <w:p>
      <w:pPr>
        <w:spacing w:after="80"/>
      </w:pPr>
      <w:r>
        <w:rPr>
          <w:b w:val="0"/>
          <w:i w:val="0"/>
        </w:rPr>
        <w:t>Tất cả tài liệu được Hội đồng quản trị xem xét, cân nhắc hoặc tạo ra liên quan đến quyết định của Hội đồng quản trị về việc không chấp nhận đơn từ chức của các Giám đốc . . .</w:t>
      </w:r>
    </w:p>
    <w:p>
      <w:pPr>
        <w:spacing w:after="80"/>
      </w:pPr>
      <w:r>
        <w:rPr>
          <w:b w:val="0"/>
          <w:i w:val="0"/>
        </w:rPr>
        <w:t>Tại sao công ty không đơn giản là cung cấp cho cổ đông những tài liệu này? Có thể có những lý do gì để từ chối yêu cầu đó? Một số hậu quả có thể xảy ra của việc cung cấp thông tin đó là gì?</w:t>
      </w:r>
    </w:p>
    <w:p>
      <w:pPr>
        <w:spacing w:after="80"/>
      </w:pPr>
      <w:r>
        <w:rPr>
          <w:b w:val="0"/>
          <w:i w:val="0"/>
        </w:rPr>
        <w:t xml:space="preserve">2. Các nguyên đơn lập luận rằng việc không chấp nhận các đơn từ chức phải được xét theo tiêu chuẩn </w:t>
      </w:r>
      <w:r>
        <w:rPr>
          <w:b w:val="0"/>
          <w:i/>
        </w:rPr>
        <w:t>Blasius</w:t>
      </w:r>
      <w:r>
        <w:rPr>
          <w:b w:val="0"/>
          <w:i w:val="0"/>
        </w:rPr>
        <w:t xml:space="preserve">, vốn đòi hỏi hội đồng quản trị muốn tước quyền biểu quyết của cổ đông phải đưa ra "lý lẽ thuyết phục" (compelling justification) cho hành động của mình. Học thuyết </w:t>
      </w:r>
      <w:r>
        <w:rPr>
          <w:b w:val="0"/>
          <w:i/>
        </w:rPr>
        <w:t>Blasius</w:t>
      </w:r>
      <w:r>
        <w:rPr>
          <w:b w:val="0"/>
          <w:i w:val="0"/>
        </w:rPr>
        <w:t xml:space="preserve"> được bàn đến trong Chương 7. Liệu hành động của hội đồng quản trị có thể đã được thực hiện với mục tiêu tước quyền biểu quyết của cổ đông hay không? Cách giải quyết vấn đề này của tòa án có đúng không?</w:t>
      </w:r>
    </w:p>
    <w:p>
      <w:pPr>
        <w:spacing w:after="80"/>
      </w:pPr>
      <w:r>
        <w:rPr>
          <w:b w:val="0"/>
          <w:i w:val="0"/>
        </w:rPr>
        <w:t>3. Mục đích chính đáng được xác định trong vụ án này là gì? Điều này khác thế nào so với các loại mục đích thường được tòa án ở Delaware chấp nhận trong các vụ án về quyền kiểm tra sổ sách? Hãy nêu một vài ví dụ về các vấn đề tư cách thành viên hội đồng quản trị có thể làm phát sinh yêu cầu kiểm tra hồ sơ.</w:t>
      </w:r>
    </w:p>
    <w:p>
      <w:pPr>
        <w:spacing w:after="80"/>
      </w:pPr>
      <w:r>
        <w:rPr>
          <w:b w:val="0"/>
          <w:i w:val="0"/>
        </w:rPr>
        <w:t xml:space="preserve">4. Tòa án lưu ý rằng việc các thành viên hội đồng quản trị không nhận được sự chấp thuận của đa số không tự động có nghĩa là cổ đông được quyền yêu cầu cung cấp hồ sơ, mà họ vẫn phải đưa ra "chứng minh bổ sung" theo yêu cầu của tòa án trong vụ </w:t>
      </w:r>
      <w:r>
        <w:rPr>
          <w:b w:val="0"/>
          <w:i/>
        </w:rPr>
        <w:t>Pershing Square.</w:t>
      </w:r>
      <w:r>
        <w:rPr>
          <w:b w:val="0"/>
          <w:i w:val="0"/>
        </w:rPr>
        <w:t xml:space="preserve"> Những chứng minh bổ sung này là gì và chúng có khả năng tác động thế nào đến các yêu cầu kiểm tra sổ sách trong những tình huống này?</w:t>
      </w:r>
    </w:p>
    <w:p>
      <w:pPr>
        <w:spacing w:after="80"/>
      </w:pPr>
      <w:r>
        <w:rPr>
          <w:b w:val="0"/>
          <w:i w:val="0"/>
        </w:rPr>
        <w:t xml:space="preserve">5. Liệu cổ đông có mục đích chính đáng khi một khiếu nại phái sinh dựa trên cùng những cáo buộc về quản lý yếu kém bị chặn bởi thời hiệu khởi kiện hay không? Có vẻ là không. </w:t>
      </w:r>
      <w:r>
        <w:rPr>
          <w:b w:val="0"/>
          <w:i/>
        </w:rPr>
        <w:t>Xem Wolst v. Monster Beverage Corp</w:t>
      </w:r>
      <w:r>
        <w:rPr>
          <w:b w:val="0"/>
          <w:i w:val="0"/>
        </w:rPr>
        <w:t>., Case No. 9154-VCN (Del. Ch. Oct. 3, 2014).</w:t>
      </w:r>
    </w:p>
    <w:p>
      <w:pPr>
        <w:spacing w:after="80"/>
      </w:pPr>
      <w:r>
        <w:rPr>
          <w:b w:val="0"/>
          <w:i w:val="0"/>
        </w:rPr>
        <w:t xml:space="preserve">6. Loại thông tin được yêu cầu có ảnh hưởng đến việc phân tích hay không? Nếu yêu cầu là xin danh sách cổ đông thì sao? Trong những tình huống đó, cổ đông được suy đoán là có mục đích chính đáng. Nghĩa vụ chứng minh thuộc về hội đồng quản trị để cho thấy họ không có mục đích chính đáng. </w:t>
      </w:r>
      <w:r>
        <w:rPr>
          <w:b w:val="0"/>
          <w:i/>
        </w:rPr>
        <w:t>Xem</w:t>
      </w:r>
      <w:r>
        <w:rPr>
          <w:b w:val="0"/>
          <w:i w:val="0"/>
        </w:rPr>
        <w:t xml:space="preserve"> 8 Del. C. § 220(c). Đối với danh sách cổ đông, công ty sẽ phải tiết lộ loại thông tin nào? Danh sách đó có nên bao gồm, ví dụ, địa chỉ email hay thông tin về những người tham gia vào tổ chức lưu ký (depository) hay không?</w:t>
      </w:r>
    </w:p>
    <w:p>
      <w:pPr>
        <w:pStyle w:val="Heading3"/>
      </w:pPr>
      <w:r>
        <w:rPr>
          <w:rFonts w:ascii="Calibri" w:hAnsi="Calibri"/>
          <w:b/>
          <w:i w:val="0"/>
          <w:sz w:val="26"/>
        </w:rPr>
        <w:t>C. Cơ sở đáng tin cậy</w:t>
      </w:r>
    </w:p>
    <w:p>
      <w:pPr>
        <w:spacing w:after="80"/>
      </w:pPr>
      <w:r>
        <w:rPr>
          <w:b w:val="0"/>
          <w:i w:val="0"/>
        </w:rPr>
        <w:t>Yêu cầu về mục đích chính đáng được quy định trong luật. Tuy nhiên, ngoài ra, tòa án còn gắn thêm vào yêu cầu này sự cần thiết phải đưa ra một "cơ sở đáng tin cậy" (credible basis) để hỗ trợ cho mục đích chính đáng đó.</w:t>
      </w:r>
    </w:p>
    <w:p>
      <w:pPr>
        <w:pStyle w:val="Heading4"/>
      </w:pPr>
      <w:r>
        <w:rPr>
          <w:rFonts w:ascii="Calibri" w:hAnsi="Calibri"/>
          <w:b/>
          <w:i w:val="0"/>
          <w:sz w:val="23"/>
        </w:rPr>
        <w:t>Seinfeld v. Verizon Communications, Inc.</w:t>
      </w:r>
    </w:p>
    <w:p>
      <w:pPr>
        <w:spacing w:after="80"/>
      </w:pPr>
      <w:r>
        <w:rPr>
          <w:b w:val="0"/>
          <w:i w:val="0"/>
        </w:rPr>
        <w:t>Tòa án Tối cao Delaware</w:t>
      </w:r>
      <w:r>
        <w:br/>
      </w:r>
      <w:r>
        <w:rPr>
          <w:b w:val="0"/>
          <w:i w:val="0"/>
        </w:rPr>
        <w:t xml:space="preserve"> 909 A.2d 117 (2006)</w:t>
      </w:r>
    </w:p>
    <w:p>
      <w:pPr>
        <w:spacing w:after="80"/>
      </w:pPr>
      <w:r>
        <w:rPr>
          <w:b w:val="0"/>
          <w:i w:val="0"/>
        </w:rPr>
        <w:t>THẨM PHÁN HOLLAND :</w:t>
      </w:r>
    </w:p>
    <w:p>
      <w:pPr>
        <w:spacing w:after="80"/>
      </w:pPr>
      <w:r>
        <w:rPr>
          <w:b w:val="0"/>
          <w:i w:val="0"/>
        </w:rPr>
        <w:t>Nguyên đơn kháng cáo, Frank D. Seinfeld ("Seinfeld"), đã khởi kiện theo mục 220 của Luật Công ty Đại chúng Delaware (Delaware General Corporation Law) để buộc bị đơn được kháng cáo, Verizon Communications, Inc. ("Verizon"), phải cung cấp cho ông ta kiểm tra sổ sách và hồ sơ của công ty liên quan đến thù lao của ba giám đốc điều hành cấp cao nhất của Verizon từ năm 2000 đến 2002. Seinfeld cho rằng thù lao điều hành của họ, cả riêng lẻ lẫn tổng hợp, là quá mức và gây lãng phí. . . .</w:t>
      </w:r>
    </w:p>
    <w:p>
      <w:pPr>
        <w:spacing w:after="80"/>
      </w:pPr>
      <w:r>
        <w:rPr>
          <w:b w:val="0"/>
          <w:i w:val="0"/>
        </w:rPr>
        <w:t>Sự kiện</w:t>
      </w:r>
    </w:p>
    <w:p>
      <w:pPr>
        <w:spacing w:after="80"/>
      </w:pPr>
      <w:r>
        <w:rPr>
          <w:b w:val="0"/>
          <w:i w:val="0"/>
        </w:rPr>
        <w:t>Seinfeld khẳng định ông là chủ sở hữu hưởng lợi của khoảng 3,884 cổ phiếu Verizon được nắm giữ dưới tên công ty môi giới (street name) thông qua một công ty môi giới chứng khoán. Mục đích ông nêu ra khi yêu cầu sổ sách và hồ sơ của Verizon là để điều tra việc quản lý yếu kém và lãng phí tài sản công ty liên quan đến thù lao điều hành của Ivan G. Seidenberg, Lawrence T. Babbio, Jr. và Charles R. Lee. Seinfeld cáo buộc rằng cả ba giám đốc điều hành này đều đảm nhiệm cùng một công việc và được trả những khoản tiền, bao gồm cả quyền chọn cổ phiếu (stock options), cao hơn mức thù lao được quy định trong hợp đồng lao động của họ. Khiếu nại về quyền kiểm tra theo mục 220 của Seinfeld còn dựa trên nhiều phép tính khác nhau mà ông thực hiện, cho thấy tổng thù lao của ba giám đốc điều hành này lên tới 205 triệu đô la trong ba năm và do đó là quá mức, xét theo trách nhiệm của họ đối với công ty.</w:t>
      </w:r>
    </w:p>
    <w:p>
      <w:pPr>
        <w:spacing w:after="80"/>
      </w:pPr>
      <w:r>
        <w:rPr>
          <w:b w:val="0"/>
          <w:i w:val="0"/>
        </w:rPr>
        <w:t>Trong buổi lấy lời khai, Seinfeld thừa nhận ông không có cơ sở thực tế nào cho cáo buộc rằng việc quản lý yếu kém đã xảy ra. Ông thừa nhận rằng ba giám đốc điều hành này không thực hiện bất kỳ công việc trùng lặp nào. Seinfeld thừa nhận ông không có cơ sở thực tế để cáo buộc rằng các giám đốc điều hành "không xứng đáng" với những khoản tiền được trả cho họ theo các thỏa thuận lao động tương ứng. Seinfeld cũng thừa nhận "có khả năng" rằng con số thù lao điều hành 205 triệu đô la mà ông tính toán là sai.</w:t>
      </w:r>
    </w:p>
    <w:p>
      <w:pPr>
        <w:spacing w:after="80"/>
      </w:pPr>
      <w:r>
        <w:rPr>
          <w:b w:val="0"/>
          <w:i w:val="0"/>
        </w:rPr>
        <w:t>Vấn đề trước mắt chúng tôi khá hẹp: liệu một cổ đông yêu cầu kiểm tra sổ sách theo mục 220 có được hưởng sự cứu xét mà không cần phải đưa ra một số bằng chứng gợi ý về một cơ sở đáng tin cậy cho hành vi sai trái hay không? Chúng tôi kết luận rằng câu trả lời phải là không.</w:t>
      </w:r>
    </w:p>
    <w:p>
      <w:pPr>
        <w:spacing w:after="80"/>
      </w:pPr>
      <w:r>
        <w:rPr>
          <w:b w:val="0"/>
          <w:i/>
        </w:rPr>
        <w:t>Quyền Kiểm tra Sổ sách của Cổ đông</w:t>
      </w:r>
    </w:p>
    <w:p>
      <w:pPr>
        <w:spacing w:after="80"/>
      </w:pPr>
      <w:r>
        <w:rPr>
          <w:b w:val="0"/>
          <w:i w:val="0"/>
        </w:rPr>
        <w:t>Luật doanh nghiệp Delaware quy định sự tách biệt giữa quyền kiểm soát pháp lý và quyền sở hữu. Trách nhiệm pháp lý trong việc điều hành hoạt động kinh doanh của công ty vì lợi ích của các cổ đông chủ sở hữu được luật định trao cho hội đồng quản trị. Thông luật áp đặt các nghĩa vụ tín thác (fiduciary duties) lên các giám đốc của các công ty Delaware để ràng buộc hành vi của họ khi thực hiện trách nhiệm theo luật định đó.</w:t>
      </w:r>
    </w:p>
    <w:p>
      <w:pPr>
        <w:spacing w:after="80"/>
      </w:pPr>
      <w:r>
        <w:rPr>
          <w:b w:val="0"/>
          <w:i w:val="0"/>
        </w:rPr>
        <w:t>Quyền của cổ đông được kiểm tra sổ sách và hồ sơ của công ty đã được công nhận trong thông luật bởi vì “[n]hư một vấn đề tự bảo vệ, cổ đông có quyền được biết các đại diện của mình đang điều hành công việc của công ty mà mình là một trong những chủ sở hữu như thế nào.” Các quyền kiểm tra có điều kiện bắt nguồn từ thông luật nay đã được pháp điển hóa trong Tiêu đề 8, mục 220 của Bộ luật Delaware, trong đó quy định một phần như sau:</w:t>
      </w:r>
    </w:p>
    <w:p>
      <w:pPr>
        <w:spacing w:after="80"/>
      </w:pPr>
      <w:r>
        <w:rPr>
          <w:b w:val="0"/>
          <w:i w:val="0"/>
        </w:rPr>
        <w:t>(b) Bất kỳ cổ đông nào, trực tiếp hoặc thông qua luật sư hay đại diện khác, khi có yêu cầu bằng văn bản có tuyên thệ nêu rõ mục đích của yêu cầu đó, sẽ có quyền trong giờ làm việc thông thường được kiểm tra vì bất kỳ mục đích chính đáng nào.</w:t>
      </w:r>
    </w:p>
    <w:p>
      <w:pPr>
        <w:spacing w:after="80"/>
      </w:pPr>
      <w:r>
        <w:rPr>
          <w:b w:val="0"/>
          <w:i w:val="0"/>
        </w:rPr>
        <w:t>Mục 220 trao cho các cổ đông của các công ty Delaware một “quyền mạnh mẽ.” Bằng cách thực thi đúng đắn quyền đó theo mục 220, các cổ đông có thể thu thập thông tin có thể được sử dụng trong nhiều bối cảnh khác nhau. Cổ đông có thể sử dụng thông tin về việc quản lý yếu kém, lãng phí hoặc hành vi sai trái của công ty theo nhiều cách. Ví dụ, họ có thể: khởi kiện phái sinh (derivative litigation); “tìm cách gặp gỡ hội đồng quản trị để thảo luận về đề xuất cải cách, hoặc nếu không thành công, họ có thể chuẩn bị một nghị quyết cổ đông cho đại hội thường niên tiếp theo, hoặc tiến hành một cuộc chiến tranh giành quyền biểu quyết (proxy fight) để bầu các giám đốc mới.”</w:t>
      </w:r>
    </w:p>
    <w:p>
      <w:pPr>
        <w:spacing w:after="80"/>
      </w:pPr>
      <w:r>
        <w:rPr>
          <w:b w:val="0"/>
          <w:i/>
        </w:rPr>
        <w:t>Seinfeld Bị Từ Chối Quyền Kiểm Tra</w:t>
      </w:r>
    </w:p>
    <w:p>
      <w:pPr>
        <w:spacing w:after="80"/>
      </w:pPr>
      <w:r>
        <w:rPr>
          <w:b w:val="0"/>
          <w:i w:val="0"/>
        </w:rPr>
        <w:t>Tòa án Chancery xác định rằng lời khai tại phiên lấy cung của Seinfeld chỉ chứng minh rằng ông lo ngại về khoản thù lao lớn được trả cho ba giám đốc điều hành. Tòa án đó kết luận rằng Seinfeld đã không đưa ra “bất kỳ bằng chứng nào để [tòa] có thể đánh giá liệu có cơ sở hợp lý để nghi ngờ rằng thù lao của giám đốc điều hành lên đến mức lãng phí hay không.” Tòa cũng kết luận rằng Seinfeld đã không “đệ trình bất kỳ bằng chứng nào cho thấy các giám đốc điều hành không được hưởng [các quyền chọn cổ phiếu] đó.” Tòa án Chancery đã ghi nhận một cách đúng đắn rằng việc bất đồng với phán đoán kinh doanh của hội đồng quản trị Verizon hoặc ủy ban thù lao của nó không phải là bằng chứng về hành vi sai trái và không thỏa mãn nghĩa vụ chứng minh của Seinfeld theo mục 220. . . .</w:t>
      </w:r>
    </w:p>
    <w:p>
      <w:pPr>
        <w:spacing w:after="80"/>
      </w:pPr>
      <w:r>
        <w:rPr>
          <w:b w:val="0"/>
          <w:i/>
        </w:rPr>
        <w:t>Cáo Buộc Về Rào Cản Chứng Cứ</w:t>
      </w:r>
    </w:p>
    <w:p>
      <w:pPr>
        <w:spacing w:after="80"/>
      </w:pPr>
      <w:r>
        <w:rPr>
          <w:b w:val="0"/>
          <w:i w:val="0"/>
        </w:rPr>
        <w:t>Trong kháng cáo này, Seinfeld khẳng định rằng “phán quyết của Tòa án Chancery dựng lên một rào cản không thể vượt qua đối với cổ đông thiểu số của một công ty đại chúng.” Seinfeld lập luận rằng:</w:t>
      </w:r>
    </w:p>
    <w:p>
      <w:pPr>
        <w:spacing w:after="80"/>
      </w:pPr>
      <w:r>
        <w:rPr>
          <w:b w:val="0"/>
          <w:i w:val="0"/>
        </w:rPr>
        <w:t xml:space="preserve">Tòa án này và Tòa án Chancery đã hướng dẫn các cổ đông sử dụng 220 như một trong những công cụ sẵn có. Tuy nhiên, Tòa án Chancery ở đây, khi yêu cầu </w:t>
      </w:r>
      <w:r>
        <w:rPr>
          <w:b w:val="0"/>
          <w:i/>
        </w:rPr>
        <w:t>bằng chứng</w:t>
      </w:r>
      <w:r>
        <w:rPr>
          <w:b w:val="0"/>
          <w:i w:val="0"/>
        </w:rPr>
        <w:t>, biến một đơn xin theo mục 220 thành ảo ảnh. Nếu cổ đông có bằng chứng, thì một vụ kiện phái sinh đã được đưa ra. Trừ khi có người tố giác, hoặc có băng video, cổ đông đại chúng, vốn không có quyền tiếp cận hồ sơ công ty, sẽ chỉ có những nghi ngờ.</w:t>
      </w:r>
    </w:p>
    <w:p>
      <w:pPr>
        <w:spacing w:after="80"/>
      </w:pPr>
      <w:r>
        <w:rPr>
          <w:b w:val="0"/>
          <w:i w:val="0"/>
        </w:rPr>
        <w:t>Việc điều tra các cáo buộc có căn cứ về khả năng quản lý yếu kém, lãng phí hoặc hành vi sai trái mang lại lợi ích cho công ty, nhưng những cuộc điều tra là “những chuyến câu cá bừa bãi” thì không. “Đến một lúc nào đó, chi phí tạo ra thêm thông tin không còn tương xứng với lợi ích của việc có thêm thông tin. Tại thời điểm đó, việc buộc phải cung cấp thông tin sẽ làm giảm của cải, và do đó các cổ đông sẽ không muốn nó được tạo ra.” Theo đó, Tòa án này đã phán quyết rằng một cuộc kiểm tra để điều tra hành vi sai trái có thể xảy ra khi không có “cơ sở đáng tin cậy” là một giấy phép cho “những chuyến câu cá bừa bãi” và do đó đi ngược lại lợi ích của công ty:</w:t>
      </w:r>
    </w:p>
    <w:p>
      <w:pPr>
        <w:spacing w:after="80"/>
      </w:pPr>
      <w:r>
        <w:rPr>
          <w:b w:val="0"/>
          <w:i w:val="0"/>
        </w:rPr>
        <w:t>Cổ đông có quyền ít nhất là được điều tra hạn chế vào sổ sách và hồ sơ khi họ đã thiết lập được một số cơ sở đáng tin cậy để tin rằng đã có hành vi sai trái. . . . Tuy nhiên, việc mở cửa hoạt động quản lý công ty cho những chuyến câu cá bừa bãi sẽ mời gọi sự tai hại.</w:t>
      </w:r>
    </w:p>
    <w:p>
      <w:pPr>
        <w:spacing w:after="80"/>
      </w:pPr>
      <w:r>
        <w:rPr>
          <w:b w:val="0"/>
          <w:i w:val="0"/>
        </w:rPr>
        <w:t>Cổ đông “không bắt buộc phải chứng minh bằng ưu thế chứng cứ rằng lãng phí và [sự] quản lý yếu kém đang thực sự diễn ra.” Cổ đông chỉ cần chứng minh, bằng ưu thế chứng cứ, một cơ sở đáng tin cậy mà từ đó Tòa án Chancery có thể suy luận rằng có khả năng quản lý yếu kém đáng để điều tra thêm—một sự chứng minh “cuối cùng có thể còn kém xa việc chứng minh rằng bất cứ điều gì sai trái đã xảy ra.” Ngưỡng đó “có thể được thỏa mãn bằng một sự chứng minh đáng tin cậy, thông qua tài liệu, logic, lời khai hoặc cách khác, rằng có những vấn đề chính đáng về hành vi sai trái.”</w:t>
      </w:r>
    </w:p>
    <w:p>
      <w:pPr>
        <w:spacing w:after="80"/>
      </w:pPr>
      <w:r>
        <w:rPr>
          <w:b w:val="0"/>
          <w:i w:val="0"/>
        </w:rPr>
        <w:t xml:space="preserve">Mặc dù ngưỡng đối với một cổ đông trong một thủ tục theo mục 220 không phải là nhỏ, tiêu chuẩn “cơ sở đáng tin cậy” đặt ra nghĩa vụ chứng minh thấp nhất có thể. Cách duy nhất để giảm nghĩa vụ chứng minh hơn nữa sẽ là loại bỏ bất kỳ yêu cầu nào buộc cổ đông phải đưa ra </w:t>
      </w:r>
      <w:r>
        <w:rPr>
          <w:b w:val="0"/>
          <w:i/>
        </w:rPr>
        <w:t>một số bằng chứng</w:t>
      </w:r>
      <w:r>
        <w:rPr>
          <w:b w:val="0"/>
          <w:i w:val="0"/>
        </w:rPr>
        <w:t xml:space="preserve"> về hành vi sai trái có thể xảy ra. Điều đó sẽ tương đương với việc cho phép kiểm tra dựa trên tiêu chuẩn “chỉ nghi ngờ” mà Seinfeld đưa ra trong kháng cáo này. Tuy nhiên, một tiêu chuẩn như vậy đã nhiều lần bị bác bỏ như một cơ sở để biện minh cho chi phí doanh nghiệp của một cuộc kiểm tra.</w:t>
      </w:r>
    </w:p>
    <w:p>
      <w:pPr>
        <w:spacing w:after="80"/>
      </w:pPr>
      <w:r>
        <w:rPr>
          <w:b w:val="0"/>
          <w:i w:val="0"/>
        </w:rPr>
        <w:t xml:space="preserve">Ở Delaware và những nơi khác, tiêu chuẩn “cơ sở đáng tin cậy từ một số bằng chứng” là luật đã được định sẵn. Theo học thuyết </w:t>
      </w:r>
      <w:r>
        <w:rPr>
          <w:b w:val="0"/>
          <w:i/>
        </w:rPr>
        <w:t>stare decisis</w:t>
      </w:r>
      <w:r>
        <w:rPr>
          <w:b w:val="0"/>
          <w:i w:val="0"/>
        </w:rPr>
        <w:t xml:space="preserve"> , luật đã định sẵn chỉ bị bãi bỏ “vì những lý do cấp bách và khi có sự biểu hiện rõ ràng của sai sót.” Việc xem xét các án lệ đã áp dụng tiêu chuẩn “cơ sở đáng tin cậy” bác bỏ tiền đề của Seinfeld rằng việc yêu cầu “một số bằng chứng” tạo thành một rào cản không thể vượt qua đối với các cổ đông khẳng định quyền kiểm tra theo mục 220.</w:t>
      </w:r>
    </w:p>
    <w:p>
      <w:pPr>
        <w:spacing w:after="80"/>
      </w:pPr>
      <w:r>
        <w:rPr>
          <w:b w:val="0"/>
          <w:i w:val="0"/>
        </w:rPr>
        <w:t xml:space="preserve">Việc yêu cầu cổ đông thiết lập một “cơ sở đáng tin cậy” để Tòa án Chancery suy luận về hành vi sai trái có thể xảy ra bằng cách trình bày “một số bằng chứng” đã không cản trở việc kiểm tra của cổ đông. Mặc dù nhiều thủ tục theo mục 220 đã được đệ trình kể từ khi chúng tôi ra phán quyết </w:t>
      </w:r>
      <w:r>
        <w:rPr>
          <w:b w:val="0"/>
          <w:i/>
        </w:rPr>
        <w:t>Security First</w:t>
      </w:r>
      <w:r>
        <w:rPr>
          <w:b w:val="0"/>
          <w:i w:val="0"/>
        </w:rPr>
        <w:t xml:space="preserve"> và </w:t>
      </w:r>
      <w:r>
        <w:rPr>
          <w:b w:val="0"/>
          <w:i/>
        </w:rPr>
        <w:t>Thomas &amp; Betts</w:t>
      </w:r>
      <w:r>
        <w:rPr>
          <w:b w:val="0"/>
          <w:i w:val="0"/>
        </w:rPr>
        <w:t xml:space="preserve"> , Verizon chỉ ra rằng vụ án của Seinfeld chỉ là thủ tục thứ hai trong đó yêu cầu của nguyên đơn nhằm điều tra hành vi sai trái bị phát hiện là </w:t>
      </w:r>
      <w:r>
        <w:rPr>
          <w:b w:val="0"/>
          <w:i/>
        </w:rPr>
        <w:t>hoàn toàn</w:t>
      </w:r>
      <w:r>
        <w:rPr>
          <w:b w:val="0"/>
          <w:i w:val="0"/>
        </w:rPr>
        <w:t xml:space="preserve"> không có “cơ sở đáng tin cậy.” Ngược lại, có vô số vụ án mà cổ đông đã trình bày thành công “một số bằng chứng” để thiết lập một “cơ sở đáng tin cậy” nhằm suy luận về khả năng quản lý yếu kém và do đó nhận được một số quyền kiểm tra được điều chỉnh chặt chẽ.</w:t>
      </w:r>
    </w:p>
    <w:p>
      <w:pPr>
        <w:spacing w:after="80"/>
      </w:pPr>
      <w:r>
        <w:rPr>
          <w:b w:val="0"/>
          <w:i w:val="0"/>
        </w:rPr>
        <w:t xml:space="preserve">Chúng tôi vẫn tin chắc rằng quyền của cổ đông và lợi ích của công ty trong một thủ tục theo mục 220 được cân bằng đúng đắn bằng cách yêu cầu cổ đông đưa ra “một số bằng chứng về khả năng quản lý yếu kém đáng để điều tra thêm.” Tiêu chuẩn “cơ sở đáng tin cậy” tối đa hóa giá trị cổ đông bằng cách giới hạn phạm vi kiểm tra được phép của cổ đông vào những trường hợp có thể có căn cứ. Theo đó, các phán quyết của chúng tôi trong </w:t>
      </w:r>
      <w:r>
        <w:rPr>
          <w:b w:val="0"/>
          <w:i/>
        </w:rPr>
        <w:t>Security First</w:t>
      </w:r>
      <w:r>
        <w:rPr>
          <w:b w:val="0"/>
          <w:i w:val="0"/>
        </w:rPr>
        <w:t xml:space="preserve"> và </w:t>
      </w:r>
      <w:r>
        <w:rPr>
          <w:b w:val="0"/>
          <w:i/>
        </w:rPr>
        <w:t>Thomas &amp; Betts</w:t>
      </w:r>
      <w:r>
        <w:rPr>
          <w:b w:val="0"/>
          <w:i w:val="0"/>
        </w:rPr>
        <w:t xml:space="preserve"> được phê chuẩn và tái khẳng định.</w:t>
      </w:r>
    </w:p>
    <w:p>
      <w:pPr>
        <w:pStyle w:val="Heading5"/>
      </w:pPr>
      <w:r>
        <w:rPr>
          <w:rFonts w:ascii="Calibri" w:hAnsi="Calibri"/>
          <w:b/>
          <w:i/>
          <w:sz w:val="22"/>
        </w:rPr>
        <w:t>Nhận xét và Câu hỏi</w:t>
      </w:r>
    </w:p>
    <w:p>
      <w:pPr>
        <w:spacing w:after="80"/>
      </w:pPr>
      <w:r>
        <w:rPr>
          <w:b w:val="0"/>
          <w:i w:val="0"/>
        </w:rPr>
        <w:t>1. Tiêu chuẩn "cơ sở đáng tin cậy" (credible basis) là một yêu cầu do tòa án tạo ra, một ví dụ về thông luật (common law) trong thực tiễn. Mục đích của yêu cầu này là gì? Nó có tác động như thế nào đến các yêu cầu thanh tra? Liệu tiêu chuẩn này có cần thiết, như tòa án gợi ý ở đây, để tránh một "cuộc câu cá" (fishing expedition) hay không?</w:t>
      </w:r>
    </w:p>
    <w:p>
      <w:pPr>
        <w:spacing w:after="80"/>
      </w:pPr>
      <w:r>
        <w:rPr>
          <w:b w:val="0"/>
          <w:i w:val="0"/>
        </w:rPr>
        <w:t>2. Tiêu chuẩn này đặt ra gánh nặng gì lên các cổ đông? Tòa án mô tả tiêu chuẩn chứng cứ này là đặt ra "mức gánh nặng chứng minh thấp nhất có thể". Điều đó gợi ý rằng đây là một tiêu chuẩn dễ đáp ứng. Bạn có đồng ý không?</w:t>
      </w:r>
    </w:p>
    <w:p>
      <w:pPr>
        <w:spacing w:after="80"/>
      </w:pPr>
      <w:r>
        <w:rPr>
          <w:b w:val="0"/>
          <w:i w:val="0"/>
        </w:rPr>
        <w:t>3. Các cổ đông sẽ cần loại bằng chứng nào để có thể thanh tra các tài liệu liên quan đến thù lao điều hành? Khả năng có được loại thông tin này ở giai đoạn khởi kiện (pleading stage) sẽ cao đến mức nào?</w:t>
      </w:r>
    </w:p>
    <w:p>
      <w:pPr>
        <w:spacing w:after="80"/>
      </w:pPr>
      <w:r>
        <w:rPr>
          <w:b w:val="0"/>
          <w:i w:val="0"/>
        </w:rPr>
        <w:t>4. Tiêu chuẩn cơ sở đáng tin cậy vận hành như thế nào trong bối cảnh cần chứng minh một mục đích chính đáng thông qua các cáo buộc vi phạm nghĩa vụ tín thác (breach of fiduciary duty)? Cần loại bằng chứng nào để chứng minh sự vi phạm như vậy? Loại thông tin đó có thường sẵn có không?</w:t>
      </w:r>
    </w:p>
    <w:p>
      <w:pPr>
        <w:spacing w:after="80"/>
      </w:pPr>
      <w:r>
        <w:rPr>
          <w:b w:val="0"/>
          <w:i w:val="0"/>
        </w:rPr>
        <w:t>5. Liệu có cách nào tốt hơn để đạt được cùng mục đích không? Ví dụ, có nên có một yêu cầu rằng việc thanh tra chỉ giới hạn cho các cổ đông lớn sở hữu hơn một tỷ lệ cổ phần nhất định (chẳng hạn 5% hoặc 10%) mà không cần chứng minh mục đích chính đáng hay không?</w:t>
      </w:r>
    </w:p>
    <w:p>
      <w:pPr>
        <w:spacing w:after="80"/>
      </w:pPr>
      <w:r>
        <w:rPr>
          <w:b w:val="0"/>
          <w:i w:val="0"/>
        </w:rPr>
        <w:t>—————</w:t>
      </w:r>
    </w:p>
    <w:p>
      <w:pPr>
        <w:spacing w:after="80"/>
      </w:pPr>
      <w:r>
        <w:rPr>
          <w:b w:val="0"/>
          <w:i w:val="0"/>
        </w:rPr>
        <w:t>Trong một thời đại mà toàn cầu lo ngại về lao động trẻ em, môi trường và các vấn đề liên quan khác, yêu cầu về mục đích chính đáng và cơ sở đáng tin cậy dường như sẽ tạo ra rào cản đối với việc thu thập thông tin về sự tham gia hoặc nhận thức của một công ty đối với những loại hoạt động này. Vụ án tiếp theo cho thấy điều này không phải lúc nào cũng đúng.</w:t>
      </w:r>
    </w:p>
    <w:p>
      <w:pPr>
        <w:pStyle w:val="Heading4"/>
      </w:pPr>
      <w:r>
        <w:rPr>
          <w:rFonts w:ascii="Calibri" w:hAnsi="Calibri"/>
          <w:b/>
          <w:i w:val="0"/>
          <w:sz w:val="23"/>
        </w:rPr>
        <w:t>Louisiana Municipal Police Employees Retirement System v.</w:t>
      </w:r>
      <w:r>
        <w:br/>
      </w:r>
      <w:r>
        <w:rPr>
          <w:rFonts w:ascii="Calibri" w:hAnsi="Calibri"/>
          <w:b/>
          <w:i w:val="0"/>
          <w:sz w:val="23"/>
        </w:rPr>
        <w:t xml:space="preserve"> The Hershey Co.</w:t>
      </w:r>
    </w:p>
    <w:p>
      <w:pPr>
        <w:spacing w:after="80"/>
      </w:pPr>
      <w:r>
        <w:rPr>
          <w:b w:val="0"/>
          <w:i w:val="0"/>
        </w:rPr>
        <w:t>Tòa án Chancery Delaware</w:t>
      </w:r>
      <w:r>
        <w:br/>
      </w:r>
      <w:r>
        <w:rPr>
          <w:b w:val="0"/>
          <w:i w:val="0"/>
        </w:rPr>
        <w:t xml:space="preserve"> Số vụ án Civ. Action No. 7996-ML, ngày 18 tháng 3 năm 2014</w:t>
      </w:r>
    </w:p>
    <w:p>
      <w:pPr>
        <w:spacing w:after="80"/>
      </w:pPr>
      <w:r>
        <w:rPr>
          <w:b w:val="0"/>
          <w:i w:val="0"/>
        </w:rPr>
        <w:t>LASTER , PHÓ CHÁNH ÁN :</w:t>
      </w:r>
    </w:p>
    <w:p>
      <w:pPr>
        <w:spacing w:after="80"/>
      </w:pPr>
      <w:r>
        <w:rPr>
          <w:b w:val="0"/>
          <w:i w:val="0"/>
        </w:rPr>
        <w:t>[Nguyên đơn tìm cách thanh tra một số tài liệu nhất định. Một Thẩm phán được phân công xử vụ án đã bác bỏ yêu cầu. Nguyên đơn phản đối báo cáo của Thẩm phán và kháng cáo lên Tòa án Chancery. Về Báo cáo của Thẩm phán, xem Louisiana Mun. Police Emp. Ret. Sys. v. Hershey, DEFAX Case No. D66011 (Del. Ch. Nov. 8, 2013)].</w:t>
      </w:r>
    </w:p>
    <w:p>
      <w:pPr>
        <w:spacing w:after="80"/>
      </w:pPr>
      <w:r>
        <w:rPr>
          <w:b w:val="0"/>
          <w:i w:val="0"/>
        </w:rPr>
        <w:t>Đơn khởi kiện yêu cầu một lệnh cho phép LAMPERS thanh tra và sao chép một số sổ sách và hồ sơ nhất định được nêu trong thư yêu cầu của mình. Về cơ bản, đơn khởi kiện tìm kiếm thêm thông tin.</w:t>
      </w:r>
    </w:p>
    <w:p>
      <w:pPr>
        <w:spacing w:after="80"/>
      </w:pPr>
      <w:r>
        <w:rPr>
          <w:b w:val="0"/>
          <w:i w:val="0"/>
        </w:rPr>
        <w:t>Ở đây, những gì tôi xem là các cáo buộc thực tế then chốt của đơn khởi kiện: Hershey kiểm soát 42 phần trăm thị trường sản phẩm sô-cô-la tại Hoa Kỳ và là một nhân tố lớn trong ngành công nghiệp sô-cô-la trên toàn thế giới. Ca cao là nguyên liệu chính được sử dụng để sản xuất sô-cô-la. Các quốc gia Tây Phi, bao gồm Ghana và Bờ Biển Ngà, cung cấp 70 phần trăm ca cao của thế giới. Các quốc gia cung ứng chính của Hershey bao gồm Ghana và Bờ Biển Ngà, cũng như các quốc gia Tây Phi khác.</w:t>
      </w:r>
    </w:p>
    <w:p>
      <w:pPr>
        <w:spacing w:after="80"/>
      </w:pPr>
      <w:r>
        <w:rPr>
          <w:b w:val="0"/>
          <w:i w:val="0"/>
        </w:rPr>
        <w:t>Hershey nhận thức rõ về việc sử dụng tràn lan lao động cưỡng bức trẻ em ở Ghana và Bờ Biển Ngà. Và tôi không nói điều đó theo nghĩa xấu. Một phần những gì các cáo buộc trong đơn khởi kiện cho thấy là Hershey đang tham gia vào các bước nhằm cố gắng giải quyết những vấn đề này. Nhưng dù vậy, vì mục đích của kiến nghị này, đã được xác lập rằng Hershey nhận thức được việc sử dụng tràn lan lao động trẻ em và lao động cưỡng bức ở Ghana và Bờ Biển Ngà.</w:t>
      </w:r>
    </w:p>
    <w:p>
      <w:pPr>
        <w:spacing w:after="80"/>
      </w:pPr>
      <w:r>
        <w:rPr>
          <w:b w:val="0"/>
          <w:i w:val="0"/>
        </w:rPr>
        <w:t>Luật pháp của Ghana và Bờ Biển Ngà cấm người sử dụng lao động ép buộc trẻ em tham gia vào các hoạt động nguy hiểm như mang vác vật nặng, dọn đất, những việc đại loại như vậy đòi hỏi sử dụng các công cụ sắc bén như dao rựa, tất cả những thứ vốn phổ biến trong sản xuất ca cao. Những luật đó thường xuyên bị vi phạm; do đó, việc sử dụng lao động trẻ em và lao động cưỡng bức thực sự là tràn lan.</w:t>
      </w:r>
    </w:p>
    <w:p>
      <w:pPr>
        <w:spacing w:after="80"/>
      </w:pPr>
      <w:r>
        <w:rPr>
          <w:b w:val="0"/>
          <w:i w:val="0"/>
        </w:rPr>
        <w:t>Năm 2001, Hershey và các công ty khác đã ký Nghị định thư Harkin-Engel, trong đó đặt ra mục tiêu loại bỏ các hình thức lao động trẻ em tồi tệ nhất trong ngành ca cao ở Ghana và Bờ Biển Ngà. Có một mục tiêu rằng đến ngày 1 tháng 7 năm 2005, liên minh này sẽ xây dựng và triển khai các tiêu chuẩn tự nguyện toàn ngành đáng tin cậy, được các bên chấp nhận, để chứng nhận công khai rằng hạt ca cao và các sản phẩm phái sinh đã được trồng và/hoặc chế biến mà không có bất kỳ hình thức lao động trẻ em tồi tệ nhất nào.</w:t>
      </w:r>
    </w:p>
    <w:p>
      <w:pPr>
        <w:spacing w:after="80"/>
      </w:pPr>
      <w:r>
        <w:rPr>
          <w:b w:val="0"/>
          <w:i w:val="0"/>
        </w:rPr>
        <w:t>Hãy để ý ngày tháng. Năm 2001. Giờ thì trong bản tóm tắt lập luận của Hershey có thảo luận rằng "Này, nghị định thư đã được thay đổi rồi. Quý vị không thể cáo buộc vi phạm nghị định thư," v.v. Đó không phải là điều mà nguyên đơn dựa vào. Nguyên đơn viện dẫn nghị định thư để chứng minh rằng Hershey đã nhận thức được vấn đề này từ lâu và đã có những nỗ lực không thành công để giải quyết vấn đề này. Và, một lần nữa, tôi sẽ nói điều này xuyên suốt. Điều này không nhất thiết có nghĩa là Hershey là một công ty tồi. Những gì chúng ta đang xử lý ở đây là một yêu cầu cung cấp thêm thông tin, như tôi sẽ trình bày sau, dựa trên khả năng có hành vi sai trái. Vậy nghị định thư tôi vừa nhắc đến là năm 2001.</w:t>
      </w:r>
    </w:p>
    <w:p>
      <w:pPr>
        <w:spacing w:after="80"/>
      </w:pPr>
      <w:r>
        <w:rPr>
          <w:b w:val="0"/>
          <w:i w:val="0"/>
        </w:rPr>
        <w:t>Ngày 31 tháng 3 năm 2011, Trung tâm Phát triển Quốc tế Payson thuộc Đại học Tulane đã công bố một báo cáo về tình trạng lao động trẻ em vẫn còn phổ biến trong ngành ca cao. Đây là 10 năm sau nghị định thư. Về cơ bản Báo cáo Payson ghi lại tất cả những tệ nạn tồi tệ nhất mà người ta có thể hình dung về vấn đề này. Gần 2 triệu trẻ em làm việc bất hợp pháp trên các nông trại ca cao. Có bằng chứng về việc vi phạm luật chống buôn người trên diện rộng. Theo Báo cáo Payson, Ghana và Bờ Biển Ngà là những điểm đến phổ biến của trẻ em bị buôn bán. Một lần nữa, đây đều là những tài liệu mà với mục đích của một kiến nghị bác bỏ đơn kiện, chúng hỗ trợ suy luận rằng việc sử dụng lao động trẻ em và lao động cưỡng bức diễn ra tràn lan ở Ghana và Bờ Biển Ngà, và rằng Hershey nhận thức được vấn đề này.</w:t>
      </w:r>
    </w:p>
    <w:p>
      <w:pPr>
        <w:spacing w:after="80"/>
      </w:pPr>
      <w:r>
        <w:rPr>
          <w:b w:val="0"/>
          <w:i w:val="0"/>
        </w:rPr>
        <w:t>Giờ thì, bất chấp nỗ lực bắt đầu từ năm 2001 nhằm đưa ra các tiêu chuẩn tự nguyện để mọi người có thể chứng nhận rằng ca cao của họ được sử dụng mà không có các hình thức lao động trẻ em tồi tệ nhất, vẫn chưa có quy trình chứng nhận nào. Có dấu hiệu cho thấy một nhà cung cấp, Cadbury's, đã thực hiện một hình thức chứng nhận nào đó. Hershey thì chưa. Ngày 3 tháng 10 năm 2012, Hershey tuyên bố rằng đến năm 2020 họ sẽ chứng nhận rằng các sản phẩm sô-cô-la của mình không chứa ca cao bị ô nhiễm bởi lao động trẻ em và các vi phạm buôn người. Như tôi đã thảo luận với luật sư, tôi nghĩ từ tất cả những điều này, hoàn toàn hợp lý để suy luận ở giai đoạn tranh tụng—và cuối cùng luật sư cũng không phản đối—rằng hiện tại Hershey phải thừa nhận rằng một phần ca cao của mình được sản xuất thông qua lao động trẻ em và bởi những cá nhân là nạn nhân của buôn người.</w:t>
      </w:r>
    </w:p>
    <w:p>
      <w:pPr>
        <w:spacing w:after="80"/>
      </w:pPr>
      <w:r>
        <w:rPr>
          <w:b w:val="0"/>
          <w:i w:val="0"/>
        </w:rPr>
        <w:t>Nếu tôi gọi đến trường học của con gái tôi và nói, "Cô có thể xác nhận cho tôi rằng không có ai trong danh sách nhân viên có tiền án không?" và họ trả lời tôi, "Chúng tôi chưa thể làm điều đó bây giờ, nhưng chúng tôi hy vọng có thể làm được vào năm 2020," thì tôi sẽ suy luận rằng hiện tại họ không thể làm được và có lẽ có ai đó ở trường có tiền án. Điều đó có thể tốt hoặc không tốt. Hy vọng rằng người đó đã trả xong nợ cho xã hội và không còn là mối đe dọa nữa, v.v. Nhưng tôi sẽ suy luận như vậy, và tôi nghĩ đó là một suy luận hợp lý.</w:t>
      </w:r>
    </w:p>
    <w:p>
      <w:pPr>
        <w:spacing w:after="80"/>
      </w:pPr>
      <w:r>
        <w:rPr>
          <w:b w:val="0"/>
          <w:i w:val="0"/>
        </w:rPr>
        <w:t>Các cổ đông của Hershey cũng đã nêu lên những lo ngại về việc sử dụng lao động trẻ em trong chuỗi cung ứng của Hershey, cũng như những người khác đang đưa ra suy luận đó. Bất chấp những lo ngại này, Hershey đã từ chối cung cấp bất kỳ chi tiết nào về nguồn ca cao của mình, hoặc tiết lộ các nhà cung cấp, hoặc cung cấp thông tin để người ta có thể đánh giá bản chất mức độ liên quan của Hershey trong chuỗi cung ứng.</w:t>
      </w:r>
    </w:p>
    <w:p>
      <w:pPr>
        <w:spacing w:after="80"/>
      </w:pPr>
      <w:r>
        <w:rPr>
          <w:b w:val="0"/>
          <w:i w:val="0"/>
        </w:rPr>
        <w:t>Tuy nhiên, như tôi đã thảo luận với luật sư, ở giai đoạn tranh tụng, người ta có thể suy luận rằng mối liên hệ này khá chặt chẽ, bởi vì Hershey ca ngợi việc mình giám sát các nhà cung cấp, rằng mình có các chương trình gồm nhiều phần để đảm bảo các nhà cung cấp đang làm hết sức mình để tuân thủ quy tắc ứng xử của Hershey—mà họ yêu cầu nhà cung cấp phải ký—và rằng Hershey loại bỏ các nhà cung cấp khi phát hiện vi phạm.</w:t>
      </w:r>
    </w:p>
    <w:p>
      <w:pPr>
        <w:spacing w:after="80"/>
      </w:pPr>
      <w:r>
        <w:rPr>
          <w:b w:val="0"/>
          <w:i w:val="0"/>
        </w:rPr>
        <w:t>Tất cả những điều đó đều thực sự tốt, đừng hiểu lầm tôi. Nhưng tất cả những điều đó cũng hỗ trợ một suy luận hợp lý ở giai đoạn tranh tụng rằng Hershey có sự tham gia sâu và kiểm soát chuỗi cung ứng của mình. Đó không phải là một suy luận cực đoan, xét đến vị thế dẫn đầu thị trường và thị phần thống trị mà Hershey đang có và đang nắm giữ.</w:t>
      </w:r>
    </w:p>
    <w:p>
      <w:pPr>
        <w:spacing w:after="80"/>
      </w:pPr>
      <w:r>
        <w:rPr>
          <w:b w:val="0"/>
          <w:i w:val="0"/>
        </w:rPr>
        <w:t>. . . Như Tòa án Tối cao Delaware đã phán quyết trong vụ Central Mortgage kiện Morgan Stanley, tiêu chuẩn tranh tụng chi phối là khả năng hình dung hợp lý. . . .</w:t>
      </w:r>
    </w:p>
    <w:p>
      <w:pPr>
        <w:spacing w:after="80"/>
      </w:pPr>
      <w:r>
        <w:rPr>
          <w:b w:val="0"/>
          <w:i w:val="0"/>
        </w:rPr>
        <w:t>Do đó, tiêu chuẩn khả năng hình dung đặt câu hỏi liệu có "một khả năng" rằng các cáo buộc trong đơn kiện có thể hỗ trợ cho việc được xử lý theo yêu cầu hay không. . . . Tiêu chuẩn khả năng đó giao thoa với một tiêu chuẩn khả năng khác để tạo ra ở giai đoạn tố tụng này một khả năng kép. Mục 220 của DGCL cho phép cổ đông được xem xét sổ sách và hồ sơ của công ty vì bất kỳ mục đích chính đáng nào. Đã được khẳng định rõ ràng rằng việc điều tra hành vi quản lý yếu kém là một mục đích chính đáng. Người ta có thể tham khảo nhiều phán quyết của Tòa án Tối cao về điều đó. Phép thử có hiệu lực về những gì cổ đông phải chứng minh để thiết lập cơ sở xem xét sổ sách và hồ sơ nhằm điều tra hành vi sai trái có thể xảy ra là vụ Seinfeld kiện Verizon Communications. Seinfeld nói như sau:</w:t>
      </w:r>
    </w:p>
    <w:p>
      <w:pPr>
        <w:spacing w:after="80"/>
      </w:pPr>
      <w:r>
        <w:rPr>
          <w:b w:val="0"/>
          <w:i w:val="0"/>
        </w:rPr>
        <w:t>"Một cổ đông không bắt buộc phải chứng minh bằng chứng cứ vượt trội rằng sự lãng phí và quản lý yếu kém đang thực sự diễn ra. Cổ đông chỉ cần chứng minh bằng chứng cứ vượt trội một cơ sở đáng tin cậy để Tòa án Chancery có thể suy luận rằng có thể có hành vi quản lý yếu kém cần được điều tra thêm—một sự chứng minh mà cuối cùng có thể còn kém xa việc chứng minh rằng có bất kỳ điều gì sai trái đã xảy ra. Ngưỡng đó có thể được thỏa mãn bằng một sự chứng minh đáng tin cậy thông qua tài liệu, logic, lời khai hoặc cách khác rằng có những vấn đề chính đáng về hành vi sai trái." . . .</w:t>
      </w:r>
    </w:p>
    <w:p>
      <w:pPr>
        <w:spacing w:after="80"/>
      </w:pPr>
      <w:r>
        <w:rPr>
          <w:b w:val="0"/>
          <w:i w:val="0"/>
        </w:rPr>
        <w:t>Vậy, một lần nữa, chúng ta đã có "có thể" và các suy luận nghiêng về phía nguyên đơn nhờ tiêu chuẩn của kiến nghị bác bỏ đơn kiện. Rồi tiêu chuẩn về nội dung vụ việc là, để nhắc lại, "Một cổ đông không bắt buộc phải chứng minh rằng sự lãng phí và quản lý yếu kém đang thực sự diễn ra." Cổ đông chỉ cần cung cấp một cơ sở hợp lý để tôi có thể suy luận—ở đây tôi trích dẫn—"hành vi quản lý yếu kém có thể xảy ra." Và theo lời của Tòa án Tối cao Delaware, tiêu chuẩn cho hành vi quản lý yếu kém có thể xảy ra đòi hỏi một sự chứng minh mà cuối cùng có thể "còn kém xa"—không phải lời tôi; mà là lời của họ—"còn kém xa việc chứng minh rằng có bất kỳ điều gì sai trái đã xảy ra."</w:t>
      </w:r>
    </w:p>
    <w:p>
      <w:pPr>
        <w:spacing w:after="80"/>
      </w:pPr>
      <w:r>
        <w:rPr>
          <w:b w:val="0"/>
          <w:i w:val="0"/>
        </w:rPr>
        <w:t>Giờ thì, đáng buồn thay, tôi nghĩ khuyến nghị của Thẩm phán sơ cấp và bản lập luận của bị đơn liên tục tập trung vào việc liệu hành vi sai trái thực tế có xảy ra hay không. Tôi biết họ nói là họ không làm vậy, nhưng để tôi đưa ra vài trích dẫn. Vậy trang 15 của báo cáo của Thẩm phán sơ cấp và một trong những cơ sở chính cho khuyến nghị bác bỏ đơn kiện, bà ấy vừa xem xét một số sự kiện mà tôi đã trình bày cho quý vị, rồi nêu điều này: "Đáng chú ý, không có nguồn nào trong số này hay bất kỳ nguồn nào khác được nêu trong đơn kiện nói rằng Hershey đã vi phạm pháp luật hoặc đang bị điều tra vì có thể vi phạm pháp luật, cũng như không xác định được bất kỳ hành vi bất hợp pháp nào trong công ty." Hết trích dẫn.</w:t>
      </w:r>
    </w:p>
    <w:p>
      <w:pPr>
        <w:spacing w:after="80"/>
      </w:pPr>
      <w:r>
        <w:rPr>
          <w:b w:val="0"/>
          <w:i w:val="0"/>
        </w:rPr>
        <w:t>"Đã vi phạm pháp luật." "đang bị điều tra" "bất kỳ hành vi bất hợp pháp nào trong công ty." Điều đó rất khác với "hành vi quản lý yếu kém có thể xảy ra," thứ có thể "còn kém xa hành vi sai trái thực tế." . . . Mặc dù các nguồn trong đơn kiện—tôi sẽ trích dẫn—"trình bày chi tiết rất dài về những vi phạm pháp luật rất nghiêm trọng tại nhiều nông trại ở Bờ Biển Ngà và Ghana, không có bài báo nào trực tiếp liên quan đến Hershey trong hành vi đó." Đó không phải là tiêu chuẩn. "Trực tiếp liên quan" không phải là tiêu chuẩn. "Có thể," "hành vi sai trái có thể xảy ra" mới là tiêu chuẩn. . . .</w:t>
      </w:r>
    </w:p>
    <w:p>
      <w:pPr>
        <w:spacing w:after="80"/>
      </w:pPr>
      <w:r>
        <w:rPr>
          <w:b w:val="0"/>
          <w:i w:val="0"/>
        </w:rPr>
        <w:t>"Mối tương quan thống kê, tức là ý tưởng rằng Hershey mua rất nhiều ca cao và rất nhiều ca cao đến từ Ghana và Bờ Biển Ngà và rất nhiều ca cao bị ô nhiễm"—thật ra, tôi không nghĩ đó là mối tương quan thống kê. Đó là một chuỗi suy luận. Nhưng dù sao đi nữa, nó "hoàn toàn khác với những gì LAMPERS đưa ra trong vụ này, vốn chỉ là ngụy biện logic rằng vì một số ca cao được sản xuất bằng lao động trẻ em và Hershey mua một lượng lớn ca cao hoặc các sản phẩm phái sinh từ ca cao, nên Hershey ắt phải sử dụng các sản phẩm ca cao bị ô nhiễm bởi lao động trẻ em."</w:t>
      </w:r>
    </w:p>
    <w:p>
      <w:pPr>
        <w:spacing w:after="80"/>
      </w:pPr>
      <w:r>
        <w:rPr>
          <w:b w:val="0"/>
          <w:i w:val="0"/>
        </w:rPr>
        <w:t>Và đó không phải là "ắt phải." Mà là "có thể sử dụng," "có khả năng sử dụng." Ngay bên dưới đó, khuyến nghị nói, "Ngay cả khi tôi có thể đưa ra suy luận đó"—thật ra tôi nghĩ quý vị có thể đưa ra suy luận đó ở giai đoạn tranh tụng. "Ngay cả khi tôi có thể đưa ra suy luận đó, LAMPERS đã không cáo buộc một cơ sở đáng tin cậy để tôi có thể suy luận về hành vi sai trái." Vấn đề không phải là liệu quý vị có thể suy luận về hành vi sai trái hay không. Vấn đề là liệu quý vị có thể suy luận về hành vi sai trái có thể xảy ra hay không.</w:t>
      </w:r>
    </w:p>
    <w:p>
      <w:pPr>
        <w:spacing w:after="80"/>
      </w:pPr>
      <w:r>
        <w:rPr>
          <w:b w:val="0"/>
          <w:i w:val="0"/>
        </w:rPr>
        <w:t>“Cả bằng chứng lẫn các nguồn khác mà LAMPERS dựa vào đều không cung cấp bất kỳ cơ sở nào để Tòa án có thể kết luận rằng Hershey đã vi phạm pháp luật.” Đến giờ chắc các bạn đã ngán ngẩm với điệp khúc này rồi. Vấn đề không phải là “đã vi phạm pháp luật.”</w:t>
      </w:r>
    </w:p>
    <w:p>
      <w:pPr>
        <w:spacing w:after="80"/>
      </w:pPr>
      <w:r>
        <w:rPr>
          <w:b w:val="0"/>
          <w:i w:val="0"/>
        </w:rPr>
        <w:t>Mà là “có thể sẽ vi phạm pháp luật.” Điều này không phải do Thẩm phán chính (Master) tự nghĩ ra. Mà là vì Hershey đã liên tục đưa ra lập luận này. Vậy nên dù khuyến nghị của Hershey, cũng như của Thẩm phán chính, có viện dẫn tiêu chuẩn Seinfeld, thì mỗi khi bước vào phần áp dụng, họ luôn nói về việc liệu Hershey có thực sự đang vi phạm pháp luật hay không. Đó không phải là tiêu chuẩn kiểm tra.</w:t>
      </w:r>
    </w:p>
    <w:p>
      <w:pPr>
        <w:spacing w:after="80"/>
      </w:pPr>
      <w:r>
        <w:rPr>
          <w:b w:val="0"/>
          <w:i w:val="0"/>
        </w:rPr>
        <w:t>Vậy nên ở trang 2 trong bản tóm tắt lập luận của họ ở cấp dưới—và tôi sẽ không đưa ra nhiều ví dụ như vậy nữa—“Vấn đề đặt ra cho Tòa án”—tôi sẽ bỏ qua vài chữ—“là liệu nguyên đơn có đưa ra được bất kỳ cơ sở đáng tin cậy nào để tin rằng Hershey đang vi phạm bất kỳ luật, quy tắc hay quy định hiện hành nào hay không.” Không phải tiêu chuẩn kiểm tra. . . . “LAMPERS không đưa ra được cơ sở đáng tin cậy nào để Tòa án có thể suy luận rằng Hershey có bất kỳ hành vi vi phạm pháp luật nào.” Không phải tiêu chuẩn kiểm tra.</w:t>
      </w:r>
    </w:p>
    <w:p>
      <w:pPr>
        <w:spacing w:after="80"/>
      </w:pPr>
      <w:r>
        <w:rPr>
          <w:b w:val="0"/>
          <w:i w:val="0"/>
        </w:rPr>
        <w:t>“Đơn khởi kiện không chỉ không đưa ra được cơ sở đáng tin cậy nào để tin rằng các giám đốc hay cán bộ của Hershey đã cho phép bất kỳ hành vi sai trái nào, mà các cáo buộc và tài liệu mà đơn viện dẫn còn chứng minh một cách rõ ràng vai trò tích cực của hội đồng quản trị trong việc giám sát và quan tâm đến việc tuân thủ pháp luật của Hershey.” “[Đ]ã cho phép bất kỳ hành vi sai trái nào.” Không phải tiêu chuẩn kiểm tra. . . .</w:t>
      </w:r>
    </w:p>
    <w:p>
      <w:pPr>
        <w:spacing w:after="80"/>
      </w:pPr>
      <w:r>
        <w:rPr>
          <w:b w:val="0"/>
          <w:i w:val="0"/>
        </w:rPr>
        <w:t>“Điều còn thiếu trong đơn khởi kiện là bất kỳ cơ sở đáng tin cậy nào để suy luận rằng Hershey—chứ không phải một số nông dân trồng ca cao ở Ghana và Bờ Biển Ngà hay những người khác—đã vi phạm bất kỳ luật liên bang, tiểu bang hay nước ngoài nào, hoặc rằng các cán bộ hay giám đốc của Hershey đã có bất kỳ hành vi quản lý yếu kém nào.” Không phải tiêu chuẩn kiểm tra.</w:t>
      </w:r>
    </w:p>
    <w:p>
      <w:pPr>
        <w:spacing w:after="80"/>
      </w:pPr>
      <w:r>
        <w:rPr>
          <w:b w:val="0"/>
          <w:i w:val="0"/>
        </w:rPr>
        <w:t>“Đơn khởi kiện, vốn chỉ dựa vào các bài báo, Báo cáo Payson và các tuyên bố của Hershey, không đưa ra được bất kỳ cơ sở đáng tin cậy nào để suy luận rằng Hershey đã vi phạm bất kỳ luật nào hoặc đã sử dụng bất kỳ lao động trẻ em nào.” Không phải tiêu chuẩn kiểm tra.</w:t>
      </w:r>
    </w:p>
    <w:p>
      <w:pPr>
        <w:spacing w:after="80"/>
      </w:pPr>
      <w:r>
        <w:rPr>
          <w:b w:val="0"/>
          <w:i w:val="0"/>
        </w:rPr>
        <w:t>“Điều còn thiếu trong các báo cáo này là bất kỳ cáo buộc nào cho rằng bản thân Hershey đã vi phạm bất kỳ luật hiện hành nào hoặc sử dụng lao động trẻ em hay lao động cưỡng bức.” Không phải tiêu chuẩn kiểm tra.</w:t>
      </w:r>
    </w:p>
    <w:p>
      <w:pPr>
        <w:spacing w:after="80"/>
      </w:pPr>
      <w:r>
        <w:rPr>
          <w:b w:val="0"/>
          <w:i w:val="0"/>
        </w:rPr>
        <w:t>“LAMPERS không đưa ra được cơ sở đáng tin cậy nào để suy luận rằng Hershey đã thực hiện bất kỳ hành vi vi phạm pháp luật nào.” Tôi nghĩ các bạn biết tôi sắp nói gì rồi. Điều đó đã có trong các bản tóm tắt lập luận trước Thẩm phán chính. . . .</w:t>
      </w:r>
    </w:p>
    <w:p>
      <w:pPr>
        <w:spacing w:after="80"/>
      </w:pPr>
      <w:r>
        <w:rPr>
          <w:b w:val="0"/>
          <w:i w:val="0"/>
        </w:rPr>
        <w:t>Vậy hãy áp dụng tiêu chuẩn kiểm tra thực sự, đó là liệu có khả năng xảy ra quản lý yếu kém hay không, và liệu có thể hình dung được—dựa trên các cáo buộc trong đơn khởi kiện—rằng có khả năng xảy ra quản lý yếu kém hay không, bởi vì, hãy nhớ rằng, chúng ta đang ở đây với một đề nghị bác bỏ đơn kiện (motion to dismiss).</w:t>
      </w:r>
    </w:p>
    <w:p>
      <w:pPr>
        <w:spacing w:after="80"/>
      </w:pPr>
      <w:r>
        <w:rPr>
          <w:b w:val="0"/>
          <w:i w:val="0"/>
        </w:rPr>
        <w:t>Tôi nghĩ điều đó có nghĩa là, nếu ở giai đoạn này có hai suy luận cạnh tranh nhau từ các cáo buộc trong đơn khởi kiện, thì nguyên đơn được hưởng suy luận có lợi cho mình. Hơn nữa, suy luận mà các cáo buộc phải hỗ trợ không phải là có hành vi sai trái thực sự, mà là có hành vi sai trái có thể xảy ra. Tôi tin rằng mục đích của tiêu chuẩn khoan dung này là để đưa Mục 220 (Section 220) đến một phiên điều trần về nội dung vụ việc một cách nhanh chóng, nơi Tòa án thực sự có thể đưa ra các phán quyết về tính đầy đủ của bằng chứng và thực hiện kiểu cân nhắc mà Hershey nói rằng tiêu chuẩn cơ sở đáng tin cậy yêu cầu.</w:t>
      </w:r>
    </w:p>
    <w:p>
      <w:pPr>
        <w:spacing w:after="80"/>
      </w:pPr>
      <w:r>
        <w:rPr>
          <w:b w:val="0"/>
          <w:i w:val="0"/>
        </w:rPr>
        <w:t>Chánh án của chúng ta, khi còn là Thẩm phán Tòa án cấp cao (Chancellor), đã viết một số ý kiến nói rằng: “Này, việc thực hành đề nghị bác bỏ đơn kiện trong các vụ án theo Mục 220 thực sự rất kém hiệu quả, chính vì những lý do này.” Tôi nghĩ có thể tôi cũng đã nói điều đó vài lần. Không chỉ có chúng tôi. Vụ án này là một ví dụ điển hình cho điều đó. Đơn khởi kiện này được nộp vào ngày 1 tháng 11 năm 2012, cách đây 16, 17 tháng. Là một thủ tục rút gọn (summary proceeding), lẽ ra vụ này phải được đưa ra phiên điều trần về nội dung trong vòng 60 ngày và được giải quyết. Thay vào đó, chúng ta vẫn đang ở đây lê từng bước qua các đề nghị bác bỏ đơn kiện.</w:t>
      </w:r>
    </w:p>
    <w:p>
      <w:pPr>
        <w:spacing w:after="80"/>
      </w:pPr>
      <w:r>
        <w:rPr>
          <w:b w:val="0"/>
          <w:i w:val="0"/>
        </w:rPr>
        <w:t>Theo quan điểm của tôi, các cáo buộc trong đơn khởi kiện, khi được đọc theo cách có lợi gấp đôi cho nguyên đơn như yêu cầu ở tư thế tố tụng này, hỗ trợ một suy luận hợp lý về những hành vi vi phạm pháp luật có thể xảy ra mà Hershey có thể có liên quan. Và những khả năng đó là đủ, theo lời của Tòa án Tối cao của chúng ta, “để biện minh cho việc điều tra thêm.”</w:t>
      </w:r>
    </w:p>
    <w:p>
      <w:pPr>
        <w:spacing w:after="80"/>
      </w:pPr>
      <w:r>
        <w:rPr>
          <w:b w:val="0"/>
          <w:i w:val="0"/>
        </w:rPr>
        <w:t>Đúng là có thể các tài liệu mà Hershey cung cấp sẽ chứng minh rằng họ hoàn toàn không liên quan đến các hành vi vi phạm pháp luật. Đó là một phần mục đích của cuộc điều tra theo Mục 220, để một luật sư như ông Barry và thân chủ của ông có thể có được thông tin, đánh giá nó và nói rằng: “Bạn biết không. Chúng tôi đã có nghi ngờ. Chúng tôi đã có những nghi ngờ hợp lý, nhưng chúng tôi đã sai.” Đó là một trong những lý do tồn tại Mục 220.</w:t>
      </w:r>
    </w:p>
    <w:p>
      <w:pPr>
        <w:spacing w:after="80"/>
      </w:pPr>
      <w:r>
        <w:rPr>
          <w:b w:val="0"/>
          <w:i w:val="0"/>
        </w:rPr>
        <w:t>Vậy đâu là cơ sở đáng tin cậy cho hành vi sai trái? Như tôi đã nói, các cáo buộc trong đơn khởi kiện hỗ trợ một suy luận hợp lý rằng các sản phẩm của Hershey chứa ca cao và các thành phần có nguồn gốc từ ca cao là kết quả của lao động trẻ em và buôn bán người. Cũng có một suy luận hợp lý, một suy luận có thể xảy ra, rằng hội đồng quản trị biết một số ca cao và thành phần có nguồn gốc từ ca cao của mình được lấy từ các trang trại bóc lột lao động trẻ em và sử dụng người bị buôn bán.</w:t>
      </w:r>
    </w:p>
    <w:p>
      <w:pPr>
        <w:spacing w:after="80"/>
      </w:pPr>
      <w:r>
        <w:rPr>
          <w:b w:val="0"/>
          <w:i w:val="0"/>
        </w:rPr>
        <w:t>Luật pháp của Ghana cấm lao động trẻ em mang tính bóc lột và buôn bán người. Đạo luật Trẻ em (Children's Act) cấm việc sử dụng lao động trẻ em mang tính bóc lột, định nghĩa trẻ em là người dưới 18 tuổi. Đạo luật Buôn bán Người (Human Trafficking Act) cấm việc sử dụng người bị buôn bán và cũng bao gồm nghĩa vụ thông báo. Một suy luận có thể xảy ra từ đơn khởi kiện là các nỗ lực phát triển bền vững ca cao của Hershey—mà đương nhiên và tất yếu đưa Hershey tiếp xúc với nông dân ở Tây Phi—dẫn đến việc Hershey biết về những trường hợp liên quan đến việc sử dụng trẻ em bị buôn bán tại các trang trại ca cao ở Ghana, điều lẽ ra đã kích hoạt nghĩa vụ thông báo. Đó không phải là suy luận có thể xảy ra duy nhất, nhưng là một suy luận có thể xảy ra. Và ở giai đoạn tố tụng này, tôi phải tin vào nó.</w:t>
      </w:r>
    </w:p>
    <w:p>
      <w:pPr>
        <w:spacing w:after="80"/>
      </w:pPr>
      <w:r>
        <w:rPr>
          <w:b w:val="0"/>
          <w:i w:val="0"/>
        </w:rPr>
        <w:t>Hershey không cung cấp bất kỳ thông tin nào về các nhà cung cấp của mình. Một suy luận có thể xảy ra—không phải suy luận duy nhất, nhưng là một suy luận có thể xảy ra—là các mối quan hệ của Hershey với các nhà cung cấp có thể hỗ trợ cho việc xác định hành vi sử dụng lao động cho một khiếu nại về tiếp tay (aiding and abetting). Không phải suy luận có thể xảy ra duy nhất, nhưng là một suy luận có thể xảy ra. Luật pháp của Bờ Biển Ngà cũng tương tự cấm lao động trẻ em mang tính bóc lột và buôn bán người. Và các tòa án ở Hoa Kỳ, đáng chú ý nhất là trong phán quyết Doe v. Nestle gần đây, đã công nhận rằng một công ty Hoa Kỳ có thể phải chịu trách nhiệm về việc tiếp tay cho các hành vi vi phạm luật quốc tế, chẳng hạn như nguyên tắc—hy vọng được công nhận phổ quát—chống lại việc sử dụng lao động trẻ em và buôn bán người. Giờ thì, như tôi đã nói, phản hồi của Hershey là lập luận rằng nguyên đơn chưa chứng minh được hành vi sai trái.</w:t>
      </w:r>
    </w:p>
    <w:p>
      <w:pPr>
        <w:spacing w:after="80"/>
      </w:pPr>
      <w:r>
        <w:rPr>
          <w:b w:val="0"/>
          <w:i w:val="0"/>
        </w:rPr>
        <w:t>Đó không phải là bài kiểm tra. Hershey's cũng đã nói rằng không có bằng chứng liên quan trực tiếp đến vụ việc, tức là liên quan trực tiếp đến sự dính líu của Hershey's. Tôi nghĩ bạn có thể rút ra suy luận từ việc Hershey's không thể tuyên bố rằng hiện tại họ chỉ sử dụng ca cao được chứng nhận và cam kết sẽ làm như vậy vào năm 2020. Tôi nghĩ bạn có thể rút ra suy luận về sự hiểu biết từ các nỗ lực phát triển bền vững ca cao của Hershey's, bao gồm tám "chương trình tại chỗ" (on-the-ground programs) mà qua đó Hershey's tiếp xúc với nông dân ở Tây Phi và các chuyến thăm cấp cao, chẳng hạn như các chuyến thăm của chủ tịch Hershey's.</w:t>
      </w:r>
    </w:p>
    <w:p>
      <w:pPr>
        <w:spacing w:after="80"/>
      </w:pPr>
      <w:r>
        <w:rPr>
          <w:b w:val="0"/>
          <w:i w:val="0"/>
        </w:rPr>
        <w:t>Bạn có thể rút ra suy luận từ một quyết định được đề cập trong đơn kiện của Whole Foods về việc ngừng bán thương hiệu Scharffen Berger của Hershey's vì Hershey's không thể chứng nhận. Một lần nữa, điều bạn không cần cho 220—và chắc chắn không phải ở giai đoạn yêu cầu bác bỏ đơn kiện—là một báo cáo nói rằng chính Hershey's đã vi phạm luật hiện hành này. Đó là khả năng, mà như Tòa án Tối cao Delaware của chúng ta đã nói, còn xa mới đạt tới hành vi sai trái thực sự.</w:t>
      </w:r>
    </w:p>
    <w:p>
      <w:pPr>
        <w:pStyle w:val="Heading5"/>
      </w:pPr>
      <w:r>
        <w:rPr>
          <w:rFonts w:ascii="Calibri" w:hAnsi="Calibri"/>
          <w:b/>
          <w:i/>
          <w:sz w:val="22"/>
        </w:rPr>
        <w:t>Bình luận và Câu hỏi</w:t>
      </w:r>
    </w:p>
    <w:p>
      <w:pPr>
        <w:spacing w:after="80"/>
      </w:pPr>
      <w:r>
        <w:rPr>
          <w:b w:val="0"/>
          <w:i w:val="0"/>
        </w:rPr>
        <w:t>1. Ở mức độ mà bản án mang lại cảm giác không chính thức, đó không phải là sai lầm. Thẩm phán trong vụ án này đã đưa ra phán quyết từ bục xét xử. Do đó, bản án trong vụ án này được lấy từ bản ghi biên bản.</w:t>
      </w:r>
    </w:p>
    <w:p>
      <w:pPr>
        <w:spacing w:after="80"/>
      </w:pPr>
      <w:r>
        <w:rPr>
          <w:b w:val="0"/>
          <w:i w:val="0"/>
        </w:rPr>
        <w:t>2. "Mục đích chính đáng" (proper purpose) trong vụ án này là gì? Bằng chứng nào cung cấp "cơ sở hợp lý" (reasonable basis) cho mục đích này? Lập luận trong vụ án này có thể được áp dụng như thế nào cho các lĩnh vực khác của nhân quyền quốc tế hoặc các vấn đề về trách nhiệm xã hội của doanh nghiệp?</w:t>
      </w:r>
    </w:p>
    <w:p>
      <w:pPr>
        <w:spacing w:after="80"/>
      </w:pPr>
      <w:r>
        <w:rPr>
          <w:b w:val="0"/>
          <w:i w:val="0"/>
        </w:rPr>
        <w:t>3. Khi xác định sự hiện diện của một cơ sở đáng tin cậy, tòa án dựa vào những gì họ coi là suy luận hợp lý được rút ra từ đơn kiện. Một suy luận là Hershey's đã mua ca cao có nguồn gốc từ lao động trẻ em. Nhưng liệu điều này có đủ để thiết lập một cơ sở đáng tin cậy không? Chẳng phải nguyên đơn phải cung cấp một cơ sở đáng tin cậy cho khẳng định rằng hội đồng quản trị đã biết về các vi phạm sao? Tòa án nhận thấy rằng đơn kiện đưa ra một suy luận rằng hội đồng quản trị biết "một số ca cao và thành phần có nguồn gốc từ ca cao của mình được lấy từ các trang trại bóc lột lao động trẻ em và sử dụng người bị buôn bán." Dựa trên bằng chứng được thảo luận trong bản án, bạn có đồng ý không?</w:t>
      </w:r>
    </w:p>
    <w:p>
      <w:pPr>
        <w:spacing w:after="80"/>
      </w:pPr>
      <w:r>
        <w:rPr>
          <w:b w:val="0"/>
          <w:i w:val="0"/>
        </w:rPr>
        <w:t>4. Tòa án cũng nhận thấy như một suy luận về hành vi sai trái rằng Hershey's đã "không cung cấp bất kỳ thông tin nào về các nhà cung cấp của mình." Bạn có thấy vấn đề nào có thể phát sinh từ việc sử dụng sự im lặng làm bằng chứng về một cơ sở đáng tin cậy không?</w:t>
      </w:r>
    </w:p>
    <w:p>
      <w:pPr>
        <w:spacing w:after="80"/>
      </w:pPr>
      <w:r>
        <w:rPr>
          <w:b w:val="0"/>
          <w:i w:val="0"/>
        </w:rPr>
        <w:t>5. Một nhà bình luận đã gợi ý rằng vụ án này "đã vượt ra ngoài cách tiếp cận truyền thống của các tòa án Delaware". Gabrielle Palmer, Stockholder Inspection Rights and an "Incredible" Basis: Seeking Disclosure Related to Corporate Social Responsibility, 92 Denv. U. L. Rev. Online 125 (April 29, 2015). Liệu vụ án này có gợi ý rằng quyền kiểm tra sẽ thường có sẵn cho các cổ đông tìm kiếm thông tin về các hoạt động nhân quyền và các vấn đề khác về hành vi có trách nhiệm xã hội không?</w:t>
      </w:r>
    </w:p>
    <w:p>
      <w:pPr>
        <w:pStyle w:val="Heading3"/>
      </w:pPr>
      <w:r>
        <w:rPr>
          <w:rFonts w:ascii="Calibri" w:hAnsi="Calibri"/>
          <w:b/>
          <w:i w:val="0"/>
          <w:sz w:val="26"/>
        </w:rPr>
        <w:t>D. Chi phí</w:t>
      </w:r>
    </w:p>
    <w:p>
      <w:pPr>
        <w:spacing w:after="80"/>
      </w:pPr>
      <w:r>
        <w:rPr>
          <w:b w:val="0"/>
          <w:i w:val="0"/>
        </w:rPr>
        <w:t>Các cổ đông tìm cách thực hiện quyền kiểm tra của mình thường phải kiện tụng trước khi nhận được các tài liệu được yêu cầu. Điều này làm tăng đáng kể chi phí cho quá trình kiểm tra.</w:t>
      </w:r>
    </w:p>
    <w:p>
      <w:pPr>
        <w:pStyle w:val="Heading4"/>
      </w:pPr>
      <w:r>
        <w:rPr>
          <w:rFonts w:ascii="Calibri" w:hAnsi="Calibri"/>
          <w:b/>
          <w:i w:val="0"/>
          <w:sz w:val="23"/>
        </w:rPr>
        <w:t>Norman v. US Mobilcomm, Inc.</w:t>
      </w:r>
    </w:p>
    <w:p>
      <w:pPr>
        <w:spacing w:after="80"/>
      </w:pPr>
      <w:r>
        <w:rPr>
          <w:b w:val="0"/>
          <w:i w:val="0"/>
        </w:rPr>
        <w:t>Tòa án Chancery Delaware</w:t>
      </w:r>
      <w:r>
        <w:br/>
      </w:r>
      <w:r>
        <w:rPr>
          <w:b w:val="0"/>
          <w:i w:val="0"/>
        </w:rPr>
        <w:t xml:space="preserve"> 2006 Del. Ch. LEXIS 81 (Apr. 28, 2006)</w:t>
      </w:r>
    </w:p>
    <w:p>
      <w:pPr>
        <w:spacing w:after="80"/>
      </w:pPr>
      <w:r>
        <w:rPr>
          <w:b w:val="0"/>
          <w:i w:val="0"/>
        </w:rPr>
        <w:t>PARSONS, PHÓ CHÁNH ÁN:</w:t>
      </w:r>
    </w:p>
    <w:p>
      <w:pPr>
        <w:spacing w:after="80"/>
      </w:pPr>
      <w:r>
        <w:rPr>
          <w:b w:val="0"/>
          <w:i w:val="0"/>
        </w:rPr>
        <w:t>Bắt đầu từ tháng 10 năm 2002, [Jeffrey] Norman [một cổ đông] đã gửi cho USM nhiều yêu cầu về sổ sách và hồ sơ. USM đã cung cấp một số thông tin, nhưng Norman thấy phản hồi của họ đối với các yêu cầu của mình không thỏa đáng và đã đệ đơn kiện họ theo 8 Del C. § 220 vào ngày 16 tháng 11 năm 2004.</w:t>
      </w:r>
    </w:p>
    <w:p>
      <w:pPr>
        <w:spacing w:after="80"/>
      </w:pPr>
      <w:r>
        <w:rPr>
          <w:b w:val="0"/>
          <w:i w:val="0"/>
        </w:rPr>
        <w:t>Thư yêu cầu của Norman tìm cách kiểm tra sổ sách và hồ sơ của USM "để xác định liệu [USM] có hành động đúng đắn trong việc định đoạt tài sản của Công ty hay không, liệu Công ty có hành động đúng đắn trong việc phân phối số tiền thu được từ các giao dịch bán hay không và nói cách khác là để đánh giá tính đúng đắn của các quyết định quản lý." USM đã yêu cầu bác bỏ đơn kiện của Norman vào ngày 20 tháng 12 năm 2004, khẳng định rằng đơn kiện không cáo buộc việc quản lý yếu kém hoặc các sự kiện thiết lập một cơ sở đáng tin cậy mà từ đó Tòa án có thể suy ra khả năng quản lý yếu kém. Thay vì nộp đơn phản đối yêu cầu bác bỏ của USM, Norman đã nộp Đơn kiện Sửa đổi theo Quy tắc 15(aaa) của Tòa án Chancery.</w:t>
      </w:r>
    </w:p>
    <w:p>
      <w:pPr>
        <w:spacing w:after="80"/>
      </w:pPr>
      <w:r>
        <w:rPr>
          <w:b w:val="0"/>
          <w:i w:val="0"/>
        </w:rPr>
        <w:t>USM đã phản hồi bằng cách nộp một yêu cầu bác bỏ khác ("Yêu cầu bác bỏ lần hai") vào ngày 16 tháng 2 năm 2005. Họ lại lập luận rằng Norman không có cơ sở để hỗ trợ ngay cả một sự nghi ngờ rằng USM đã hành động không đúng đắn. Hơn nữa, Yêu cầu bác bỏ lần hai khẳng định rằng Norman đã đưa vào Đơn kiện Sửa đổi những cáo buộc không được hỗ trợ nhằm mục đích bôi nhọ David Elkin, chủ tịch của USM, và rằng những cáo buộc đó không thể khắc phục những thiếu sót của Thư yêu cầu.</w:t>
      </w:r>
    </w:p>
    <w:p>
      <w:pPr>
        <w:spacing w:after="80"/>
      </w:pPr>
      <w:r>
        <w:rPr>
          <w:b w:val="0"/>
          <w:i w:val="0"/>
        </w:rPr>
        <w:t>Ngay sau đó, USM đã tự nguyện cung cấp khoảng 350 trang tài liệu. Norman cho rằng việc cung cấp này chưa đầy đủ và đã gửi cho USM một lá thư liệt kê chi tiết các thiếu sót vào ngày 11 tháng 3 năm 2005. Trong lá thư đó, Norman tuyên bố có ba mục đích sau đây khi kiểm tra sổ sách và hồ sơ của USM: (1) để điều tra việc quản lý yếu kém; (2) để xác định liệu tài sản có được chuyển nhượng đúng cách hay không; và (3) để xác định liệu có nên thực hiện bất kỳ khoản phân phối hay cổ tức nào hay không dựa trên việc bán tài sản. Sau đó Norman đã gửi cho USM nhiều lá thư yêu cầu phản hồi về lá thư ngày 11 tháng 3 năm 2005 của ông. Mặc dù không ai tại USM trả lời Norman bằng văn bản, họ được cho là đã có các cuộc trao đổi qua điện thoại về lá thư ngày 11 tháng 3 năm 2005 và đã cung cấp thêm 117 trang tài liệu vào ngày 13 tháng 4 năm 2005 và 300 trang tài liệu vào ngày 3 tháng 5 năm 2005.</w:t>
      </w:r>
    </w:p>
    <w:p>
      <w:pPr>
        <w:spacing w:after="80"/>
      </w:pPr>
      <w:r>
        <w:rPr>
          <w:b w:val="0"/>
          <w:i w:val="0"/>
        </w:rPr>
        <w:t>Sau khi nghe lập luận, tôi đã bác bỏ Đơn xin bác bỏ lần thứ hai của USM vào ngày 17 tháng 6 năm 2005. Phiên tòa được tổ chức vào ngày 23 tháng 8 năm 2005. Khi kết thúc phiên tòa, tôi không đưa ra phán quyết, nhưng thông báo cho các bên rằng “Tôi rất nghiêng về việc chấp thuận biện pháp khắc phục theo điều 220 ở dạng khá rộng rãi.”</w:t>
      </w:r>
    </w:p>
    <w:p>
      <w:pPr>
        <w:spacing w:after="80"/>
      </w:pPr>
      <w:r>
        <w:rPr>
          <w:b w:val="0"/>
          <w:i w:val="0"/>
        </w:rPr>
        <w:t>Sau đó các bên đồng ý giải quyết vấn đề này và, vào ngày 30 tháng 9 năm 2005, đã ký kết một lệnh và phán quyết cuối cùng theo thỏa thuận (gọi là “Lệnh và Phán quyết”). Kết quả là, USM đã cung cấp cho Norman hơn 4.000 trang tài liệu bổ sung cũng như các hồ sơ kế toán điện tử và các tập tin bảng tính. Nguyên đơn sau đó đã nộp đơn yêu cầu hiện tại về phí và chi phí luật sư, yêu cầu 5.760,38 đô la chi phí và phí luật sư ít nhất là 45.000,00 đô la.</w:t>
      </w:r>
    </w:p>
    <w:p>
      <w:pPr>
        <w:spacing w:after="80"/>
      </w:pPr>
      <w:r>
        <w:rPr>
          <w:b w:val="0"/>
          <w:i w:val="0"/>
        </w:rPr>
        <w:t>II. PHÂN TÍCH</w:t>
      </w:r>
    </w:p>
    <w:p>
      <w:pPr>
        <w:spacing w:after="80"/>
      </w:pPr>
      <w:r>
        <w:rPr>
          <w:b w:val="0"/>
          <w:i w:val="0"/>
        </w:rPr>
        <w:t>A. Các tiêu chuẩn</w:t>
      </w:r>
    </w:p>
    <w:p>
      <w:pPr>
        <w:spacing w:after="80"/>
      </w:pPr>
      <w:r>
        <w:rPr>
          <w:b w:val="0"/>
          <w:i w:val="0"/>
        </w:rPr>
        <w:t>Tòa án này có toàn quyền quyết định trong việc phán quyết phí luật sư. Tuy nhiên, thông thường, các bên tự chịu phí luật sư của mình theo Nguyên tắc Mỹ (American Rule). Có một ngoại lệ trong luật công bằng khi có vẻ như một bên, hoặc luật sư của họ, đã hành động với ý đồ xấu, đã hành động một cách quấy rối, hoặc đã dựa vào những trình bày sai sự thật về thực tế hoặc pháp luật liên quan đến việc đưa ra yêu cầu trong vụ kiện. Không có một tiêu chuẩn duy nhất nào về ý đồ xấu dẫn đến việc phán quyết phí luật sư; thay vào đó, ý đồ xấu phụ thuộc vào các tình tiết cụ thể của từng vụ việc.</w:t>
      </w:r>
    </w:p>
    <w:p>
      <w:pPr>
        <w:spacing w:after="80"/>
      </w:pPr>
      <w:r>
        <w:rPr>
          <w:b w:val="0"/>
          <w:i w:val="0"/>
        </w:rPr>
        <w:t>“Một nhánh của ngoại lệ về ý đồ xấu này là phí luật sư có thể được phán quyết nếu chứng minh được rằng hành vi của bị đơn đã buộc nguyên đơn phải khởi kiện để bảo đảm một quyền đã được xác định và thiết lập rõ ràng.” “Tòa án này không viện dẫn ngoại lệ về ý đồ xấu một cách dễ dãi và áp đặt gánh nặng chứng cứ nghiêm ngặt là phải đưa ra bằng chứng rõ ràng về hành vi có ý đồ xấu đối với bên yêu cầu phán quyết phí.”</w:t>
      </w:r>
    </w:p>
    <w:p>
      <w:pPr>
        <w:spacing w:after="80"/>
      </w:pPr>
      <w:r>
        <w:rPr>
          <w:b w:val="0"/>
          <w:i w:val="0"/>
        </w:rPr>
        <w:t>B. Chi phí</w:t>
      </w:r>
    </w:p>
    <w:p>
      <w:pPr>
        <w:spacing w:after="80"/>
      </w:pPr>
      <w:r>
        <w:rPr>
          <w:b w:val="0"/>
          <w:i w:val="0"/>
        </w:rPr>
        <w:t>Tòa án Công bằng (Court of Chancery) được cho phép theo 10 Del. C. § 5106 để “ra lệnh liên quan đến chi phí trong mọi vụ việc sao cho phù hợp với luật công bằng.” Quy tắc 54(d) của Tòa án Công bằng quy định:</w:t>
      </w:r>
    </w:p>
    <w:p>
      <w:pPr>
        <w:spacing w:after="80"/>
      </w:pPr>
      <w:r>
        <w:rPr>
          <w:b w:val="0"/>
          <w:i w:val="0"/>
        </w:rPr>
        <w:t>Trừ khi có quy định rõ ràng về điều đó trong một đạo luật hoặc trong [Các Quy tắc của Tòa án Công bằng], chi phí sẽ được cho phép một cách đương nhiên cho bên thắng kiện trừ khi Tòa án có chỉ đạo khác. Chi phí trong bất kỳ vụ kiện nào sẽ không bao gồm bất kỳ khoản phí nào cho bản sao biên bản lời khai của Tòa án hoặc bất kỳ lời khai nào.</w:t>
      </w:r>
    </w:p>
    <w:p>
      <w:pPr>
        <w:spacing w:after="80"/>
      </w:pPr>
      <w:r>
        <w:rPr>
          <w:b w:val="0"/>
          <w:i w:val="0"/>
        </w:rPr>
        <w:t>Trong vụ việc này, các bên không tranh cãi rằng Norman đã thắng kiện trong vụ kiện và do đó USM phải trả chi phí của Norman. Do đó, tôi sẽ phán quyết chi phí theo số tiền được yêu cầu là 5.760,38 đô la.</w:t>
      </w:r>
    </w:p>
    <w:p>
      <w:pPr>
        <w:spacing w:after="80"/>
      </w:pPr>
      <w:r>
        <w:rPr>
          <w:b w:val="0"/>
          <w:i w:val="0"/>
        </w:rPr>
        <w:t>C. Phí luật sư</w:t>
      </w:r>
    </w:p>
    <w:p>
      <w:pPr>
        <w:spacing w:after="80"/>
      </w:pPr>
      <w:r>
        <w:rPr>
          <w:b w:val="0"/>
          <w:i w:val="0"/>
        </w:rPr>
        <w:t>Nguyên đơn khẳng định rằng ông nên được nhận phí luật sư vì ông có quyền rõ ràng đối với một số tài liệu nhất định. Cụ thể, Norman cho rằng USM chưa bao giờ phản đối mục đích định giá của ông, vốn được công nhận rộng rãi là một mục đích chính đáng, và rằng do các lập luận của ông đầy đủ, ông cũng có quyền rõ ràng đối với các tài liệu để điều tra việc quản lý yếu kém và lãng phí của công ty. Ông còn khẳng định rằng ông nên được nhận phí luật sư vì USM đã hành động với ý đồ xấu khi đưa ra biện hộ về nội dung vụ việc đối với vụ kiện theo điều 220 và khi hứa cung cấp tài liệu mà lại không cung cấp. Tôi sẽ lần lượt xem xét từng lập luận này.</w:t>
      </w:r>
    </w:p>
    <w:p>
      <w:pPr>
        <w:spacing w:after="80"/>
      </w:pPr>
      <w:r>
        <w:rPr>
          <w:b w:val="0"/>
          <w:i w:val="0"/>
        </w:rPr>
        <w:t>1. Mục đích định giá</w:t>
      </w:r>
    </w:p>
    <w:p>
      <w:pPr>
        <w:spacing w:after="80"/>
      </w:pPr>
      <w:r>
        <w:rPr>
          <w:b w:val="0"/>
          <w:i w:val="0"/>
        </w:rPr>
        <w:t>Norman khẳng định rằng ông nên được nhận phí luật sư vì USM biết rằng Norman có mục đích định giá chính đáng để kiểm tra sổ sách và hồ sơ của mình và chưa bao giờ phản đối mục đích đó. USM phản hồi rằng họ liên tục phản đối mọi khía cạnh trong vụ việc của Norman và rằng Norman đã không nêu rõ mục đích định giá trong Thư Yêu cầu (Demand Letter) hay Đơn khiếu nại sửa đổi (Amended Complaint) của mình. Cụ thể, USM khẳng định rằng Thư Yêu cầu của Norman chỉ nêu rằng ông tìm cách kiểm tra sổ sách và hồ sơ của USM từ năm 1997 để xác định tính đúng đắn của các hành động khác nhau của Công ty và các quyết định của ban quản lý nói chung, điều này ngụ ý một mục đích điều tra sự lãng phí hoặc quản lý yếu kém tiềm ẩn. Hơn nữa, USM khẳng định rằng Norman thậm chí còn không nêu vấn đề thu thập tài liệu cho mục đích định giá cho đến khi ông trả lời Đơn xin bác bỏ lần thứ hai của USM.</w:t>
      </w:r>
    </w:p>
    <w:p>
      <w:pPr>
        <w:spacing w:after="80"/>
      </w:pPr>
      <w:r>
        <w:rPr>
          <w:b w:val="0"/>
          <w:i w:val="0"/>
        </w:rPr>
        <w:t>Thư Yêu cầu của Norman nêu rằng ông tìm cách kiểm tra sổ sách và hồ sơ của USM để xác định liệu Công ty có “hành động đúng đắn trong việc định đoạt tài sản của Công ty hay không, liệu Công ty có hành động đúng đắn trong việc phân phối số tiền thu được từ các giao dịch bán tài sản hay không và nói chung là để đánh giá tính đúng đắn của các quyết định của ban quản lý.” Như tôi đã nhận xét tại phần lập luận, tôi không tin rằng tuyên bố này trong Thư Yêu cầu đã thông báo một cách thỏa đáng cho USM rằng Norman đang đưa ra mục đích định giá.</w:t>
      </w:r>
    </w:p>
    <w:p>
      <w:pPr>
        <w:spacing w:after="80"/>
      </w:pPr>
      <w:r>
        <w:rPr>
          <w:b w:val="0"/>
          <w:i w:val="0"/>
        </w:rPr>
        <w:t>Theo Norman, ông cũng khẳng định một mục đích định giá trong lá thư thông báo thiếu sót ngày 11 tháng 3 năm 2005 của mình. Lá thư đó xác định ba mục đích cho việc điều tra sổ sách và hồ sơ của USM: (1) để điều tra việc quản lý yếu kém; (2) để xác định liệu tài sản có được chuyển nhượng đúng cách hay không; và (3) để xác định liệu có nên chi trả bất kỳ khoản phân phối hay cổ tức nào dựa trên việc bán tài sản hay không. Tôi một lần nữa đặt câu hỏi liệu tuyên bố này có đưa ra thông báo hợp lý về một mục đích định giá hay không. Dù sao đi nữa, Norman cho rằng USM chưa bao giờ phản hồi lá thư thông báo thiếu sót này. Tôi không đồng ý.</w:t>
      </w:r>
    </w:p>
    <w:p>
      <w:pPr>
        <w:spacing w:after="80"/>
      </w:pPr>
      <w:r>
        <w:rPr>
          <w:b w:val="0"/>
          <w:i w:val="0"/>
        </w:rPr>
        <w:t>Thứ nhất, USM khẳng định rằng họ đã có các cuộc trò chuyện qua điện thoại với Norman hoặc người đại diện của ông về lá thư thông báo thiếu sót ngày 11 tháng 3 năm 2005. Norman dường như không phản đối tuyên bố này. Thứ hai, và quan trọng hơn, USM đã cung cấp tài liệu cho Norman vào ngày 13 tháng 4 và ngày 3 tháng 5 năm 2005. Do đó, theo ý kiến của tôi, việc USM không phản hồi chính thức bằng văn bản đối với lá thư ngày 11 tháng 3 năm 2005 không biểu thị sự thiếu thiện chí đáng để được trao thù lao luật sư.</w:t>
      </w:r>
    </w:p>
    <w:p>
      <w:pPr>
        <w:spacing w:after="80"/>
      </w:pPr>
      <w:r>
        <w:rPr>
          <w:b w:val="0"/>
          <w:i w:val="0"/>
        </w:rPr>
        <w:t>Ngoài ra, cả hai kiến nghị bác bỏ đơn kiện của USM đều phản đối tính đầy đủ của toàn bộ vụ kiện của Norman, bao gồm cả bất kỳ sự dựa dẫm nào vào một mục đích định giá. Norman chưa chứng minh được rằng USM đã nộp một trong hai kiến nghị này với ý đồ xấu. Thật vậy, việc Norman sửa đổi đơn khiếu nại của mình sau kiến nghị bác bỏ đơn kiện đầu tiên cho thấy rằng kiến nghị đó ít nhất có phần nào giá trị. Kiến nghị bác bỏ đơn kiện lần thứ hai thách thức toàn bộ vụ kiện 220 và, tại phần tranh luận về kiến nghị đang chờ xử lý của Norman, tôi đã bác bỏ lập luận rằng Kiến nghị bác bỏ đơn kiện lần thứ hai được đưa ra với ý đồ xấu.</w:t>
      </w:r>
    </w:p>
    <w:p>
      <w:pPr>
        <w:spacing w:after="80"/>
      </w:pPr>
      <w:r>
        <w:rPr>
          <w:b w:val="0"/>
          <w:i w:val="0"/>
        </w:rPr>
        <w:t>Norman cũng không đưa ra bằng chứng rõ ràng rằng bất kỳ hành động nào USM thực hiện sau khi tôi bác bỏ Kiến nghị bác bỏ đơn kiện lần thứ hai của họ cấu thành hành vi thiếu thiện chí. Trên thực tế, tại hội nghị trước phiên tòa, tôi đã bày tỏ sự nghi ngờ về việc bên nào sẽ thắng. Cụ thể, tôi đã tuyên bố "vào thời điểm này, tôi không thể nói bên nào . . . có [ ] lợi thế hơn trong việc này. Và có vẻ như điều hiệu quả nhất chúng ta có thể làm là . . . tiến hành." Tôi đã tái khẳng định quan điểm này vào đầu phiên tòa. Do đó, Norman chưa chứng minh được rằng ông có quyền rõ ràng đối với tất cả các tài liệu ông yêu cầu dựa trên mục đích định giá được cáo buộc hoặc rằng USM đã hành động với ý đồ xấu khi phản đối các yêu cầu của ông. Vì vậy, tôi sẽ không trao cho ông ấy thù lao luật sư với lý do đó.</w:t>
      </w:r>
    </w:p>
    <w:p>
      <w:pPr>
        <w:spacing w:after="80"/>
      </w:pPr>
      <w:r>
        <w:rPr>
          <w:b w:val="0"/>
          <w:i w:val="0"/>
        </w:rPr>
        <w:t>2. Mục đích của Norman là điều tra việc lãng phí và quản lý yếu kém</w:t>
      </w:r>
    </w:p>
    <w:p>
      <w:pPr>
        <w:spacing w:after="80"/>
      </w:pPr>
      <w:r>
        <w:rPr>
          <w:b w:val="0"/>
          <w:i w:val="0"/>
        </w:rPr>
        <w:t>Nguyên đơn tiếp tục khẳng định rằng ông nên được nhận thù lao luật sư vì ông có quyền rõ ràng đối với các tài liệu được yêu cầu để điều tra việc lãng phí và quản lý yếu kém của công ty. USM phản đối tiền đề đó.</w:t>
      </w:r>
    </w:p>
    <w:p>
      <w:pPr>
        <w:spacing w:after="80"/>
      </w:pPr>
      <w:r>
        <w:rPr>
          <w:b w:val="0"/>
          <w:i w:val="0"/>
        </w:rPr>
        <w:t>Đã được xác lập rõ ràng rằng việc điều tra sự lãng phí và quản lý yếu kém của công ty là một mục đích chính đáng cho việc kiểm tra sổ sách và hồ sơ theo Mục 220. Tuy nhiên, điều này không có nghĩa là một cổ đông, người yêu cầu sổ sách và hồ sơ với mục đích điều tra sự lãng phí và quản lý yếu kém của công ty, có quyền rõ ràng đối với những tài liệu đó.</w:t>
      </w:r>
    </w:p>
    <w:p>
      <w:pPr>
        <w:spacing w:after="80"/>
      </w:pPr>
      <w:r>
        <w:rPr>
          <w:b w:val="0"/>
          <w:i/>
        </w:rPr>
        <w:t>McGowan</w:t>
      </w:r>
      <w:r>
        <w:rPr>
          <w:b w:val="0"/>
          <w:i w:val="0"/>
        </w:rPr>
        <w:t xml:space="preserve"> cung cấp một ví dụ về một nguyên đơn có quyền rõ ràng đối với tài liệu trong một vụ án theo Mục 220. Trong </w:t>
      </w:r>
      <w:r>
        <w:rPr>
          <w:b w:val="0"/>
          <w:i/>
        </w:rPr>
        <w:t>McGowan</w:t>
      </w:r>
      <w:r>
        <w:rPr>
          <w:b w:val="0"/>
          <w:i w:val="0"/>
        </w:rPr>
        <w:t>, một giám đốc yêu cầu sổ sách và hồ sơ của công ty. Công ty đã hứa sẽ cung cấp các tài liệu cụ thể trong nhiều lần, nhưng đã không làm như vậy. Khi kết luận rằng giám đốc có quyền rõ ràng, tòa án lưu ý rằng quyền kiểm tra sổ sách và hồ sơ của một giám đốc gần như không bị hạn chế. Không có yêu cầu rằng một giám đốc phải đưa ra yêu cầu kiểm tra bằng văn bản. Hơn nữa, nếu một công ty từ chối yêu cầu tài liệu của một giám đốc, công ty phải chịu trách nhiệm chứng minh "rằng việc kiểm tra mà giám đốc đó tìm kiếm là vì một mục đích không chính đáng."</w:t>
      </w:r>
    </w:p>
    <w:p>
      <w:pPr>
        <w:spacing w:after="80"/>
      </w:pPr>
      <w:r>
        <w:rPr>
          <w:b w:val="0"/>
          <w:i w:val="0"/>
        </w:rPr>
        <w:t xml:space="preserve">Norman không giữ chức giám đốc của USM; do đó, ông phải gửi một lá thư yêu cầu đến USM và phải chịu trách nhiệm chứng minh sự tồn tại của một mục đích chính đáng cho yêu cầu của mình. Không giống như một giám đốc, một cổ đông, như Norman, thường xuyên gặp phải những thách thức đối với mục đích của mình cho một yêu cầu theo Mục 220. Do đó, tôi không coi </w:t>
      </w:r>
      <w:r>
        <w:rPr>
          <w:b w:val="0"/>
          <w:i/>
        </w:rPr>
        <w:t>McGowan</w:t>
      </w:r>
      <w:r>
        <w:rPr>
          <w:b w:val="0"/>
          <w:i w:val="0"/>
        </w:rPr>
        <w:t xml:space="preserve"> là ủng hộ cho yêu cầu thù lao của Norman.</w:t>
      </w:r>
    </w:p>
    <w:p>
      <w:pPr>
        <w:spacing w:after="80"/>
      </w:pPr>
      <w:r>
        <w:rPr>
          <w:b w:val="0"/>
          <w:i w:val="0"/>
        </w:rPr>
        <w:t>Tôi cũng thấy rằng USM có cơ sở thiện chí để chống lại vụ kiện theo Mục 220 của Norman. Các vấn đề được trình bày tại phiên tòa liên quan đến việc liệu Norman có mục đích chính đáng cho các yêu cầu của mình hay không và liệu phạm vi của những yêu cầu đó có phù hợp với hoàn cảnh của vụ án này hay không. Mặc dù cuối cùng tôi kết luận Norman có mục đích chính đáng, tôi đã không đưa ra quyết định chắc chắn về vấn đề đó cho đến sau khi tôi nghe bằng chứng tại phiên tòa. Ngoài ra, trong nhiều lần, tôi đã bày tỏ lo ngại về sự rộng lớn của các yêu cầu của Norman. Tại phần tranh luận về kiến nghị thù lao luật sư, tôi đã tuyên bố rằng Norman "có những yêu cầu cực kỳ rộng, có lẽ là rộng nhất mà tôi từng thấy, mọi thứ kể từ năm 1997 . . . theo cách nó được viết, nó sẽ bao gồm việc bán một cái ghế, bán một chiếc TV cũ, mọi thứ." Do đó, theo ý kiến của tôi, Norman đã không thiết lập được quyền rõ ràng đối với các tài liệu được yêu cầu cho mục đích xác định liệu USM có tham gia vào việc lãng phí hoặc quản lý yếu kém của công ty hay không cho đến giai đoạn cuối của vụ kiện, nếu có.</w:t>
      </w:r>
    </w:p>
    <w:p>
      <w:pPr>
        <w:spacing w:after="80"/>
      </w:pPr>
      <w:r>
        <w:rPr>
          <w:b w:val="0"/>
          <w:i w:val="0"/>
        </w:rPr>
        <w:t>3. USM có hứa sẽ cung cấp tài liệu và không làm như vậy không?</w:t>
      </w:r>
    </w:p>
    <w:p>
      <w:pPr>
        <w:spacing w:after="80"/>
      </w:pPr>
      <w:r>
        <w:rPr>
          <w:b w:val="0"/>
          <w:i w:val="0"/>
        </w:rPr>
        <w:t>Norman cũng cáo buộc USM có ý đồ xấu vì được cho là đã hứa sẽ cung cấp tài liệu và sau đó không làm như vậy. Dựa trên những thất bại đó, ông cho rằng USM nên trả thù lao luật sư cho ông. USM trả lời rằng họ chưa bao giờ đồng ý cung cấp các tài liệu cụ thể và không đưa ra bất kỳ tuyên bố sai lệch nào với Tòa án.</w:t>
      </w:r>
    </w:p>
    <w:p>
      <w:pPr>
        <w:spacing w:after="80"/>
      </w:pPr>
      <w:r>
        <w:rPr>
          <w:b w:val="0"/>
          <w:i w:val="0"/>
        </w:rPr>
        <w:t xml:space="preserve">Một lần nữa, vụ án </w:t>
      </w:r>
      <w:r>
        <w:rPr>
          <w:b w:val="0"/>
          <w:i/>
        </w:rPr>
        <w:t>McGowan</w:t>
      </w:r>
      <w:r>
        <w:rPr>
          <w:b w:val="0"/>
          <w:i w:val="0"/>
        </w:rPr>
        <w:t xml:space="preserve"> cung cấp một ví dụ về việc một tòa án trao thù lao luật sư do luật sư phá vỡ lời hứa cung cấp một tài liệu. Mặc dù tòa án trong </w:t>
      </w:r>
      <w:r>
        <w:rPr>
          <w:b w:val="0"/>
          <w:i/>
        </w:rPr>
        <w:t>McGowan</w:t>
      </w:r>
      <w:r>
        <w:rPr>
          <w:b w:val="0"/>
          <w:i w:val="0"/>
        </w:rPr>
        <w:t xml:space="preserve"> đã trao thù lao luật sư phần lớn dựa trên quyền rõ ràng của nguyên đơn đối với các tài liệu được đề cập, bản án cũng đã thảo luận chi tiết về một số lời hứa mà bị đơn đã đưa ra, và phá vỡ, để cung cấp các tài liệu cụ thể. Cụ thể, bị đơn đã viết hai lá thư hứa sẽ cung cấp biên bản các cuộc họp hội đồng quản trị của công ty cho </w:t>
      </w:r>
      <w:r>
        <w:rPr>
          <w:b w:val="0"/>
          <w:i/>
        </w:rPr>
        <w:t>McGowan</w:t>
      </w:r>
      <w:r>
        <w:rPr>
          <w:b w:val="0"/>
          <w:i w:val="0"/>
        </w:rPr>
        <w:t>, người phục vụ trong hội đồng quản trị của công ty. Trong một lá thư, luật sư của bị đơn tuyên bố, "Tôi thừa nhận rằng tôi vẫn còn nợ ông biên bản cho năm 1999 mà tôi sẽ gửi cho ông vào lúc thuận tiện sớm nhất trong tuần này." Bất chấp lời hứa đó, bị đơn chưa bao giờ cung cấp biên bản hội đồng quản trị. Tòa án đã phán quyết rằng nguyên đơn "đã chứng minh bằng bằng chứng rõ ràng rằng [bị đơn] đã hành động với ý đồ xấu chủ quan, cả trước và sau khi vụ kiện theo § 220 này được nộp, bằng cách hứa dối rằng sẽ cung cấp các hồ sơ công ty mà [nguyên đơn] rõ ràng có quyền kiểm tra."</w:t>
      </w:r>
    </w:p>
    <w:p>
      <w:pPr>
        <w:spacing w:after="80"/>
      </w:pPr>
      <w:r>
        <w:rPr>
          <w:b w:val="0"/>
          <w:i w:val="0"/>
        </w:rPr>
        <w:t xml:space="preserve">Trong vụ án này, không chỉ Norman không có quyền rõ ràng ngay từ đầu để kiểm tra sổ sách và hồ sơ của USM mà ông yêu cầu, mà USM cũng chưa bao giờ hứa sẽ cung cấp các tài liệu cụ thể mà họ đã không cung cấp. Do đó, </w:t>
      </w:r>
      <w:r>
        <w:rPr>
          <w:b w:val="0"/>
          <w:i/>
        </w:rPr>
        <w:t>McGowan</w:t>
      </w:r>
      <w:r>
        <w:rPr>
          <w:b w:val="0"/>
          <w:i w:val="0"/>
        </w:rPr>
        <w:t xml:space="preserve"> có thể phân biệt được. Hơn nữa, USM đã cung cấp tài liệu trong nhiều lần trước phiên tòa và tôi không biết về bất kỳ trường hợp nào mà USM cố ý xuyên tạc các sự kiện quan trọng với Tòa án. Vì vậy, tôi sẽ không trao thù lao luật sư vì việc USM không cung cấp tài liệu nhanh chóng hoặc đầy đủ như Norman cho là cần thiết.</w:t>
      </w:r>
    </w:p>
    <w:p>
      <w:pPr>
        <w:spacing w:after="80"/>
      </w:pPr>
      <w:r>
        <w:rPr>
          <w:b w:val="0"/>
          <w:i w:val="0"/>
        </w:rPr>
        <w:t>4. USM có tranh tụng không đúng cách về nội dung của cáo buộc lãng phí và quản lý yếu kém không?</w:t>
      </w:r>
    </w:p>
    <w:p>
      <w:pPr>
        <w:spacing w:after="80"/>
      </w:pPr>
      <w:r>
        <w:rPr>
          <w:b w:val="0"/>
          <w:i w:val="0"/>
        </w:rPr>
        <w:t>Cuối cùng, Norman cho rằng ông được quyền nhận thù lao luật sư vì USM đã tham gia vào một biện pháp bảo vệ dựa trên nội dung để đánh bại mục đích điều tra sự lãng phí hoặc quản lý yếu kém bị nghi ngờ của ông. Cụ thể, Norman cho rằng "bất chấp sự công nhận trước đó về tính đầy đủ của các cáo buộc của Nguyên đơn liên quan đến việc quản lý yếu kém và bằng chứng hồ sơ rõ ràng chứng minh cơ sở để nghi ngờ việc quản lý yếu kém như vậy, Công ty vẫn chống lại việc cung cấp thêm dựa trên niềm tin của mình rằng Nguyên đơn sẽ bị đánh bại tại một phiên tòa về nội dung." USM phủ nhận đã trình bày một biện pháp bảo vệ dựa trên nội dung đối với mục đích lãng phí hoặc quản lý yếu kém của Norman.</w:t>
      </w:r>
    </w:p>
    <w:p>
      <w:pPr>
        <w:spacing w:after="80"/>
      </w:pPr>
      <w:r>
        <w:rPr>
          <w:b w:val="0"/>
          <w:i w:val="0"/>
        </w:rPr>
        <w:t>Tòa án này đã tỏ thái độ không mấy thiện cảm với một công ty cố gắng tranh tụng về nội dung của hành vi sai trái bị cáo buộc làm cơ sở cho mục đích được viện dẫn để kiểm tra sổ sách và hồ sơ trong một vụ kiện theo Mục 220. Trên thực tế, Tòa án đã mô tả việc công ty bào chữa về nội dung đối với mục đích được cổ đông nêu ra là “bất công và phá hoại Mục 220.” Một công ty thực hiện bào chữa về nội dung khi công ty tìm cách phản bác các cáo buộc của nguyên đơn về mục đích bằng cách lập luận rằng hành vi bị cáo buộc chưa từng xảy ra hoặc là hợp pháp.</w:t>
      </w:r>
    </w:p>
    <w:p>
      <w:pPr>
        <w:spacing w:after="80"/>
      </w:pPr>
      <w:r>
        <w:rPr>
          <w:b w:val="0"/>
          <w:i w:val="0"/>
        </w:rPr>
        <w:t>Dựa trên việc xem xét hồ sơ vụ án của tôi, tôi không tin rằng USM đã tham gia ở bất kỳ mức độ trọng yếu nào vào việc bào chữa không thích đáng về nội dung đối với bất kỳ mục đích nào mà Norman tuyên bố để kiểm tra sổ sách và hồ sơ của USM. Do đó, tôi sẽ không phán quyết về phí luật sư trên cơ sở đó.</w:t>
      </w:r>
    </w:p>
    <w:p>
      <w:pPr>
        <w:pStyle w:val="Heading5"/>
      </w:pPr>
      <w:r>
        <w:rPr>
          <w:rFonts w:ascii="Calibri" w:hAnsi="Calibri"/>
          <w:b/>
          <w:i/>
          <w:sz w:val="22"/>
        </w:rPr>
        <w:t>Bình luận và Câu hỏi</w:t>
      </w:r>
    </w:p>
    <w:p>
      <w:pPr>
        <w:spacing w:after="80"/>
      </w:pPr>
      <w:r>
        <w:rPr>
          <w:b w:val="0"/>
          <w:i w:val="0"/>
        </w:rPr>
        <w:t>1. Vụ án này gợi ý điều gì về chi phí thực sự gắn liền với việc viện dẫn quyền kiểm tra? Những loại cổ đông nào sẽ sẵn sàng gánh chịu những chi phí này? Liệu khả năng phải trả phí có đóng vai trò răn đe đối với việc từ chối quyền kiểm tra một cách không thích đáng hay không?</w:t>
      </w:r>
    </w:p>
    <w:p>
      <w:pPr>
        <w:spacing w:after="80"/>
      </w:pPr>
      <w:r>
        <w:rPr>
          <w:b w:val="0"/>
          <w:i w:val="0"/>
        </w:rPr>
        <w:t>2. Mặc dù được thiết kế để trở thành thủ tục xét xử nhanh gọn, nhưng các vụ kiện viện dẫn quyền kiểm tra lại có thể không hề nhanh gọn chút nào. Một cuộc khảo sát của Bloomberg BNA đối với 206 đơn khiếu nại được nộp trong các vụ án về sổ sách và hồ sơ tại Delaware trong các năm 2013, 2014 và 2015 cho thấy 70% các vụ án mất hơn ba tháng để giải quyết và 20% mất hơn một năm. Điều này có thể có tác động gì đến chi phí của những vụ kiện này và, như một vấn đề kéo theo, đến sự sẵn lòng của các nhà đầu tư trong việc khởi kiện trước khi nộp đơn kiện phái sinh?</w:t>
      </w:r>
    </w:p>
    <w:p>
      <w:pPr>
        <w:spacing w:after="80"/>
      </w:pPr>
      <w:r>
        <w:rPr>
          <w:b w:val="0"/>
          <w:i w:val="0"/>
        </w:rPr>
        <w:t>3. Tòa án đã đưa ra những lý do gì để kết luận rằng USM có cơ sở thiện chí để phản đối yêu cầu kiểm tra? Tòa án đã lưu ý đến những lo ngại của chính mình về phạm vi quá rộng của yêu cầu kiểm tra. Những bày tỏ lo ngại này ủng hộ lập trường của Norman hay USM nhiều hơn?</w:t>
      </w:r>
    </w:p>
    <w:p>
      <w:pPr>
        <w:spacing w:after="80"/>
      </w:pPr>
      <w:r>
        <w:rPr>
          <w:b w:val="0"/>
          <w:i w:val="0"/>
        </w:rPr>
        <w:t>4. Liệu tiêu chuẩn thiện chí xấu có phải là tiêu chuẩn phù hợp hay không? Những vấn đề với tiêu chuẩn này là gì? Những lợi ích là gì?</w:t>
      </w:r>
    </w:p>
    <w:p>
      <w:pPr>
        <w:spacing w:after="80"/>
      </w:pPr>
      <w:r>
        <w:rPr>
          <w:b w:val="0"/>
          <w:i w:val="0"/>
        </w:rPr>
        <w:t>5. Giả sử rằng cổ đông có được các tài liệu mong muốn và thành công trong việc chứng minh thiện chí xấu (từ đó thu hồi được phí), liệu công ty vẫn được hưởng lợi từ việc đưa ra kiện tụng hay không?</w:t>
      </w:r>
    </w:p>
    <w:p>
      <w:pPr>
        <w:spacing w:after="80"/>
      </w:pPr>
      <w:r>
        <w:rPr>
          <w:b w:val="0"/>
          <w:i w:val="0"/>
        </w:rPr>
        <w:t>6. Model Act áp dụng một tiêu chuẩn khác đối với việc thu hồi phí. Đạo luật quy định rằng nếu các cổ đông thắng kiện, tòa án:</w:t>
      </w:r>
    </w:p>
    <w:p>
      <w:pPr>
        <w:spacing w:after="80"/>
      </w:pPr>
      <w:r>
        <w:rPr>
          <w:b w:val="0"/>
          <w:i w:val="0"/>
        </w:rPr>
        <w:t>cũng phải ra lệnh cho công ty thanh toán các chi phí của cổ đông (bao gồm phí luật sư hợp lý) phát sinh để có được lệnh đó, trừ khi công ty chứng minh rằng công ty đã từ chối kiểm tra một cách thiện chí vì công ty có cơ sở hợp lý để nghi ngờ về quyền của cổ đông trong việc kiểm tra các hồ sơ được yêu cầu.</w:t>
      </w:r>
    </w:p>
    <w:p>
      <w:pPr>
        <w:spacing w:after="80"/>
      </w:pPr>
      <w:r>
        <w:rPr>
          <w:b w:val="0"/>
          <w:i w:val="0"/>
        </w:rPr>
        <w:t>MBCA 16.04(c). Nói cách khác, quy định này đặt gánh nặng chứng minh lên hội đồng quản trị. Hơn nữa, phần bình luận gợi ý rằng bằng chứng về thiện chí sẽ được giải thích theo hướng hẹp.</w:t>
      </w:r>
    </w:p>
    <w:p>
      <w:pPr>
        <w:spacing w:after="80"/>
      </w:pPr>
      <w:r>
        <w:rPr>
          <w:b w:val="0"/>
          <w:i w:val="0"/>
        </w:rPr>
        <w:t>Công ty phải có khả năng chỉ ra một cơ sở khách quan nào đó cho sự nghi ngờ của mình rằng cổ đông đã hành động không thiện chí hoặc có mục đích không chính đáng. Ví dụ, một công ty có thể chỉ ra hành vi trước đây của cổ đông liên quan đến việc sử dụng không đúng đắn thông tin thu được từ công ty trong quá khứ như là dấu hiệu cho thấy tồn tại sự nghi ngờ hợp lý về mục đích hiện tại của cổ đông đó. Một công ty không thể tránh việc bị áp đặt chi phí theo mục này chỉ bằng cách chứng minh rằng mình không có thông tin gì theo hướng này hay hướng khác về các vấn đề đang tranh chấp.</w:t>
      </w:r>
    </w:p>
    <w:p>
      <w:pPr>
        <w:spacing w:after="80"/>
      </w:pPr>
      <w:r>
        <w:rPr>
          <w:b w:val="0"/>
          <w:i w:val="0"/>
        </w:rPr>
        <w:t>Tiêu chuẩn này khác với tiêu chuẩn được áp dụng ở Delaware như thế nào? Sự khác biệt đó có tạo ra bất kỳ khác biệt thực tiễn nào không?</w:t>
      </w:r>
    </w:p>
    <w:p>
      <w:pPr>
        <w:spacing w:after="80"/>
      </w:pPr>
      <w:r>
        <w:rPr>
          <w:b w:val="0"/>
          <w:i w:val="0"/>
        </w:rPr>
        <w:t xml:space="preserve">7. Khó khăn trong việc thu hồi phí luật sư cũng có khả năng làm tăng thêm chi phí của một vụ kiện phái sinh. Các tòa án Delaware gần như đã buộc các cổ đông phải gánh chịu chi phí của một cuộc kiểm tra như một điều kiện tiên quyết cho một vụ kiện phái sinh. </w:t>
      </w:r>
      <w:r>
        <w:rPr>
          <w:b w:val="0"/>
          <w:i/>
        </w:rPr>
        <w:t>Xem Seinfeld</w:t>
      </w:r>
      <w:r>
        <w:rPr>
          <w:b w:val="0"/>
          <w:i w:val="0"/>
        </w:rPr>
        <w:t xml:space="preserve"> , 909 A.2d at 120 (“Sự gia tăng trong các vụ kiện tụng về sổ sách và hồ sơ có thể quy trực tiếp cho việc Tòa án này khuyến khích các cổ đông, những người có thể chứng minh một mục đích chính đáng, sử dụng ‘các công cụ sẵn có’ để có được thông tin cần thiết trước khi nộp đơn kiện phái sinh.”). Điều gì sẽ xảy ra nếu các cổ đông chọn từ bỏ khoản chi phí này, nộp đơn kiện phái sinh, và chỉ tiến hành kiểm tra nếu vụ án bị bác bỏ? Một số người đã lập luận rằng trong những trường hợp này, các cổ đông không nên được phép nộp lại đơn kiện. Những lập luận phổ biến ở mỗi bên của vấn đề đó là gì? Về quy tắc ở Delaware, các tòa án đã giải quyết vấn đề này trong </w:t>
      </w:r>
      <w:r>
        <w:rPr>
          <w:b w:val="0"/>
          <w:i/>
        </w:rPr>
        <w:t>King v. VeriFone Holdings, Inc.</w:t>
      </w:r>
      <w:r>
        <w:rPr>
          <w:b w:val="0"/>
          <w:i w:val="0"/>
        </w:rPr>
        <w:t xml:space="preserve"> , 12 A.3d 1140 (Del. 2011).</w:t>
      </w:r>
    </w:p>
    <w:p>
      <w:pPr>
        <w:pStyle w:val="Heading2"/>
      </w:pPr>
      <w:r>
        <w:rPr>
          <w:rFonts w:ascii="Calibri" w:hAnsi="Calibri"/>
          <w:b/>
          <w:i w:val="0"/>
          <w:sz w:val="32"/>
        </w:rPr>
        <w:t>II. Cơ chế Công bố Thông tin của Liên bang</w:t>
      </w:r>
    </w:p>
    <w:p>
      <w:pPr>
        <w:pStyle w:val="Heading4"/>
      </w:pPr>
      <w:r>
        <w:rPr>
          <w:rFonts w:ascii="Calibri" w:hAnsi="Calibri"/>
          <w:b/>
          <w:i w:val="0"/>
          <w:sz w:val="23"/>
        </w:rPr>
        <w:t>Tổng quan</w:t>
      </w:r>
    </w:p>
    <w:p>
      <w:pPr>
        <w:spacing w:after="80"/>
      </w:pPr>
      <w:r>
        <w:rPr>
          <w:b w:val="0"/>
          <w:i w:val="0"/>
        </w:rPr>
        <w:t>Khi thông qua Đạo luật Chứng khoán năm 1933, Quốc hội chủ yếu quan tâm đến quá trình chào bán sơ cấp. Theo Mục 5 của Đạo luật, các công ty bán cổ phần cho công chúng được yêu cầu nộp bản đăng ký (registration statement) cho cơ quan quản lý thích hợp (năm 1933 là Ủy ban Thương mại Liên bang, sau này là SEC) trừ khi có trường hợp miễn trừ được áp dụng. 15 USC § 77e. Tài liệu này nhằm bao gồm tất cả thông tin mà cổ đông cần để đưa ra quyết định sáng suốt vào thời điểm mua.</w:t>
      </w:r>
    </w:p>
    <w:p>
      <w:pPr>
        <w:spacing w:after="80"/>
      </w:pPr>
      <w:r>
        <w:rPr>
          <w:b w:val="0"/>
          <w:i w:val="0"/>
        </w:rPr>
        <w:t>Như lịch sử lập pháp cho thấy rõ ràng, các cơ quan quản lý không được trao quyền phê duyệt hay từ chối một đợt chào bán cụ thể, điều thường được gọi là xét duyệt giá trị (merit review). Miễn là việc công bố thông tin chính xác và đầy đủ được thực hiện, đợt chào bán có thể tiến hành. Có một cuộc thảo luận sôi nổi trong lịch sử lập pháp của các luật chứng khoán về quyền của những người sáng lập (promoter) được bán cổ phần trong một công ty khai thác vàng từ nước biển, tương đương với thuật giả kim (alchemy) thời đó. Người bảo trợ cho đạo luật đã trả lời khẳng định, cho thấy rằng miễn là các rủi ro của hoạt động kinh doanh (có lẽ là thất bại không thể tránh khỏi) được công bố, cổ phần có thể được chào bán cho công chúng.</w:t>
      </w:r>
    </w:p>
    <w:p>
      <w:pPr>
        <w:spacing w:after="80"/>
      </w:pPr>
      <w:r>
        <w:rPr>
          <w:b w:val="0"/>
          <w:i w:val="0"/>
        </w:rPr>
        <w:t xml:space="preserve">Do đó, Đạo luật Chứng khoán đặt ra một tông điệu. Những người chịu trách nhiệm về các luật chứng khoán phần lớn sẽ bị giới hạn ở việc công bố thông tin, không có quyền điều chỉnh hành vi thực chất. Bản đăng ký thực sự cung cấp công bố thông tin đầy đủ vào thời điểm chào bán. Đạo luật Giao dịch Chứng khoán năm 1934 tìm cách thiết lập các yếu tố cần thiết cho một thị trường thứ cấp sôi động, bao gồm hệ thống công bố thông tin định kỳ của các công ty đại chúng. </w:t>
      </w:r>
      <w:r>
        <w:rPr>
          <w:b w:val="0"/>
          <w:i/>
        </w:rPr>
        <w:t>Xem</w:t>
      </w:r>
      <w:r>
        <w:rPr>
          <w:b w:val="0"/>
          <w:i w:val="0"/>
        </w:rPr>
        <w:t xml:space="preserve"> Mục 13(a), 15 USC m(a).</w:t>
      </w:r>
    </w:p>
    <w:p>
      <w:pPr>
        <w:spacing w:after="80"/>
      </w:pPr>
      <w:r>
        <w:rPr>
          <w:b w:val="0"/>
          <w:i w:val="0"/>
        </w:rPr>
        <w:t xml:space="preserve">Ủy ban đã thiết lập một hệ thống công bố thông tin tập trung vào báo cáo hàng quý. Các công ty đại chúng được yêu cầu nộp ba báo cáo hàng quý theo Mẫu 10-Q và một báo cáo hàng năm theo Mẫu 10-K. Một số diễn biến trọng yếu xảy ra giữa các báo cáo phải được nộp đồng thời theo báo cáo hiện hành trên Mẫu 8-K. Hệ thống này được mô tả là “một trong những công cụ quan trọng nhất để bảo vệ nhà đầu tư và bảo vệ thị trường vốn.” Trong </w:t>
      </w:r>
      <w:r>
        <w:rPr>
          <w:b w:val="0"/>
          <w:i/>
        </w:rPr>
        <w:t>re Alcohol Sensors Int'l, Ltd.</w:t>
      </w:r>
      <w:r>
        <w:rPr>
          <w:b w:val="0"/>
          <w:i w:val="0"/>
        </w:rPr>
        <w:t xml:space="preserve"> , Quyết định Ban đầu số 257 (thủ tục hành chính ngày 22 tháng 9 năm 2004).</w:t>
      </w:r>
    </w:p>
    <w:p>
      <w:pPr>
        <w:spacing w:after="80"/>
      </w:pPr>
      <w:r>
        <w:rPr>
          <w:b w:val="0"/>
          <w:i w:val="0"/>
        </w:rPr>
        <w:t xml:space="preserve">Đạo luật Giao dịch cũng trao cho SEC trách nhiệm giám sát quy trình ủy quyền (proxy). Ủy ban thực hiện điều này chủ yếu (nhưng không độc quyền) thông qua việc áp đặt các yêu cầu công bố thông tin. Liên quan đến cuộc họp thường niên nơi các giám đốc sẽ được bầu, các công ty đại chúng phải phân phối một bản tuyên bố ủy quyền (proxy statement) và một báo cáo thường niên (một tài liệu khác với báo cáo thường niên theo Mẫu 10-K) cho tất cả cổ đông (bao gồm cả chủ sở hữu hưởng lợi). </w:t>
      </w:r>
      <w:r>
        <w:rPr>
          <w:b w:val="0"/>
          <w:i/>
        </w:rPr>
        <w:t>Xem</w:t>
      </w:r>
      <w:r>
        <w:rPr>
          <w:b w:val="0"/>
          <w:i w:val="0"/>
        </w:rPr>
        <w:t xml:space="preserve"> Quy tắc 14a-3, 17 CFR § 240.14a-3. Tài liệu ủy quyền phải bao gồm thông tin mà nhà đầu tư cần để đưa ra quyết định sáng suốt tại cuộc họp.</w:t>
      </w:r>
    </w:p>
    <w:p>
      <w:pPr>
        <w:pStyle w:val="Heading4"/>
      </w:pPr>
      <w:r>
        <w:rPr>
          <w:rFonts w:ascii="Calibri" w:hAnsi="Calibri"/>
          <w:b/>
          <w:i w:val="0"/>
          <w:sz w:val="23"/>
        </w:rPr>
        <w:t>Công bố thông tin và Quản trị</w:t>
      </w:r>
    </w:p>
    <w:p>
      <w:pPr>
        <w:spacing w:after="80"/>
      </w:pPr>
      <w:r>
        <w:rPr>
          <w:b w:val="0"/>
          <w:i w:val="0"/>
        </w:rPr>
        <w:t>Phần lớn cấu trúc quản trị của một công ty đại chúng phải được công bố thông tin. Các giám đốc độc lập phải được xác định; các ủy ban và chức năng của chúng phải được mô tả; sự tham dự của các giám đốc phải được tiết lộ. Liên quan đến việc bầu cử giám đốc, bản tuyên bố ủy quyền bao gồm thông tin nền tảng đáng kể về các ứng viên cho hội đồng quản trị. Để đánh giá hiệu quả hoạt động của hội đồng quản trị đương nhiệm, tài liệu ủy quyền cũng bao gồm báo cáo tài chính đã được kiểm toán (thường được đính kèm với báo cáo thường niên). Ngoài ra, cổ đông được quyền nhận một số loại thông tin nhất định về ban quản lý, bao gồm thù lao trả cho các quan chức cấp cao nhất.</w:t>
      </w:r>
    </w:p>
    <w:p>
      <w:pPr>
        <w:pStyle w:val="Heading3"/>
      </w:pPr>
      <w:r>
        <w:rPr>
          <w:rFonts w:ascii="Calibri" w:hAnsi="Calibri"/>
          <w:b/>
          <w:i w:val="0"/>
          <w:sz w:val="26"/>
        </w:rPr>
        <w:t>A. Các Ủy ban của Hội đồng quản trị</w:t>
      </w:r>
    </w:p>
    <w:p>
      <w:pPr>
        <w:spacing w:after="80"/>
      </w:pPr>
      <w:r>
        <w:rPr>
          <w:b w:val="0"/>
          <w:i w:val="0"/>
        </w:rPr>
        <w:t>Bản tuyên bố ủy quyền cũng phải công bố thông tin về các thông lệ quản trị của hội đồng quản trị. Cụ thể, bản tuyên bố ủy quyền phải bao gồm công bố thông tin đáng kể về các ủy ban của hội đồng quản trị. Đặc biệt quan trọng là ủy ban kiểm toán.</w:t>
      </w:r>
    </w:p>
    <w:p>
      <w:pPr>
        <w:pStyle w:val="Heading4"/>
      </w:pPr>
      <w:r>
        <w:rPr>
          <w:rFonts w:ascii="Calibri" w:hAnsi="Calibri"/>
          <w:b/>
          <w:i w:val="0"/>
          <w:sz w:val="23"/>
        </w:rPr>
        <w:t>Mục 407(c)(2) của Quy định S-K: Quản trị Công ty</w:t>
      </w:r>
    </w:p>
    <w:p>
      <w:pPr>
        <w:spacing w:after="80"/>
      </w:pPr>
      <w:r>
        <w:rPr>
          <w:b w:val="0"/>
          <w:i w:val="0"/>
        </w:rPr>
        <w:t>17 CFR § 229.407(c)(2)</w:t>
      </w:r>
    </w:p>
    <w:p>
      <w:pPr>
        <w:spacing w:after="80"/>
      </w:pPr>
      <w:r>
        <w:rPr>
          <w:b/>
          <w:i w:val="0"/>
        </w:rPr>
        <w:t>(d)</w:t>
      </w:r>
      <w:r>
        <w:rPr>
          <w:b w:val="0"/>
          <w:i w:val="0"/>
        </w:rPr>
        <w:t xml:space="preserve"> </w:t>
      </w:r>
      <w:r>
        <w:rPr>
          <w:b w:val="0"/>
          <w:i/>
        </w:rPr>
        <w:t>Ủy ban kiểm toán.</w:t>
      </w:r>
    </w:p>
    <w:p>
      <w:pPr>
        <w:spacing w:after="80"/>
      </w:pPr>
      <w:r>
        <w:rPr>
          <w:b/>
          <w:i w:val="0"/>
        </w:rPr>
        <w:t>(1)</w:t>
      </w:r>
      <w:r>
        <w:rPr>
          <w:b w:val="0"/>
          <w:i w:val="0"/>
        </w:rPr>
        <w:t xml:space="preserve"> Nêu rõ liệu ủy ban kiểm toán có điều lệ (charter) hay không. Nếu ủy ban kiểm toán có điều lệ, cung cấp thông tin công bố theo yêu cầu của Hướng dẫn 2 cho Mục này liên quan đến điều lệ của ủy ban kiểm toán.</w:t>
      </w:r>
    </w:p>
    <w:p>
      <w:pPr>
        <w:spacing w:after="80"/>
      </w:pPr>
      <w:r>
        <w:rPr>
          <w:b/>
          <w:i w:val="0"/>
        </w:rPr>
        <w:t>(2)</w:t>
      </w:r>
      <w:r>
        <w:rPr>
          <w:b w:val="0"/>
          <w:i w:val="0"/>
        </w:rPr>
        <w:t xml:space="preserve"> Nếu hội đồng quản trị của một tổ chức phát hành niêm yết xác định, theo các tiêu chuẩn niêm yết áp dụng cho tổ chức phát hành, chỉ định một giám đốc vào ủy ban kiểm toán mà không độc lập (ngoài các yêu cầu trong § 240.10A-3 của chương này), bao gồm do các trường hợp đặc biệt hoặc hạn chế hoặc tương tự, công bố bản chất của mối quan hệ khiến cá nhân đó không độc lập và lý do cho quyết định của hội đồng quản trị.</w:t>
      </w:r>
    </w:p>
    <w:p>
      <w:pPr>
        <w:spacing w:after="80"/>
      </w:pPr>
      <w:r>
        <w:rPr>
          <w:b/>
          <w:i w:val="0"/>
        </w:rPr>
        <w:t>(3)</w:t>
      </w:r>
    </w:p>
    <w:p>
      <w:pPr>
        <w:spacing w:after="80"/>
      </w:pPr>
      <w:r>
        <w:rPr>
          <w:b/>
          <w:i w:val="0"/>
        </w:rPr>
        <w:t>(i)</w:t>
      </w:r>
      <w:r>
        <w:rPr>
          <w:b w:val="0"/>
          <w:i w:val="0"/>
        </w:rPr>
        <w:t xml:space="preserve"> Ủy ban kiểm toán phải nêu rõ liệu:</w:t>
      </w:r>
    </w:p>
    <w:p>
      <w:pPr>
        <w:spacing w:after="80"/>
      </w:pPr>
      <w:r>
        <w:rPr>
          <w:b/>
          <w:i w:val="0"/>
        </w:rPr>
        <w:t>(A)</w:t>
      </w:r>
      <w:r>
        <w:rPr>
          <w:b w:val="0"/>
          <w:i w:val="0"/>
        </w:rPr>
        <w:t xml:space="preserve"> Ủy ban kiểm toán đã xem xét và thảo luận các báo cáo tài chính đã được kiểm toán với ban điều hành;</w:t>
      </w:r>
    </w:p>
    <w:p>
      <w:pPr>
        <w:spacing w:after="80"/>
      </w:pPr>
      <w:r>
        <w:rPr>
          <w:b/>
          <w:i w:val="0"/>
        </w:rPr>
        <w:t>(B)</w:t>
      </w:r>
      <w:r>
        <w:rPr>
          <w:b w:val="0"/>
          <w:i w:val="0"/>
        </w:rPr>
        <w:t xml:space="preserve"> Ủy ban kiểm toán đã thảo luận với các kiểm toán viên độc lập về những vấn đề được yêu cầu thảo luận theo tuyên bố về Chuẩn mực Kiểm toán số 61, đã được sửa đổi (AICPA, </w:t>
      </w:r>
      <w:r>
        <w:rPr>
          <w:b w:val="0"/>
          <w:i/>
        </w:rPr>
        <w:t>Professional Standards</w:t>
      </w:r>
      <w:r>
        <w:rPr>
          <w:b w:val="0"/>
          <w:i w:val="0"/>
        </w:rPr>
        <w:t xml:space="preserve"> , Vol. 1. AU section 380), 1 như được Ủy ban Giám sát Kế toán Công ty Đại chúng (Public Company Accounting Oversight Board) thông qua trong Quy tắc 3200T;</w:t>
      </w:r>
    </w:p>
    <w:p>
      <w:pPr>
        <w:spacing w:after="80"/>
      </w:pPr>
      <w:r>
        <w:rPr>
          <w:b/>
          <w:i w:val="0"/>
        </w:rPr>
        <w:t>(C)</w:t>
      </w:r>
      <w:r>
        <w:rPr>
          <w:b w:val="0"/>
          <w:i w:val="0"/>
        </w:rPr>
        <w:t xml:space="preserve"> Ủy ban kiểm toán đã nhận được các tiết lộ bằng văn bản và lá thư từ kế toán viên độc lập theo yêu cầu hiện hành của Ủy ban Giám sát Kế toán Công ty Đại chúng liên quan đến việc kế toán viên độc lập trao đổi với ủy ban kiểm toán về tính độc lập, và đã thảo luận với kế toán viên độc lập về tính độc lập của kế toán viên độc lập đó; và</w:t>
      </w:r>
    </w:p>
    <w:p>
      <w:pPr>
        <w:spacing w:after="80"/>
      </w:pPr>
      <w:r>
        <w:rPr>
          <w:b/>
          <w:i w:val="0"/>
        </w:rPr>
        <w:t>(D)</w:t>
      </w:r>
      <w:r>
        <w:rPr>
          <w:b w:val="0"/>
          <w:i w:val="0"/>
        </w:rPr>
        <w:t xml:space="preserve"> Dựa trên việc xem xét và thảo luận được nêu trong các đoạn (d)(3)(i)(A) đến (d)(3)(i)(C) của Mục này, ủy ban kiểm toán đã đề xuất với hội đồng quản trị rằng các báo cáo tài chính đã được kiểm toán nên được đưa vào báo cáo thường niên của công ty theo Mẫu 10-K (17 CFR 249.310). . ., cho năm tài chính gần nhất để nộp cho Ủy ban Chứng khoán.</w:t>
      </w:r>
    </w:p>
    <w:p>
      <w:pPr>
        <w:spacing w:after="80"/>
      </w:pPr>
      <w:r>
        <w:rPr>
          <w:b/>
          <w:i w:val="0"/>
        </w:rPr>
        <w:t>(ii)</w:t>
      </w:r>
      <w:r>
        <w:rPr>
          <w:b w:val="0"/>
          <w:i w:val="0"/>
        </w:rPr>
        <w:t xml:space="preserve"> Tên của từng thành viên trong ủy ban kiểm toán của công ty (hoặc, nếu không có ủy ban kiểm toán, thì ủy ban của hội đồng quản trị thực hiện chức năng tương đương hoặc toàn bộ hội đồng quản trị) phải xuất hiện bên dưới phần tiết lộ theo yêu cầu của đoạn (d)(3)(i) của Mục này.</w:t>
      </w:r>
    </w:p>
    <w:p>
      <w:pPr>
        <w:spacing w:after="80"/>
      </w:pPr>
      <w:r>
        <w:rPr>
          <w:b w:val="0"/>
          <w:i w:val="0"/>
        </w:rPr>
        <w:t>—————</w:t>
      </w:r>
    </w:p>
    <w:p>
      <w:pPr>
        <w:pStyle w:val="Heading4"/>
      </w:pPr>
      <w:r>
        <w:rPr>
          <w:rFonts w:ascii="Calibri" w:hAnsi="Calibri"/>
          <w:b/>
          <w:i w:val="0"/>
          <w:sz w:val="23"/>
        </w:rPr>
        <w:t>Các Chuẩn mực Liên quan đến Ủy ban Kiểm toán của Công ty Niêm yết</w:t>
      </w:r>
    </w:p>
    <w:p>
      <w:pPr>
        <w:spacing w:after="80"/>
      </w:pPr>
      <w:r>
        <w:rPr>
          <w:b w:val="0"/>
          <w:i w:val="0"/>
        </w:rPr>
        <w:t>Thông cáo Luật Giao dịch Chứng khoán số 47654 (ngày 9 tháng 4 năm 2003)</w:t>
      </w:r>
    </w:p>
    <w:p>
      <w:pPr>
        <w:spacing w:after="80"/>
      </w:pPr>
      <w:r>
        <w:rPr>
          <w:b w:val="0"/>
          <w:i w:val="0"/>
        </w:rPr>
        <w:t>Việc giám sát hiệu quả quá trình báo cáo tài chính là nền tảng để bảo toàn tính toàn vẹn của thị trường chúng ta. Hội đồng quản trị, được cổ đông bầu chọn và chịu trách nhiệm trước cổ đông, là tâm điểm của hệ thống quản trị công ty. Ủy ban kiểm toán, bao gồm các thành viên của hội đồng quản trị, đóng vai trò then chốt trong việc giám sát và đóng vai trò kiểm tra và cân bằng đối với hệ thống báo cáo tài chính của công ty. Ủy ban kiểm toán cung cấp sự xem xét và giám sát độc lập đối với các quy trình báo cáo tài chính, kiểm soát nội bộ và kiểm toán viên độc lập của công ty. Nó tạo ra một diễn đàn tách biệt khỏi ban điều hành, nơi các kiểm toán viên và các bên liên quan khác có thể thẳng thắn thảo luận những lo ngại. Bằng cách thực hiện hiệu quả các chức năng và trách nhiệm của mình, ủy ban kiểm toán giúp đảm bảo rằng ban điều hành phát triển và tuân thủ đúng đắn một hệ thống kiểm soát nội bộ lành mạnh, rằng các thủ tục được thiết lập để đánh giá một cách khách quan các thông lệ và kiểm soát nội bộ của ban điều hành, và rằng các kiểm toán viên bên ngoài, thông qua việc xem xét của chính họ, đánh giá một cách khách quan các thông lệ báo cáo tài chính của công ty.</w:t>
      </w:r>
    </w:p>
    <w:p>
      <w:pPr>
        <w:spacing w:after="80"/>
      </w:pPr>
      <w:r>
        <w:rPr>
          <w:b w:val="0"/>
          <w:i w:val="0"/>
        </w:rPr>
        <w:t>* * *</w:t>
      </w:r>
    </w:p>
    <w:p>
      <w:pPr>
        <w:spacing w:after="80"/>
      </w:pPr>
      <w:r>
        <w:rPr>
          <w:b w:val="0"/>
          <w:i w:val="0"/>
        </w:rPr>
        <w:t>Một tổ chức phát hành thuộc phạm vi điều chỉnh của các quy tắc ủy quyền (proxy rules) hiện đang được yêu cầu tiết lộ thêm thông tin về ủy ban kiểm toán của mình trong bản tuyên bố ủy quyền (proxy statement) hoặc bản tuyên bố thông tin (information statement), nếu có hành động sẽ được thực hiện liên quan đến việc bầu chọn giám đốc. Thứ nhất, ủy ban kiểm toán phải cung cấp một báo cáo tiết lộ liệu ủy ban kiểm toán đã xem xét và thảo luận các báo cáo tài chính đã được kiểm toán với ban điều hành và đã thảo luận một số vấn đề nhất định với các kiểm toán viên độc lập hay chưa. Thứ hai, các tổ chức phát hành phải tiết lộ liệu ủy ban kiểm toán có được điều hành bởi một điều lệ (charter) hay không, và nếu có, phải đính kèm một bản sao của điều lệ như một phụ lục vào bản tuyên bố ủy quyền ít nhất một lần mỗi ba năm. Cuối cùng, tổ chức phát hành phải tiết lộ liệu các thành viên của ủy ban kiểm toán có độc lập hay không. . . .</w:t>
      </w:r>
    </w:p>
    <w:p>
      <w:pPr>
        <w:spacing w:after="80"/>
      </w:pPr>
      <w:r>
        <w:rPr>
          <w:b w:val="0"/>
          <w:i w:val="0"/>
        </w:rPr>
        <w:t>. . . Nếu tổ chức đăng ký là một tổ chức phát hành niêm yết, nó vẫn sẽ được yêu cầu tiết lộ liệu các thành viên trong ủy ban kiểm toán của mình có độc lập hay không. Tổ chức phát hành niêm yết phải sử dụng định nghĩa về tính độc lập dành cho các thành viên ủy ban kiểm toán được nêu trong các chuẩn mực niêm yết áp dụng cho tổ chức phát hành niêm yết đó. . . .</w:t>
      </w:r>
    </w:p>
    <w:p>
      <w:pPr>
        <w:spacing w:after="80"/>
      </w:pPr>
      <w:r>
        <w:rPr>
          <w:b w:val="0"/>
          <w:i w:val="0"/>
        </w:rPr>
        <w:t>Các tổ chức phát hành không niêm yết có ủy ban kiểm toán được chỉ định riêng vẫn sẽ được yêu cầu tiết lộ liệu các thành viên ủy ban kiểm toán của họ có độc lập hay không. Khi xác định liệu một thành viên có độc lập hay không, các tổ chức đăng ký này sẽ được phép chọn bất kỳ định nghĩa nào về tính độc lập của thành viên ủy ban kiểm toán của một sở giao dịch chứng khoán quốc gia hoặc hiệp hội chứng khoán quốc gia đã được Ủy ban Chứng khoán phê duyệt.</w:t>
      </w:r>
    </w:p>
    <w:p>
      <w:pPr>
        <w:pStyle w:val="Heading5"/>
      </w:pPr>
      <w:r>
        <w:rPr>
          <w:rFonts w:ascii="Calibri" w:hAnsi="Calibri"/>
          <w:b/>
          <w:i/>
          <w:sz w:val="22"/>
        </w:rPr>
        <w:t>Bình luận và Câu hỏi</w:t>
      </w:r>
    </w:p>
    <w:p>
      <w:pPr>
        <w:spacing w:after="80"/>
      </w:pPr>
      <w:r>
        <w:rPr>
          <w:b w:val="0"/>
          <w:i w:val="0"/>
        </w:rPr>
        <w:t>1. Ngoài ủy ban kiểm toán, Mục 407 yêu cầu tiết lộ liên quan đến các ủy ban thù lao và đề cử của hội đồng quản trị. Quy định này cũng yêu cầu các công ty xác định bất kỳ giám đốc nào không tham dự 75% các cuộc họp của hội đồng quản trị và ủy ban (tính gộp lại với nhau). Thông tin về việc tham dự có phải là thông tin trọng yếu không? Tác động có thể có của việc tiết lộ này là gì? Các cổ đông đôi khi tham gia vào các chiến dịch "bỏ phiếu không" (vote no) chống lại các giám đốc có thành tích tham dự kém.</w:t>
      </w:r>
    </w:p>
    <w:p>
      <w:pPr>
        <w:spacing w:after="80"/>
      </w:pPr>
      <w:r>
        <w:rPr>
          <w:b w:val="0"/>
          <w:i w:val="0"/>
        </w:rPr>
        <w:t>2. Mục đích của việc tiết lộ về ủy ban kiểm toán là gì? Ví dụ, nghĩa vụ tiết lộ liệu ủy ban có xem xét và thảo luận các báo cáo tài chính đã được kiểm toán hay không liệu có khả năng là trọng yếu đối với các nhà đầu tư không? Nếu không, thì nó có thể có mục đích nào khác?</w:t>
      </w:r>
    </w:p>
    <w:p>
      <w:pPr>
        <w:spacing w:after="80"/>
      </w:pPr>
      <w:r>
        <w:rPr>
          <w:b w:val="0"/>
          <w:i w:val="0"/>
        </w:rPr>
        <w:t xml:space="preserve">3. Các yêu cầu công bố thông tin trong Mục 407 cần được xem xét trong bối cảnh các yêu cầu khác điều chỉnh ủy ban kiểm toán (audit committee) của các công ty niêm yết. Vì vậy, Mục 407 chỉ yêu cầu các công ty công bố điều lệ (charter) của ủy ban kiểm toán nếu đã có điều lệ được thông qua. Trong khi đó, các tiêu chuẩn niêm yết của NYSE lại yêu cầu ủy ban kiểm toán của các công ty niêm yết phải có điều lệ quy định, trong số những vấn đề khác, việc giám sát báo cáo tài chính và hoạt động của các kiểm toán viên độc lập. </w:t>
      </w:r>
      <w:r>
        <w:rPr>
          <w:b w:val="0"/>
          <w:i/>
        </w:rPr>
        <w:t>Xem</w:t>
      </w:r>
      <w:r>
        <w:rPr>
          <w:b w:val="0"/>
          <w:i w:val="0"/>
        </w:rPr>
        <w:t xml:space="preserve"> NYSE 303A.07. Các tiêu chuẩn niêm yết dành cho ủy ban kiểm toán chịu ảnh hưởng của Rule 10A-3, 17 CFR § 240.10A-3. Quy tắc này bắt buộc các sàn giao dịch phải thông qua các tiêu chuẩn niêm yết điều chỉnh trách nhiệm của ủy ban kiểm toán. Những trách nhiệm này bao gồm nghĩa vụ bổ nhiệm và miễn nhiệm kiểm toán viên bên ngoài.</w:t>
      </w:r>
    </w:p>
    <w:p>
      <w:pPr>
        <w:spacing w:after="80"/>
      </w:pPr>
      <w:r>
        <w:rPr>
          <w:b w:val="0"/>
          <w:i w:val="0"/>
        </w:rPr>
        <w:t xml:space="preserve">4. Liệu việc không công bố đúng các thông tin mà Mục 407 yêu cầu có thể dẫn đến một vụ kiện tư nhân theo luật chứng khoán hay không? Quyền khởi kiện tư nhân thực sự tồn tại trong điều khoản chống gian lận (antifraud provision) nằm trong các quy tắc ủy quyền (proxy rules). </w:t>
      </w:r>
      <w:r>
        <w:rPr>
          <w:b w:val="0"/>
          <w:i/>
        </w:rPr>
        <w:t>Xem</w:t>
      </w:r>
      <w:r>
        <w:rPr>
          <w:b w:val="0"/>
          <w:i w:val="0"/>
        </w:rPr>
        <w:t xml:space="preserve"> Rule 14a-9, 17 CFR § 240.14a-9. Ai sẽ là người khởi kiện và đâu sẽ là những trở ngại đáng kể nhất đối với bất kỳ vụ kiện nào về các vi phạm?</w:t>
      </w:r>
    </w:p>
    <w:p>
      <w:pPr>
        <w:spacing w:after="80"/>
      </w:pPr>
      <w:r>
        <w:rPr>
          <w:b w:val="0"/>
          <w:i w:val="0"/>
        </w:rPr>
        <w:t>—————</w:t>
      </w:r>
    </w:p>
    <w:p>
      <w:pPr>
        <w:pStyle w:val="Heading4"/>
      </w:pPr>
      <w:r>
        <w:rPr>
          <w:rFonts w:ascii="Calibri" w:hAnsi="Calibri"/>
          <w:b/>
          <w:i w:val="0"/>
          <w:sz w:val="23"/>
        </w:rPr>
        <w:t>Trong Vụ việc Kiang</w:t>
      </w:r>
    </w:p>
    <w:p>
      <w:pPr>
        <w:spacing w:after="80"/>
      </w:pPr>
      <w:r>
        <w:rPr>
          <w:b w:val="0"/>
          <w:i/>
        </w:rPr>
        <w:t>Exchange Act Release No. 71824 (ngày 27 tháng 3 năm 2014)</w:t>
      </w:r>
    </w:p>
    <w:p>
      <w:pPr>
        <w:spacing w:after="80"/>
      </w:pPr>
      <w:r>
        <w:rPr>
          <w:b w:val="0"/>
          <w:i w:val="0"/>
        </w:rPr>
        <w:t>II.</w:t>
      </w:r>
    </w:p>
    <w:p>
      <w:pPr>
        <w:spacing w:after="80"/>
      </w:pPr>
      <w:r>
        <w:rPr>
          <w:b w:val="0"/>
          <w:i w:val="0"/>
        </w:rPr>
        <w:t>Để đón trước việc khởi xướng các thủ tục tố tụng này, Bị đơn (Respondent) đã đệ trình một Đề nghị Hòa giải (Offer of Settlement) (gọi là “Đề nghị”) mà Ủy ban (Commission) đã quyết định chấp nhận. Chỉ nhằm mục đích của các thủ tục tố tụng này và bất kỳ thủ tục tố tụng nào khác do Ủy ban hoặc thay mặt Ủy ban khởi xướng, hoặc mà Ủy ban là một bên, và không thừa nhận cũng không phủ nhận các phát hiện trong đây, ngoại trừ thẩm quyền của Ủy ban đối với bà và đối tượng của các thủ tục tố tụng này, những điều được thừa nhận, Bị đơn đồng ý với việc ban hành Lệnh này Khởi xướng Thủ tục Yêu cầu Chấm dứt và Ngừng vi phạm (Cease-and-Desist Proceedings) theo Mục 21C của Đạo luật Giao dịch Chứng khoán năm 1934, Đưa ra các Phát hiện, và Ban hành Lệnh Chấm dứt và Ngừng vi phạm (“Lệnh”), như được trình bày dưới đây.</w:t>
      </w:r>
    </w:p>
    <w:p>
      <w:pPr>
        <w:spacing w:after="80"/>
      </w:pPr>
      <w:r>
        <w:rPr>
          <w:b w:val="0"/>
          <w:i w:val="0"/>
        </w:rPr>
        <w:t>* * *</w:t>
      </w:r>
    </w:p>
    <w:p>
      <w:pPr>
        <w:spacing w:after="80"/>
      </w:pPr>
      <w:r>
        <w:rPr>
          <w:b w:val="0"/>
          <w:i w:val="0"/>
        </w:rPr>
        <w:t>2. Bắt đầu từ khoảng tháng 4 năm 2008, L&amp;L không có CFO, vì CFO trước đó của công ty vừa mới từ chức. L&amp;L, dưới sự lãnh đạo của Lee, muốn thuê một Quyền CFO (Acting CFO) và, để đạt mục đích đó, đã nghĩ đến người được cho là Quyền CFO, người trước đây từng gắn bó với công ty với tư cách kế toán viên từ năm 1997 đến năm 2004, và với tư cách giám đốc cho đến năm 2006.</w:t>
      </w:r>
    </w:p>
    <w:p>
      <w:pPr>
        <w:spacing w:after="80"/>
      </w:pPr>
      <w:r>
        <w:rPr>
          <w:b w:val="0"/>
          <w:i w:val="0"/>
        </w:rPr>
        <w:t>3. Trong một email ngày 14 tháng 7 năm 2008 gửi cho Lee, người được cho là Quyền CFO đã từ chối lời đề nghị trở thành Quyền CFO của L&amp;L.</w:t>
      </w:r>
    </w:p>
    <w:p>
      <w:pPr>
        <w:spacing w:after="80"/>
      </w:pPr>
      <w:r>
        <w:rPr>
          <w:b w:val="0"/>
          <w:i w:val="0"/>
        </w:rPr>
        <w:t>4. Bất chấp sự từ chối này, L&amp;L đã xuyên tạc rằng người được cho là Quyền CFO chính là Quyền CFO thực tế của công ty trong bốn hồ sơ công bố riêng biệt với Ủy ban, bao gồm Mẫu 10-K của công ty cho năm tài chính 2008, và ba Mẫu 10-Q tiếp theo cho năm tài chính 2009. Mỗi hồ sơ đều bao gồm một chứng nhận Sarbanes-Oxley với chữ ký số của người được cho là Quyền CFO rằng bà đã, trong số những điều khác, xác nhận tính chính xác của báo cáo tài chính công ty và tính phù hợp của các kiểm soát và thủ tục công bố thông tin của công ty. Tuy nhiên, người được cho là Quyền CFO chưa bao giờ thực hiện bất kỳ chức năng nào như vậy.</w:t>
      </w:r>
    </w:p>
    <w:p>
      <w:pPr>
        <w:spacing w:after="80"/>
      </w:pPr>
      <w:r>
        <w:rPr>
          <w:b w:val="0"/>
          <w:i w:val="0"/>
        </w:rPr>
        <w:t>5. Vào tháng 5 năm 2009, người được cho là Quyền CFO biết được rằng L&amp;L đã xuyên tạc bà là Quyền CFO thực tế của công ty trong các hồ sơ nêu trên và đã gửi nhiều email cho Lee, yêu cầu giải thích. Trong một email ngày 19 tháng 5 năm 2009, Lee đã viết cho người được cho là Quyền CFO rằng bà “đã không thực hiện công việc của Quyền CFO.”</w:t>
      </w:r>
    </w:p>
    <w:p>
      <w:pPr>
        <w:spacing w:after="80"/>
      </w:pPr>
      <w:r>
        <w:rPr>
          <w:b w:val="0"/>
          <w:i w:val="0"/>
        </w:rPr>
        <w:t>6. Vào ngày 21 tháng 5 năm 2009, người được cho là Quyền CFO đã gửi email cho Kiang, người lúc đó là Chủ tịch Ủy ban Kiểm toán gồm ba người của công ty và là thành viên Hội đồng Quản trị của công ty. Trước email này, Kiang không có tương tác nào với người được cho là Quyền CFO liên quan đến bất kỳ hoạt động kinh doanh nào của L&amp;L. Trong email, người được cho là Quyền CFO nói với Kiang rằng bà có một vấn đề “nghiêm trọng và khẩn cấp” liên quan đến các hồ sơ của L&amp;L được thực hiện mà không có sự hiểu biết của bà và yêu cầu bà điều tra.</w:t>
      </w:r>
    </w:p>
    <w:p>
      <w:pPr>
        <w:spacing w:after="80"/>
      </w:pPr>
      <w:r>
        <w:rPr>
          <w:b w:val="0"/>
          <w:i w:val="0"/>
        </w:rPr>
        <w:t>7. Kiang sau đó đã liên hệ với Lee và hỏi liệu người được cho là Quyền CFO có thực sự đã từng giữ chức Quyền CFO của công ty hay không, và được thông báo rằng người được cho là Quyền CFO thực sự đã từng giữ chức Quyền CFO của công ty và đang đưa ra những cáo buộc sai sự thật nhằm cố gắng lấy tiền từ công ty. Kiang không liên hệ với bất kỳ ai khác, bao gồm bất kỳ ai tại công ty hoặc các kiểm toán viên bên ngoài của công ty, để điều tra liệu người được cho là Quyền CFO có thực sự đã từng giữ chức Quyền CFO của công ty hay không.</w:t>
      </w:r>
    </w:p>
    <w:p>
      <w:pPr>
        <w:spacing w:after="80"/>
      </w:pPr>
      <w:r>
        <w:rPr>
          <w:b w:val="0"/>
          <w:i w:val="0"/>
        </w:rPr>
        <w:t>8. Vào ngày 4 tháng 6 năm 2009—sau khi không nhận được phản hồi nào từ Kiang—người được cho là Quyền CFO đã gửi email cho bà một lần nữa. Người được cho là Quyền CFO hỏi liệu Kiang đã điều tra các cáo buộc rằng bà chưa thực sự giữ chức Quyền CFO của công ty hay chưa, và trong email, đã đính kèm email ngày 14 tháng 7 năm 2008 của bà, trong đó bà từ chối lời đề nghị làm Quyền CFO của L&amp;L.</w:t>
      </w:r>
    </w:p>
    <w:p>
      <w:pPr>
        <w:spacing w:after="80"/>
      </w:pPr>
      <w:r>
        <w:rPr>
          <w:b w:val="0"/>
          <w:i w:val="0"/>
        </w:rPr>
        <w:t>9. Sau khi nhận được email, Kiang đã hỏi Lee để giải thích. Lee nói với Kiang rằng người được cho là Quyền CFO chưa thực sự giữ chức Quyền CFO của công ty; rằng ông đã sử dụng tên của người được cho là Quyền CFO trên các hồ sơ công bố của L&amp;L mà không có sự cho phép của người được cho là Quyền CFO; bảo Kiang đừng lo lắng về điều đó vì nó đã là chuyện quá khứ2; bảo Kiang đừng nói với ai về người được cho là Quyền CFO, bao gồm Hội đồng Quản trị của công ty hoặc công chúng; và rằng, nếu bà chia sẻ thông tin này với bất kỳ ai, danh tiếng của L&amp;L sẽ bị ảnh hưởng tiêu cực và giá cổ phiếu của công ty sẽ giảm.</w:t>
      </w:r>
    </w:p>
    <w:p>
      <w:pPr>
        <w:spacing w:after="80"/>
      </w:pPr>
      <w:r>
        <w:rPr>
          <w:b w:val="0"/>
          <w:i w:val="0"/>
        </w:rPr>
        <w:t>10. Vào ngày 12 tháng 8 năm 2009, L&amp;L đã nộp Mẫu 10-K năm 2009 của mình, trong đó có một chứng nhận Sarbanes-Oxley sai sự thật rằng—dựa trên đánh giá gần nhất của Lee và các viên chức chứng nhận khác về kiểm soát nội bộ của công ty đối với báo cáo tài chính—mọi hành vi gian lận, dù trọng yếu hay không, liên quan đến ban quản lý đều đã được tiết lộ cho kiểm toán viên của công ty và cho Ủy ban Kiểm toán của công ty. Kiang đã ký Mẫu 10-K năm 2009 của L&amp;L với tư cách là Chủ tịch Ủy ban Kiểm toán và là Giám đốc, trong khi bà biết hoặc lẽ ra phải biết rằng mọi hành vi gian lận, dù trọng yếu hay không, liên quan đến ban quản lý đã không được tiết lộ cho kiểm toán viên của công ty và Ủy ban Kiểm toán của công ty.</w:t>
      </w:r>
    </w:p>
    <w:p>
      <w:pPr>
        <w:spacing w:after="80"/>
      </w:pPr>
      <w:r>
        <w:rPr>
          <w:b w:val="0"/>
          <w:i w:val="0"/>
        </w:rPr>
        <w:t>Vi phạm</w:t>
      </w:r>
    </w:p>
    <w:p>
      <w:pPr>
        <w:spacing w:after="80"/>
      </w:pPr>
      <w:r>
        <w:rPr>
          <w:b w:val="0"/>
          <w:i w:val="0"/>
        </w:rPr>
        <w:t>11. Theo Mục 21C của Đạo luật Giao dịch Chứng khoán (Exchange Act), Ủy ban có thể áp đặt lệnh đình chỉ và chấm dứt đối với, trong số những người khác, bất kỳ người nào đang, đã từng, hoặc sẽ là nguyên nhân gây ra vi phạm, do một hành động hoặc thiếu sót mà người đó biết hoặc lẽ ra phải biết sẽ góp phần vào vi phạm đó đối với bất kỳ quy định nào của Đạo luật Giao dịch Chứng khoán.</w:t>
      </w:r>
    </w:p>
    <w:p>
      <w:pPr>
        <w:spacing w:after="80"/>
      </w:pPr>
      <w:r>
        <w:rPr>
          <w:b w:val="0"/>
          <w:i w:val="0"/>
        </w:rPr>
        <w:t xml:space="preserve">12. Mục 13(a) của Đạo luật Giao dịch Chứng khoán yêu cầu các tổ chức phát hành có chứng khoán được đăng ký theo Mục 12 của Đạo luật Giao dịch Chứng khoán phải nộp các báo cáo định kỳ và các báo cáo khác như Ủy ban có thể quy định và phù hợp với các quy tắc mà Ủy ban có thể ban hành. Quy tắc 13a-1 của Đạo luật Giao dịch Chứng khoán yêu cầu nộp báo cáo thường niên. Ngoài thông tin được yêu cầu rõ ràng phải đưa vào các báo cáo đó, Quy tắc 12b-20 theo Đạo luật Giao dịch Chứng khoán yêu cầu các tổ chức phát hành phải bổ sung thêm thông tin trọng yếu cần thiết, nếu có, để làm cho các tuyên bố được đưa ra, trong bối cảnh chúng được đưa ra, không gây hiểu lầm. “Các quy định về báo cáo của Đạo luật Giao dịch Chứng khoán là rõ ràng và dứt khoát, và chúng chỉ được thỏa mãn bằng việc nộp các báo cáo đầy đủ, chính xác và đúng hạn.” </w:t>
      </w:r>
      <w:r>
        <w:rPr>
          <w:b w:val="0"/>
          <w:i/>
        </w:rPr>
        <w:t>SEC v. Savoy Industries,</w:t>
      </w:r>
      <w:r>
        <w:rPr>
          <w:b w:val="0"/>
          <w:i w:val="0"/>
        </w:rPr>
        <w:t xml:space="preserve"> 587 F.2d 1149, 1165 (D.C. Cir. 1978) (trích dẫn </w:t>
      </w:r>
      <w:r>
        <w:rPr>
          <w:b w:val="0"/>
          <w:i/>
        </w:rPr>
        <w:t>SEC v. IMC Int'l, Inc.,</w:t>
      </w:r>
      <w:r>
        <w:rPr>
          <w:b w:val="0"/>
          <w:i w:val="0"/>
        </w:rPr>
        <w:t xml:space="preserve"> 384 F. Supp. 889, 893 (N.D. Tex. 1974)). Một vi phạm các quy định về báo cáo được xác lập nếu một báo cáo được chứng minh là chứa thông tin sai lệch hoặc gây hiểu lầm một cách trọng yếu. </w:t>
      </w:r>
      <w:r>
        <w:rPr>
          <w:b w:val="0"/>
          <w:i/>
        </w:rPr>
        <w:t>SEC v. Kalvex, Inc.,</w:t>
      </w:r>
      <w:r>
        <w:rPr>
          <w:b w:val="0"/>
          <w:i w:val="0"/>
        </w:rPr>
        <w:t xml:space="preserve"> 425 F. Supp. 310, 316 (S.D.N.Y. 1975).</w:t>
      </w:r>
    </w:p>
    <w:p>
      <w:pPr>
        <w:spacing w:after="80"/>
      </w:pPr>
      <w:r>
        <w:rPr>
          <w:b w:val="0"/>
          <w:i w:val="0"/>
        </w:rPr>
        <w:t>13. L&amp;L đã vi phạm Mục 13(a) của Đạo luật Giao dịch Chứng khoán và các Quy tắc 12b-20 và 13a-1 theo đó bằng việc nộp một báo cáo thường niên—Mẫu 10-K năm 2009—trong đó có một chứng nhận Sarbanes-Oxley sai sự thật rằng—dựa trên đánh giá gần nhất của CEO và các viên chức chứng nhận khác về kiểm soát nội bộ của công ty đối với báo cáo tài chính—mọi hành vi gian lận, dù trọng yếu hay không, liên quan đến ban quản lý đều đã được tiết lộ cho kiểm toán viên của công ty và Ủy ban Kiểm toán của công ty.</w:t>
      </w:r>
    </w:p>
    <w:p>
      <w:pPr>
        <w:spacing w:after="80"/>
      </w:pPr>
      <w:r>
        <w:rPr>
          <w:b w:val="0"/>
          <w:i w:val="0"/>
        </w:rPr>
        <w:t>14. Bằng việc thực hiện hành vi được mô tả ở trên, Kiang đã gây ra các vi phạm của L&amp;L đối với Mục 13(a) của Đạo luật Giao dịch Chứng khoán và các Quy tắc 12b-20 và 13a-1 theo đó.</w:t>
      </w:r>
    </w:p>
    <w:p>
      <w:pPr>
        <w:spacing w:after="80"/>
      </w:pPr>
      <w:r>
        <w:rPr>
          <w:b/>
          <w:i w:val="0"/>
        </w:rPr>
        <w:t>IV.</w:t>
      </w:r>
    </w:p>
    <w:p>
      <w:pPr>
        <w:spacing w:after="80"/>
      </w:pPr>
      <w:r>
        <w:rPr>
          <w:b w:val="0"/>
          <w:i w:val="0"/>
        </w:rPr>
        <w:t>Xét thấy những điều nêu trên, Ủy ban cho rằng việc áp đặt các biện pháp chế tài đã được đồng ý trong Đề nghị của Bị đơn là thích hợp.</w:t>
      </w:r>
    </w:p>
    <w:p>
      <w:pPr>
        <w:spacing w:after="80"/>
      </w:pPr>
      <w:r>
        <w:rPr>
          <w:b w:val="0"/>
          <w:i w:val="0"/>
        </w:rPr>
        <w:t>Theo đó, căn cứ theo Mục 21C của Đạo luật Giao dịch Chứng khoán, nay RA LỆNH rằng:</w:t>
      </w:r>
    </w:p>
    <w:p>
      <w:pPr>
        <w:spacing w:after="80"/>
      </w:pPr>
      <w:r>
        <w:rPr>
          <w:b w:val="0"/>
          <w:i w:val="0"/>
        </w:rPr>
        <w:t>A. Bị đơn Kiang phải đình chỉ và chấm dứt việc thực hiện hoặc gây ra bất kỳ vi phạm nào và bất kỳ vi phạm nào trong tương lai đối với Mục 13(a) của Đạo luật Giao dịch Chứng khoán và các Quy tắc 12b-20 và 13a-1 được ban hành theo đó.</w:t>
      </w:r>
    </w:p>
    <w:p>
      <w:pPr>
        <w:spacing w:after="80"/>
      </w:pPr>
      <w:r>
        <w:rPr>
          <w:b w:val="0"/>
          <w:i w:val="0"/>
        </w:rPr>
        <w:t>B. Để thực thi việc tuân thủ quy định và các quy tắc nêu trên của Đạo luật Giao dịch Chứng khoán, Kiang phải vĩnh viễn không ký bất kỳ hồ sơ công khai nào của Ủy ban có chứa bất kỳ chứng nhận nào được yêu cầu theo Đạo luật Sarbanes-Oxley năm 2002.</w:t>
      </w:r>
    </w:p>
    <w:p>
      <w:pPr>
        <w:spacing w:after="80"/>
      </w:pPr>
      <w:r>
        <w:rPr>
          <w:b w:val="0"/>
          <w:i w:val="0"/>
        </w:rPr>
        <w:t>Do Ủy ban ban hành.</w:t>
      </w:r>
    </w:p>
    <w:p>
      <w:pPr>
        <w:pStyle w:val="Heading5"/>
      </w:pPr>
      <w:r>
        <w:rPr>
          <w:rFonts w:ascii="Calibri" w:hAnsi="Calibri"/>
          <w:b/>
          <w:i/>
          <w:sz w:val="22"/>
        </w:rPr>
        <w:t>Bình luận và Câu hỏi</w:t>
      </w:r>
    </w:p>
    <w:p>
      <w:pPr>
        <w:spacing w:after="80"/>
      </w:pPr>
      <w:r>
        <w:rPr>
          <w:b w:val="0"/>
          <w:i w:val="0"/>
        </w:rPr>
        <w:t>1. Như thường thấy trong một thủ tục hành chính đã được dàn xếp, bị đơn trong vụ án không thừa nhận cũng không phủ nhận các phát hiện. Tại sao lại như vậy? Bạn có cho rằng việc chấp nhận dàn xếp mà không có sự thừa nhận về mặt sự kiện là một chính sách tốt không?</w:t>
      </w:r>
    </w:p>
    <w:p>
      <w:pPr>
        <w:spacing w:after="80"/>
      </w:pPr>
      <w:r>
        <w:rPr>
          <w:b w:val="0"/>
          <w:i w:val="0"/>
        </w:rPr>
        <w:t>2. Chẳng phải vi phạm nghĩa vụ của giám đốc nói chung là vấn đề thuộc luật tiểu bang sao? Điều gì đã cho SEC thẩm quyền khởi kiện trong vụ án này? Bạn có thể đưa ra lời khuyên gì cho một hội đồng quản trị sau phán quyết này?</w:t>
      </w:r>
    </w:p>
    <w:p>
      <w:pPr>
        <w:spacing w:after="80"/>
      </w:pPr>
      <w:r>
        <w:rPr>
          <w:b w:val="0"/>
          <w:i w:val="0"/>
        </w:rPr>
        <w:t>3. Liệu chủ tịch có biết về vi phạm nếu bà không tham gia vào ủy ban kiểm toán đó không? Điều này gợi ý gì về rủi ro trách nhiệm pháp lý đối với những người phục vụ trong ủy ban kiểm toán?</w:t>
      </w:r>
    </w:p>
    <w:p>
      <w:pPr>
        <w:spacing w:after="80"/>
      </w:pPr>
      <w:r>
        <w:rPr>
          <w:b w:val="0"/>
          <w:i w:val="0"/>
        </w:rPr>
        <w:t>4. Liệu SEC có thể làm gì để giảm bớt rủi ro trách nhiệm pháp lý này cho những người phục vụ trong ủy ban kiểm toán (audit committee) không? Đối với các giám đốc được chỉ định là “chuyên gia tài chính” (financial expert), SEC đã tuyên bố rằng việc chỉ định như vậy “không áp đặt lên những người đó bất kỳ nghĩa vụ, trách nhiệm hay trách nhiệm pháp lý nào lớn hơn các nghĩa vụ, trách nhiệm và trách nhiệm pháp lý được áp đặt lên người đó với tư cách là thành viên của ủy ban kiểm toán và hội đồng quản trị khi không có việc chỉ định và nhận diện như vậy.” Mục 407(d)(5)(ii) của Regulation S-K. Ngôn ngữ này có thể có ảnh hưởng gì đến trách nhiệm pháp lý?</w:t>
      </w:r>
    </w:p>
    <w:p>
      <w:pPr>
        <w:spacing w:after="80"/>
      </w:pPr>
      <w:r>
        <w:rPr>
          <w:b w:val="0"/>
          <w:i w:val="0"/>
        </w:rPr>
        <w:t>5. Tại sao giám đốc trong trường hợp này lại ký báo cáo thường niên theo Mẫu 10-K? Đối với những người được yêu cầu ký mẫu này, xem Hướng dẫn chung D đối với Mẫu 10-K. Việc thực hiện ký mẫu này đóng vai trò gì trong việc áp đặt trách nhiệm pháp lý?</w:t>
      </w:r>
    </w:p>
    <w:p>
      <w:pPr>
        <w:pStyle w:val="Heading3"/>
      </w:pPr>
      <w:r>
        <w:rPr>
          <w:rFonts w:ascii="Calibri" w:hAnsi="Calibri"/>
          <w:b/>
          <w:i w:val="0"/>
          <w:sz w:val="26"/>
        </w:rPr>
        <w:t>B. Đa dạng hội đồng quản trị</w:t>
      </w:r>
    </w:p>
    <w:p>
      <w:pPr>
        <w:spacing w:after="80"/>
      </w:pPr>
      <w:r>
        <w:rPr>
          <w:b w:val="0"/>
          <w:i w:val="0"/>
        </w:rPr>
        <w:t>Mục 407 yêu cầu các loại công bố thông tin khác về cơ cấu hội đồng quản trị. Việc công bố thông tin cũng phải đề cập đến các vấn đề liên quan đến tính đa dạng của hội đồng quản trị.</w:t>
      </w:r>
    </w:p>
    <w:p>
      <w:pPr>
        <w:pStyle w:val="Heading4"/>
      </w:pPr>
      <w:r>
        <w:rPr>
          <w:rFonts w:ascii="Calibri" w:hAnsi="Calibri"/>
          <w:b/>
          <w:i w:val="0"/>
          <w:sz w:val="23"/>
        </w:rPr>
        <w:t>Mục 407 của Regulation S-K: Quản trị công ty</w:t>
      </w:r>
    </w:p>
    <w:p>
      <w:pPr>
        <w:spacing w:after="80"/>
      </w:pPr>
      <w:r>
        <w:rPr>
          <w:b w:val="0"/>
          <w:i w:val="0"/>
        </w:rPr>
        <w:t>17 CFR § 229.407</w:t>
      </w:r>
    </w:p>
    <w:p>
      <w:pPr>
        <w:spacing w:after="80"/>
      </w:pPr>
      <w:r>
        <w:rPr>
          <w:b w:val="0"/>
          <w:i w:val="0"/>
        </w:rPr>
        <w:t>(vi) Mô tả quy trình của ủy ban đề cử (nominating committee) trong việc xác định và đánh giá các ứng viên giám đốc, bao gồm các ứng viên được chủ sở hữu chứng khoán đề xuất, và bất kỳ sự khác biệt nào trong cách thức mà ủy ban đề cử đánh giá các ứng viên giám đốc dựa trên việc ứng viên đó có được chủ sở hữu chứng khoán đề xuất hay không, và liệu ủy ban đề cử (hoặc hội đồng quản trị) có xem xét tính đa dạng khi xác định các ứng viên giám đốc hay không, và nếu có thì như thế nào. Nếu ủy ban đề cử (hoặc hội đồng quản trị) có chính sách liên quan đến việc xem xét tính đa dạng khi xác định các ứng viên giám đốc, hãy mô tả cách chính sách này được thực hiện, cũng như cách ủy ban đề cử (hoặc hội đồng quản trị) đánh giá hiệu quả của chính sách đó. . . .</w:t>
      </w:r>
    </w:p>
    <w:p>
      <w:pPr>
        <w:pStyle w:val="Heading4"/>
      </w:pPr>
      <w:r>
        <w:rPr>
          <w:rFonts w:ascii="Calibri" w:hAnsi="Calibri"/>
          <w:b/>
          <w:i w:val="0"/>
          <w:sz w:val="23"/>
        </w:rPr>
        <w:t>Tăng cường công bố thông tin ủy quyền</w:t>
      </w:r>
    </w:p>
    <w:p>
      <w:pPr>
        <w:spacing w:after="80"/>
      </w:pPr>
      <w:r>
        <w:rPr>
          <w:b w:val="0"/>
          <w:i w:val="0"/>
        </w:rPr>
        <w:t>Exchange Act Release No. 61175 (ngày 16 tháng 12 năm 2009)</w:t>
      </w:r>
    </w:p>
    <w:p>
      <w:pPr>
        <w:spacing w:after="80"/>
      </w:pPr>
      <w:r>
        <w:rPr>
          <w:b w:val="0"/>
          <w:i w:val="0"/>
        </w:rPr>
        <w:t>B. Tăng cường công bố thông tin về giám đốc và ứng viên</w:t>
      </w:r>
    </w:p>
    <w:p>
      <w:pPr>
        <w:spacing w:after="80"/>
      </w:pPr>
      <w:r>
        <w:rPr>
          <w:b w:val="0"/>
          <w:i w:val="0"/>
        </w:rPr>
        <w:t>Chúng tôi đã đề xuất sửa đổi Mục 401 của Regulation S-K để mở rộng các yêu cầu công bố thông tin liên quan đến trình độ của giám đốc và ứng viên, các vị trí giám đốc trong quá khứ mà giám đốc và ứng viên đã nắm giữ, và khoảng thời gian công bố thông tin về các thủ tục pháp lý liên quan đến giám đốc, ứng viên và cán bộ điều hành. Chúng tôi đang thông qua các thay đổi về cơ bản như đã đề xuất, nhưng đã thực hiện các sửa đổi để phản hồi các ý kiến đóng góp.</w:t>
      </w:r>
    </w:p>
    <w:p>
      <w:pPr>
        <w:spacing w:after="80"/>
      </w:pPr>
      <w:r>
        <w:rPr>
          <w:b w:val="0"/>
          <w:i w:val="0"/>
        </w:rPr>
        <w:t>* * *</w:t>
      </w:r>
    </w:p>
    <w:p>
      <w:pPr>
        <w:spacing w:after="80"/>
      </w:pPr>
      <w:r>
        <w:rPr>
          <w:b w:val="0"/>
          <w:i w:val="0"/>
        </w:rPr>
        <w:t>Trong Tài liệu Đề xuất (Proposing Release), chúng tôi cũng đã yêu cầu ý kiến về việc liệu chúng tôi có nên sửa đổi các quy tắc của mình để yêu cầu công bố thông tin về các yếu tố bổ sung mà ủy ban đề cử xem xét khi lựa chọn ai đó cho một vị trí trong hội đồng quản trị, chẳng hạn như tính đa dạng của hội đồng quản trị, hay không. Một số lượng đáng kể người đóng góp ý kiến đã phản hồi rằng công bố thông tin về tính đa dạng của hội đồng quản trị là thông tin quan trọng đối với nhà đầu tư. Nhiều người trong số những người đóng góp ý kiến này tin rằng việc yêu cầu công bố thông tin này sẽ cung cấp cho nhà đầu tư thông tin về văn hóa công ty và các thông lệ quản trị, giúp nhà đầu tư đưa ra quyết định bỏ phiếu và đầu tư sáng suốt hơn. Những người đóng góp ý kiến cũng lưu ý rằng dường như có một mối quan hệ có ý nghĩa giữa các hội đồng quản trị đa dạng và hiệu quả tài chính công ty được cải thiện, và rằng các hội đồng quản trị đa dạng có thể giúp các công ty tuyển dụng nhân tài và giữ chân nhân viên hiệu quả hơn. Chúng tôi đồng ý rằng việc nhà đầu tư hiểu được cách hội đồng quản trị xem xét và giải quyết tính đa dạng, cũng như đánh giá của hội đồng quản trị về việc thực hiện chính sách đa dạng của mình (nếu có), là hữu ích. Do đó, chúng tôi đang thông qua các sửa đổi đối với Mục 407(c) của Regulation S-K để yêu cầu công bố thông tin về việc liệu ủy ban đề cử có xem xét tính đa dạng khi xác định các ứng viên giám đốc hay không, và nếu có thì như thế nào. Ngoài ra, nếu ủy ban đề cử (hoặc hội đồng quản trị) có chính sách liên quan đến việc xem xét tính đa dạng khi xác định các ứng viên giám đốc, thì sẽ phải công bố thông tin về cách chính sách này được thực hiện, cũng như cách ủy ban đề cử (hoặc hội đồng quản trị) đánh giá hiệu quả của chính sách đó. Chúng tôi nhận thấy rằng các công ty có thể định nghĩa tính đa dạng theo nhiều cách khác nhau, phản ánh các quan điểm khác nhau. Ví dụ, một số công ty có thể quan niệm tính đa dạng một cách rộng rãi để bao gồm sự khác biệt về quan điểm, kinh nghiệm chuyên môn, học vấn, kỹ năng và các phẩm chất, thuộc tính cá nhân khác góp phần tạo nên tính không đồng nhất của hội đồng quản trị, trong khi những công ty khác có thể tập trung vào các khái niệm đa dạng như chủng tộc, giới tính và nguồn gốc quốc gia. Chúng tôi tin rằng vì mục đích của yêu cầu công bố thông tin này, các công ty nên được phép định nghĩa tính đa dạng theo những cách mà họ cho là phù hợp. Kết quả là chúng tôi đã không định nghĩa tính đa dạng trong các sửa đổi.</w:t>
      </w:r>
    </w:p>
    <w:p>
      <w:pPr>
        <w:pStyle w:val="Heading5"/>
      </w:pPr>
      <w:r>
        <w:rPr>
          <w:rFonts w:ascii="Calibri" w:hAnsi="Calibri"/>
          <w:b/>
          <w:i/>
          <w:sz w:val="22"/>
        </w:rPr>
        <w:t>Bình luận và Câu hỏi</w:t>
      </w:r>
    </w:p>
    <w:p>
      <w:pPr>
        <w:spacing w:after="80"/>
      </w:pPr>
      <w:r>
        <w:rPr>
          <w:b w:val="0"/>
          <w:i w:val="0"/>
        </w:rPr>
        <w:t xml:space="preserve">1. Về tính đa dạng, những thông lệ công bố thông tin này có thể có tác động gì đến các thông lệ quản trị công ty? Tại sao các công ty có thể thay đổi thông lệ của mình do các yêu cầu công bố thông tin này? </w:t>
      </w:r>
      <w:r>
        <w:rPr>
          <w:b w:val="0"/>
          <w:i/>
        </w:rPr>
        <w:t>Xem</w:t>
      </w:r>
      <w:r>
        <w:rPr>
          <w:b w:val="0"/>
          <w:i w:val="0"/>
        </w:rPr>
        <w:t xml:space="preserve"> Bài phát biểu của Ủy viên Luis A. Aguilar, Tính đa dạng trong Phòng họp Hội đồng Quản trị là Quan trọng và, Thật không may, Vẫn Còn Hiếm, SAIS Center for Transatlantic Relations, ngày 16 tháng 9 năm 2010 (“Mặc dù quy tắc mới của SEC chỉ tập trung vào việc công bố thông tin, nhưng một tác động gián tiếp của việc tập trung vào tính đa dạng của hội đồng quản trị là các hội đồng quản trị có thể quyết định bổ sung, hoặc bổ sung thêm, người thiểu số và phụ nữ làm giám đốc. Có lý do để kỳ vọng rằng quá trình tập trung vào chính sách đa dạng của họ và hiệu quả của nó có thể dẫn đến tính đa dạng lớn hơn.”).</w:t>
      </w:r>
    </w:p>
    <w:p>
      <w:pPr>
        <w:spacing w:after="80"/>
      </w:pPr>
      <w:r>
        <w:rPr>
          <w:b w:val="0"/>
          <w:i w:val="0"/>
        </w:rPr>
        <w:t>2. Rủi ro rằng loại công bố thông tin này sẽ trở thành khuôn mẫu, không có nội dung thực chất, là gì? Một năm sau khi thông qua các yêu cầu công bố thông tin về tính đa dạng, Ủy viên Aguilar lưu ý rằng “còn rất nhiều dư địa để cải thiện.” Cần phải làm gì để tránh điều này?</w:t>
      </w:r>
    </w:p>
    <w:p>
      <w:pPr>
        <w:spacing w:after="80"/>
      </w:pPr>
      <w:r>
        <w:rPr>
          <w:b w:val="0"/>
          <w:i w:val="0"/>
        </w:rPr>
        <w:t>3. Có những giải pháp thay thế nào cho việc sử dụng công bố thông tin để khuyến khích cải cách trong lĩnh vực này? Na Uy đã thông qua một luật yêu cầu hội đồng quản trị phải có ít nhất 40% mỗi giới tính. Bạn nghĩ gì về cách tiếp cận này?</w:t>
      </w:r>
    </w:p>
    <w:p>
      <w:pPr>
        <w:spacing w:after="80"/>
      </w:pPr>
      <w:r>
        <w:rPr>
          <w:b w:val="0"/>
          <w:i w:val="0"/>
        </w:rPr>
        <w:t>4. Mặc dù cách tiếp cận ở Na Uy có thể không dễ dàng chuyển giao sang Hoa Kỳ, nhưng đã có những nơi khác mà Quốc hội đã vượt ra ngoài công bố thông tin trong việc điều chỉnh các thông lệ của hội đồng quản trị. Trong SOX, Quốc hội đã cấm công ty cho các giám đốc điều hành và thành viên hội đồng quản trị vay tiền. Mối lo ngại về quản trị nào đã dẫn đến quy định này? Liệu cách tiếp cận phân loại tuyệt đối có phải là cách đúng đắn để xử lý vấn đề? Ở mức độ mà một công ty không thể cho CEO vay tiền cần thiết để thế chấp mua nhà, chẳng hạn, liệu công ty có thể chỉ đơn giản mua căn nhà và tặng cho CEO không?</w:t>
      </w:r>
    </w:p>
    <w:p>
      <w:pPr>
        <w:spacing w:after="80"/>
      </w:pPr>
      <w:r>
        <w:rPr>
          <w:b w:val="0"/>
          <w:i w:val="0"/>
        </w:rPr>
        <w:t xml:space="preserve">5. Có phải đến một điểm nào đó, cổ đông (và thị trường) đang nhận quá nhiều thông tin? Một số người gọi đây là "quá tải thông tin." Troy A. Paredes, </w:t>
      </w:r>
      <w:r>
        <w:rPr>
          <w:b w:val="0"/>
          <w:i/>
        </w:rPr>
        <w:t>Blinded by the Light: Information Overload and Its Consequences for Securities Regulation</w:t>
      </w:r>
      <w:r>
        <w:rPr>
          <w:b w:val="0"/>
          <w:i w:val="0"/>
        </w:rPr>
        <w:t xml:space="preserve"> , 81 Wash. U. L.Q. 417, 419 (2003). Hậu quả của việc quá tải thông tin là gì?</w:t>
      </w:r>
    </w:p>
    <w:p>
      <w:pPr>
        <w:pStyle w:val="Heading3"/>
      </w:pPr>
      <w:r>
        <w:rPr>
          <w:rFonts w:ascii="Calibri" w:hAnsi="Calibri"/>
          <w:b/>
          <w:i w:val="0"/>
          <w:sz w:val="26"/>
        </w:rPr>
        <w:t>C. Công bố thông tin và Hành vi Thực chất</w:t>
      </w:r>
    </w:p>
    <w:p>
      <w:pPr>
        <w:spacing w:after="80"/>
      </w:pPr>
      <w:r>
        <w:rPr>
          <w:b w:val="0"/>
          <w:i w:val="0"/>
        </w:rPr>
        <w:t>Các yêu cầu công bố thông tin được cho là vượt ra ngoài mục tiêu cung cấp cho cổ đông những thông tin cần thiết để đưa ra quyết định bỏ phiếu sáng suốt. Thay vào đó, các yêu cầu công bố thông tin nhằm khuyến khích các công ty cải thiện thông lệ quản trị của mình. Mục 5.02 của Mẫu 8-K đề cập cụ thể đến việc rời đi của các giám đốc điều hành và thành viên hội đồng quản trị. Phần lớn, các công ty phải công bố việc rời đi của các thành viên hội đồng quản trị và một số giám đốc điều hành chủ chốt. 17 CFR § 229.5.02(b). Chỉ cần xác định cá nhân và ngày rời đi là đủ.</w:t>
      </w:r>
    </w:p>
    <w:p>
      <w:pPr>
        <w:spacing w:after="80"/>
      </w:pPr>
      <w:r>
        <w:rPr>
          <w:b w:val="0"/>
          <w:i w:val="0"/>
        </w:rPr>
        <w:t>Tuy nhiên, Mục 5.02 yêu cầu công bố thông tin đầy đủ hơn khi một thành viên hội đồng quản trị rời đi do "bất đồng" với công ty về "bất kỳ vấn đề nào liên quan đến . . . hoạt động, chính sách hoặc thông lệ". 17 CFR § 229.5.02(a). Tuy nhiên, trong những trường hợp này, việc công bố thông tin kết quả phải đầy đủ và xâm phạm hơn. Mẫu 8-K phải tiết lộ "mô tả ngắn gọn về các tình huống thể hiện sự bất đồng" và bao gồm "bất kỳ thư từ bằng văn bản nào" nhận được từ thành viên hội đồng quản trị liên quan đến việc rời đi. Sự khác biệt này trong nghĩa vụ công bố thông tin có thể buộc công ty phải phơi bày một số thông tin không thoải mái.</w:t>
      </w:r>
    </w:p>
    <w:p>
      <w:pPr>
        <w:pStyle w:val="Heading4"/>
      </w:pPr>
      <w:r>
        <w:rPr>
          <w:rFonts w:ascii="Calibri" w:hAnsi="Calibri"/>
          <w:b/>
          <w:i w:val="0"/>
          <w:sz w:val="23"/>
        </w:rPr>
        <w:t>In re Hewlett-Packard Co.</w:t>
      </w:r>
    </w:p>
    <w:p>
      <w:pPr>
        <w:spacing w:after="80"/>
      </w:pPr>
      <w:r>
        <w:rPr>
          <w:b w:val="0"/>
          <w:i w:val="0"/>
        </w:rPr>
        <w:t>Exchange Act Release No. 55801 (admin. proc. May 23, 2007)</w:t>
      </w:r>
    </w:p>
    <w:p>
      <w:pPr>
        <w:spacing w:after="80"/>
      </w:pPr>
      <w:r>
        <w:rPr>
          <w:b w:val="0"/>
          <w:i w:val="0"/>
        </w:rPr>
        <w:t>A. Tóm tắt</w:t>
      </w:r>
    </w:p>
    <w:p>
      <w:pPr>
        <w:spacing w:after="80"/>
      </w:pPr>
      <w:r>
        <w:rPr>
          <w:b w:val="0"/>
          <w:i w:val="0"/>
        </w:rPr>
        <w:t>1. Vụ việc này liên quan đến việc Hewlett-Packard không công bố các tình huống xung quanh việc từ chức của một thành viên hội đồng quản trị trong bối cảnh cuộc điều tra gây tranh cãi của công ty về việc rò rỉ thông tin trong phòng họp hội đồng quản trị. Vào ngày 18 tháng 5 năm 2006, Hội đồng Quản trị của HP đã biết được các phát hiện của cuộc điều tra rò rỉ của công ty và bỏ phiếu yêu cầu từ chức một thành viên hội đồng quản trị bị cho là đã vi phạm chính sách của HP bằng cách cung cấp thông tin mật cho báo chí. Nhà đầu tư mạo hiểm Thung lũng Silicon và thành viên hội đồng quản trị đồng nghiệp Thomas Perkins (không phải là nguồn rò rỉ) đã lên tiếng phản đối mạnh mẽ cách xử lý vấn đề, tuyên bố từ chức và bước ra khỏi cuộc họp Hội đồng Quản trị. Trái với các yêu cầu báo cáo của luật chứng khoán liên bang, HP đã không công bố cho nhà đầu tư các tình huống bất đồng của ông Perkins với công ty.</w:t>
      </w:r>
    </w:p>
    <w:p>
      <w:pPr>
        <w:spacing w:after="80"/>
      </w:pPr>
      <w:r>
        <w:rPr>
          <w:b w:val="0"/>
          <w:i w:val="0"/>
        </w:rPr>
        <w:t>B. Bị đơn</w:t>
      </w:r>
    </w:p>
    <w:p>
      <w:pPr>
        <w:spacing w:after="80"/>
      </w:pPr>
      <w:r>
        <w:rPr>
          <w:b w:val="0"/>
          <w:i w:val="0"/>
        </w:rPr>
        <w:t>2. Hewlett-Packard là một công ty Delaware có trụ sở tại Palo Alto, California. HP bán máy tính, thiết bị máy tính và dịch vụ hỗ trợ. Cổ phiếu phổ thông của HP được đăng ký với Ủy ban theo Mục 12(b) của Exchange Act và được niêm yết trên Sở Giao dịch Chứng khoán New York với ký hiệu cổ phiếu "HPQ."</w:t>
      </w:r>
    </w:p>
    <w:p>
      <w:pPr>
        <w:spacing w:after="80"/>
      </w:pPr>
      <w:r>
        <w:rPr>
          <w:b w:val="0"/>
          <w:i w:val="0"/>
        </w:rPr>
        <w:t>C. Sự kiện</w:t>
      </w:r>
    </w:p>
    <w:p>
      <w:pPr>
        <w:spacing w:after="80"/>
      </w:pPr>
      <w:r>
        <w:rPr>
          <w:b w:val="0"/>
          <w:i w:val="0"/>
        </w:rPr>
        <w:t>Bối cảnh Pháp lý</w:t>
      </w:r>
    </w:p>
    <w:p>
      <w:pPr>
        <w:spacing w:after="80"/>
      </w:pPr>
      <w:r>
        <w:rPr>
          <w:b w:val="0"/>
          <w:i w:val="0"/>
        </w:rPr>
        <w:t>3. Theo Exchange Act, một công ty đại chúng phải nộp cho Ủy ban một báo cáo trên Mẫu 8-K khi một thành viên hội đồng quản trị từ chức khỏi hội đồng quản trị. Nếu một thành viên hội đồng quản trị đã từ chức vì bất đồng với công ty, được một giám đốc điều hành biết đến, về bất kỳ vấn đề nào liên quan đến hoạt động, chính sách hoặc thông lệ của công ty, công ty phải, trong số những điều khác, công bố mô tả ngắn gọn về các tình huống của sự bất đồng. Ngoài ra, công ty phải cho thành viên hội đồng quản trị cơ hội xem xét kịp thời và phản hồi về việc công bố thông tin của công ty về việc từ chức của thành viên hội đồng quản trị, và công ty được yêu cầu nộp bất kỳ lá thư nào do thành viên hội đồng quản trị viết cho công ty để phản hồi việc công bố thông tin của công ty. Nếu không có sự bất đồng như vậy, công ty phải báo cáo việc từ chức, nhưng không cần cung cấp lý do.</w:t>
      </w:r>
    </w:p>
    <w:p>
      <w:pPr>
        <w:spacing w:after="80"/>
      </w:pPr>
      <w:r>
        <w:rPr>
          <w:b w:val="0"/>
          <w:i w:val="0"/>
        </w:rPr>
        <w:t>Cuộc điều tra rò rỉ của HP</w:t>
      </w:r>
    </w:p>
    <w:p>
      <w:pPr>
        <w:spacing w:after="80"/>
      </w:pPr>
      <w:r>
        <w:rPr>
          <w:b w:val="0"/>
          <w:i w:val="0"/>
        </w:rPr>
        <w:t>4. Vào hoặc khoảng tháng 1 năm 2006, để phản ứng lại việc thông tin mật về các cuộc họp Hội đồng quản trị của HP dường như bị tiết lộ trái phép cho báo chí, HP đã khởi động một cuộc điều tra nhằm xác định nguồn rò rỉ. Thành viên Hội đồng quản trị HP Thomas Perkins, Chủ tịch Ủy ban Đề cử và Quản trị của Hội đồng (ủy ban này chịu trách nhiệm, cùng nhiều việc khác, về việc thiết lập tiêu chuẩn cho thành viên hội đồng và đánh giá hoạt động của hội đồng), đã được thông báo một cách khái quát về cuộc điều tra này. Ông Perkins tin rằng ông và Chủ tịch HP đã thống nhất rằng, sau khi cuộc điều tra hoàn tất, họ sẽ tiếp cận riêng với bất kỳ cá nhân nào có liên quan, lấy cam kết rằng việc đó sẽ không tái diễn, và thông báo cho toàn thể Hội đồng rằng vấn đề đã được giải quyết mà không tiết lộ nguồn rò rỉ.</w:t>
      </w:r>
    </w:p>
    <w:p>
      <w:pPr>
        <w:spacing w:after="80"/>
      </w:pPr>
      <w:r>
        <w:rPr>
          <w:b w:val="0"/>
          <w:i w:val="0"/>
        </w:rPr>
        <w:t>5. Đến tháng 4 năm 2006, các điều tra viên của HP tạm kết luận rằng một giám đốc lâu năm của HP đã rò rỉ thông tin liên quan đến một bài báo ngày 23 tháng 1 năm 2006. Sau khi tham khảo ý kiến với Tổng giám đốc điều hành (CEO), Cố vấn pháp lý (General Counsel), cố vấn pháp lý bên ngoài, và Chủ tịch Ủy ban Kiểm toán của HP, Chủ tịch Hội đồng quản trị đã quyết định rằng các phát hiện của cuộc điều tra rò rỉ nên được trình bày cho toàn thể Hội đồng.</w:t>
      </w:r>
    </w:p>
    <w:p>
      <w:pPr>
        <w:spacing w:after="80"/>
      </w:pPr>
      <w:r>
        <w:rPr>
          <w:b w:val="0"/>
          <w:i w:val="0"/>
        </w:rPr>
        <w:t>Ông Perkins Từ chức Trong Cuộc họp Hội đồng ngày 18 tháng 5 năm 2006</w:t>
      </w:r>
    </w:p>
    <w:p>
      <w:pPr>
        <w:spacing w:after="80"/>
      </w:pPr>
      <w:r>
        <w:rPr>
          <w:b w:val="0"/>
          <w:i w:val="0"/>
        </w:rPr>
        <w:t>6. Hội đồng quản trị của HP họp bắt đầu từ 12:30 chiều ngày 18 tháng 5 năm 2006 tại trụ sở HP ở Palo Alto, California. Tất cả các giám đốc đều tham dự, trừ một người, bao gồm cả CEO (người cũng là một giám đốc), cùng với Cố vấn pháp lý của công ty (đóng vai trò thư ký Hội đồng).</w:t>
      </w:r>
    </w:p>
    <w:p>
      <w:pPr>
        <w:spacing w:after="80"/>
      </w:pPr>
      <w:r>
        <w:rPr>
          <w:b w:val="0"/>
          <w:i w:val="0"/>
        </w:rPr>
        <w:t>7. Vào đầu cuộc họp, người đứng đầu Ủy ban Kiểm toán của HP đã thảo luận về cuộc điều tra rò rỉ và các phát hiện của nó. Sau một số thảo luận, danh tính của giám đốc đã cung cấp thông tin cho bài báo tháng 1 năm 2006 đã được tiết lộ. Vị giám đốc này đã phát biểu trước Hội đồng, giải thích hành động của mình, và rời khỏi phòng để cho phép các cuộc thảo luận tiếp theo. Hội đồng đã thảo luận về chính sách của HP đối với việc tiết lộ công khai trái phép, và cân nhắc các biện pháp có thể được thực hiện để phản ứng lại hành động của vị giám đốc, bao gồm việc yêu cầu ông từ chức.</w:t>
      </w:r>
    </w:p>
    <w:p>
      <w:pPr>
        <w:spacing w:after="80"/>
      </w:pPr>
      <w:r>
        <w:rPr>
          <w:b w:val="0"/>
          <w:i w:val="0"/>
        </w:rPr>
        <w:t>8. Trong quá trình thảo luận của Hội đồng, kéo dài khoảng 90 phút, ông Perkins đã bày tỏ sự phản đối mạnh mẽ của mình đối với cách thức xử lý vấn đề này. Trong số những điều khác, ông đã nhiều lần nói với Hội đồng rằng nguồn rò rỉ lẽ ra nên được tiếp cận "ngoài lề" (off-line) để giải thích và cảnh cáo, thay vì bị tiết lộ danh tính cho toàn thể Hội đồng. Ông khẳng định niềm tin của mình rằng vấn đề lẽ ra nên được xử lý một cách bảo mật bởi Chủ tịch Hội đồng và chính ông với tư cách là Chủ tịch Ủy ban Đề cử và Quản trị. Ông cũng đặt câu hỏi về sự khôn ngoan của việc yêu cầu vị giám đốc từ chức vì điều mà ông cho là một lỗi tương đối nhỏ, lưu ý rằng vị giám đốc này đã có những đóng góp đáng kể cho HP.</w:t>
      </w:r>
    </w:p>
    <w:p>
      <w:pPr>
        <w:spacing w:after="80"/>
      </w:pPr>
      <w:r>
        <w:rPr>
          <w:b w:val="0"/>
          <w:i w:val="0"/>
        </w:rPr>
        <w:t>9. Sau một cuộc thảo luận dài và gay gắt, Hội đồng, bằng một lá phiếu kín, đã thông qua một đề nghị yêu cầu vị giám đốc từ chức khỏi Hội đồng. Khi Cố vấn pháp lý của HP công bố kết quả bỏ phiếu về việc có yêu cầu vị giám đốc từ chức hay không, ông Perkins tiếp tục bày tỏ sự bất đồng. Như được ghi trong biên bản Hội đồng, ông Perkins "nhắc lại sự phản đối mạnh mẽ của mình đối với quy trình, cụ thể là quyết định của [Chủ tịch] trong việc đưa vấn đề ra toàn thể Hội đồng và cách thức tiến hành cuộc họp." Ông Perkins sau đó đã từ chức khỏi Hội đồng và rời cuộc họp vào khoảng 2:00 chiều. Vị giám đốc được xác định bởi cuộc điều tra rò rỉ đã được yêu cầu từ chức sau cuộc bỏ phiếu, nhưng đã từ chối từ chức vào thời điểm đó.</w:t>
      </w:r>
    </w:p>
    <w:p>
      <w:pPr>
        <w:spacing w:after="80"/>
      </w:pPr>
      <w:r>
        <w:rPr>
          <w:b w:val="0"/>
          <w:i w:val="0"/>
        </w:rPr>
        <w:t>HP Không Tiết lộ Lý do Ông Perkins Từ chức</w:t>
      </w:r>
    </w:p>
    <w:p>
      <w:pPr>
        <w:spacing w:after="80"/>
      </w:pPr>
      <w:r>
        <w:rPr>
          <w:b w:val="0"/>
          <w:i w:val="0"/>
        </w:rPr>
        <w:t>10. Các giám đốc điều hành của HP hiểu rằng, trong trường hợp một giám đốc từ chức vì bất đồng với công ty về một vấn đề liên quan đến hoạt động, chính sách, hoặc thông lệ của công ty, công ty sẽ cần báo cáo cho Ủy ban Chứng khoán (Commission) (và qua đó tiết lộ cho các nhà đầu tư) về các tình huống của sự bất đồng đó.</w:t>
      </w:r>
    </w:p>
    <w:p>
      <w:pPr>
        <w:spacing w:after="80"/>
      </w:pPr>
      <w:r>
        <w:rPr>
          <w:b w:val="0"/>
          <w:i w:val="0"/>
        </w:rPr>
        <w:t>11. Vào ngày 22 tháng 5 năm 2006, HP đã nộp một báo cáo theo Mẫu 8-K, theo Mục 5.02(b), báo cáo việc ông Perkins từ chức, nhưng đã không tuân thủ Mục 5.02(a) khi không tiết lộ rằng đã có một sự bất đồng với công ty. HP cũng đã nộp kèm theo Mẫu 8-K một thông cáo báo chí ngày 19 tháng 5, thông báo rằng ông Perkins đã từ chức mà không tiết lộ các tình huống của sự bất đồng của ông.</w:t>
      </w:r>
    </w:p>
    <w:p>
      <w:pPr>
        <w:spacing w:after="80"/>
      </w:pPr>
      <w:r>
        <w:rPr>
          <w:b w:val="0"/>
          <w:i w:val="0"/>
        </w:rPr>
        <w:t>12. HP đã kết luận, với sự tư vấn của cố vấn pháp lý bên ngoài và Cố vấn pháp lý, rằng công ty không cần tiết lộ lý do ông Perkins từ chức vì ông chỉ có bất đồng với Chủ tịch công ty, chứ không phải bất đồng với công ty về một vấn đề liên quan đến hoạt động, chính sách, hoặc thông lệ của công ty. Trái với kết luận của HP, sự bất đồng và lý do ông Perkins từ chức lẽ ra phải được tiết lộ, theo Mục 5.02(a), trong Mẫu 8-K ngày 22 tháng 5. Ông Perkins đã từ chức do bất đồng với HP về các vấn đề sau: (1) quyết định trình bày các phát hiện của cuộc điều tra rò rỉ cho toàn thể Hội đồng; và (2) quyết định của đa số thành viên Hội đồng quản trị trong việc yêu cầu vị giám đốc được xác định trong cuộc điều tra rò rỉ từ chức. Sự bất đồng của ông Perkins liên quan đến các vấn đề quản trị doanh nghiệp quan trọng và các chính sách của HP về xử lý thông tin nhạy cảm, và do đó tạo thành một sự bất đồng về hoạt động, chính sách hoặc thông lệ của HP.</w:t>
      </w:r>
    </w:p>
    <w:p>
      <w:pPr>
        <w:spacing w:after="80"/>
      </w:pPr>
      <w:r>
        <w:rPr>
          <w:b w:val="0"/>
          <w:i w:val="0"/>
        </w:rPr>
        <w:t>13. HP đã không tiết lộ thêm thông tin liên quan đến việc ông Perkins từ chức cho đến ngày 6 tháng 9 năm 2006, sau khi ông Perkins (và nhân viên của Ủy ban Chứng khoán và Giao dịch) đã bắt đầu đặt câu hỏi về tính đầy đủ của các tiết lộ của công ty.</w:t>
      </w:r>
    </w:p>
    <w:p>
      <w:pPr>
        <w:spacing w:after="80"/>
      </w:pPr>
      <w:r>
        <w:rPr>
          <w:b w:val="0"/>
          <w:i w:val="0"/>
        </w:rPr>
        <w:t>D. Các Vi phạm</w:t>
      </w:r>
    </w:p>
    <w:p>
      <w:pPr>
        <w:spacing w:after="80"/>
      </w:pPr>
      <w:r>
        <w:rPr>
          <w:b w:val="0"/>
          <w:i w:val="0"/>
        </w:rPr>
        <w:t>14. Mục 13(a) của Đạo luật Giao dịch Chứng khoán (Exchange Act) và Quy tắc 13a-11 ban hành theo đó yêu cầu các tổ chức phát hành chứng khoán được đăng ký theo Mục 12 của Đạo luật Giao dịch Chứng khoán phải nộp cho Ủy ban Chứng khoán các báo cáo hiện hành theo Mẫu 8-K khi xảy ra một số sự kiện nhất định, bao gồm việc rời đi của các giám đốc hoặc các cán bộ chủ chốt. Mục 5.02(a) của Mẫu 8-K quy định rằng nếu một giám đốc đã từ chức vì bất đồng với tổ chức đăng ký, được một cán bộ điều hành của tổ chức đăng ký biết đến, về bất kỳ vấn đề nào liên quan đến hoạt động, chính sách, hoặc thông lệ của tổ chức đăng ký, thì tổ chức đăng ký phải, trong số những điều khác, tiết lộ một mô tả ngắn gọn về các tình huống thể hiện sự bất đồng mà tổ chức đăng ký tin rằng đã gây ra, toàn bộ hoặc một phần, việc giám đốc từ chức. Ngoài ra, tổ chức đăng ký phải cung cấp cho giám đốc từ chức một bản sao của tiết lộ đó không muộn hơn ngày công ty nộp tiết lộ đó cho Ủy ban Chứng khoán. Đồng thời, tổ chức đăng ký phải cho giám đốc cơ hội cung cấp một lá thư phản hồi nêu rõ liệu giám đốc có đồng ý với tiết lộ trong Mẫu 8-K của tổ chức đăng ký hay không. Trong trường hợp tổ chức đăng ký nhận được một lá thư phản hồi từ cựu giám đốc, lá thư đó phải được tổ chức đăng ký nộp như một bản sửa đổi cho Mẫu 8-K của mình trong vòng hai ngày làm việc kể từ khi nhận được. Không cần phải chứng minh ý đồ phạm tội (scienter) để xác lập một vi phạm Mục 13(a) của Đạo luật Giao dịch Chứng khoán. SEC v. Savoy, 587 F.2d 1149, 1167 (D.C. Cir. 1978).</w:t>
      </w:r>
    </w:p>
    <w:p>
      <w:pPr>
        <w:spacing w:after="80"/>
      </w:pPr>
      <w:r>
        <w:rPr>
          <w:b w:val="0"/>
          <w:i w:val="0"/>
        </w:rPr>
        <w:t>15. Vào ngày 18 tháng 5 năm 2006, giám đốc Thomas Perkins đã từ chức vì bất đồng với HP về quyết định trình bày các phát hiện của cuộc điều tra rò rỉ cho toàn thể Hội đồng và quyết định của Hội đồng trong việc yêu cầu vị giám đốc được xác định trong cuộc điều tra rò rỉ từ chức. Sự bất đồng này đã được các cán bộ điều hành của HP biết đến. Sự bất đồng của ông Perkins với HP liên quan đến hoạt động, chính sách, hoặc thông lệ của HP. Do đó, HP được yêu cầu bởi Mục 5.02(a) của Mẫu 8-K phải tiết lộ một mô tả ngắn gọn về các tình huống thể hiện sự bất đồng, và được yêu cầu cung cấp cho ông Perkins một bản sao của tiết lộ này không muộn hơn ngày nộp. Bằng việc tiết lộ việc ông Perkins từ chức theo Mục 5.02(b) trong một Mẫu 8-K nộp ngày 22 tháng 5 năm 2006, HP đã không tiết lộ các tình huống của sự bất đồng của ông Perkins với HP và cũng không cung cấp cho giám đốc một bản sao của hồ sơ nộp đó. Kết quả là, HP đã vi phạm Mục 13(a) của Đạo luật Giao dịch Chứng khoán và Quy tắc 13a-11 ban hành theo đó.</w:t>
      </w:r>
    </w:p>
    <w:p>
      <w:pPr>
        <w:spacing w:after="80"/>
      </w:pPr>
      <w:r>
        <w:rPr>
          <w:b w:val="0"/>
          <w:i w:val="0"/>
        </w:rPr>
        <w:t>IV.</w:t>
      </w:r>
    </w:p>
    <w:p>
      <w:pPr>
        <w:spacing w:after="80"/>
      </w:pPr>
      <w:r>
        <w:rPr>
          <w:b w:val="0"/>
          <w:i w:val="0"/>
        </w:rPr>
        <w:t>Căn cứ vào những điều đã trình bày ở trên, Ủy ban xét thấy phù hợp để áp đặt các biện pháp chế tài đã được đồng ý trong Đề nghị của Bị đơn HP.</w:t>
      </w:r>
    </w:p>
    <w:p>
      <w:pPr>
        <w:spacing w:after="80"/>
      </w:pPr>
      <w:r>
        <w:rPr>
          <w:b w:val="0"/>
          <w:i w:val="0"/>
        </w:rPr>
        <w:t>Theo đó, nay RA LỆNH rằng Bị đơn HP phải chấm dứt và không được tiếp tục thực hiện hoặc gây ra bất kỳ hành vi vi phạm nào cũng như bất kỳ hành vi vi phạm nào trong tương lai đối với Mục 13(a) của Đạo luật Giao dịch Chứng khoán (Exchange Act) và Quy tắc 13a-11 ban hành kèm theo đó.</w:t>
      </w:r>
    </w:p>
    <w:p>
      <w:pPr>
        <w:spacing w:after="80"/>
      </w:pPr>
      <w:r>
        <w:rPr>
          <w:b w:val="0"/>
          <w:i w:val="0"/>
        </w:rPr>
        <w:t>Thay mặt Ủy ban.</w:t>
      </w:r>
    </w:p>
    <w:p>
      <w:pPr>
        <w:pStyle w:val="Heading5"/>
      </w:pPr>
      <w:r>
        <w:rPr>
          <w:rFonts w:ascii="Calibri" w:hAnsi="Calibri"/>
          <w:b/>
          <w:i/>
          <w:sz w:val="22"/>
        </w:rPr>
        <w:t>Bình luận và Câu hỏi</w:t>
      </w:r>
    </w:p>
    <w:p>
      <w:pPr>
        <w:spacing w:after="80"/>
      </w:pPr>
      <w:r>
        <w:rPr>
          <w:b w:val="0"/>
          <w:i w:val="0"/>
        </w:rPr>
        <w:t xml:space="preserve">1. Nhiều diễn biến dẫn đến việc phải công bố thông tin trong một báo cáo hiện hành (current report) đều liên quan đến các vấn đề quản trị công ty (corporate governance). Chúng bao gồm mọi sửa đổi đối với điều lệ, quy chế nội bộ hoặc quy tắc đạo đức, </w:t>
      </w:r>
      <w:r>
        <w:rPr>
          <w:b w:val="0"/>
          <w:i/>
        </w:rPr>
        <w:t>xem</w:t>
      </w:r>
      <w:r>
        <w:rPr>
          <w:b w:val="0"/>
          <w:i w:val="0"/>
        </w:rPr>
        <w:t xml:space="preserve"> Mục 5.03 &amp; 5.04 của Mẫu 8-K, và kết quả của bất kỳ hành động nào do cổ đông thực hiện tại đại hội thường niên hoặc đại hội bất thường. </w:t>
      </w:r>
      <w:r>
        <w:rPr>
          <w:b w:val="0"/>
          <w:i/>
        </w:rPr>
        <w:t>Xem</w:t>
      </w:r>
      <w:r>
        <w:rPr>
          <w:b w:val="0"/>
          <w:i w:val="0"/>
        </w:rPr>
        <w:t xml:space="preserve"> Mục 5.07 của Mẫu 8-K. Lợi ích của việc công bố thông tin này là gì và tại sao nó phải được đưa ra một cách nhanh chóng trong một báo cáo hiện hành?</w:t>
      </w:r>
    </w:p>
    <w:p>
      <w:pPr>
        <w:spacing w:after="80"/>
      </w:pPr>
      <w:r>
        <w:rPr>
          <w:b w:val="0"/>
          <w:i w:val="0"/>
        </w:rPr>
        <w:t>2. Trên thực tế, Mục 5.02 mang lại cho thành viên hội đồng quản trị bất đồng quan điểm thêm đòn bẩy nào? Bạn có nghĩ đây là một mục đích dự kiến của yêu cầu công bố thông tin không? Khi nào thì những bất đồng trong phòng họp hội đồng quản trị dẫn đến việc từ chức có nhiều khả năng phát sinh nhất?</w:t>
      </w:r>
    </w:p>
    <w:p>
      <w:pPr>
        <w:spacing w:after="80"/>
      </w:pPr>
      <w:r>
        <w:rPr>
          <w:b w:val="0"/>
          <w:i w:val="0"/>
        </w:rPr>
        <w:t>3. Nếu hội đồng quản trị HP có thể quay lại và làm lại từ đầu, bạn có nghĩ họ sẽ dễ dàng chấp nhận đơn từ chức của Perkin đến vậy không, xét đến những gì đã diễn ra sau đó? Để ngăn ông ấy từ chức, các thành viên hội đồng quản trị lẽ ra có thể đã làm gì?</w:t>
      </w:r>
    </w:p>
    <w:p>
      <w:pPr>
        <w:spacing w:after="80"/>
      </w:pPr>
      <w:r>
        <w:rPr>
          <w:b w:val="0"/>
          <w:i w:val="0"/>
        </w:rPr>
        <w:t xml:space="preserve">4. Một báo cáo hiện hành cũng phải được nộp khi CEO hoặc CFO từ chức/bị miễn nhiệm. </w:t>
      </w:r>
      <w:r>
        <w:rPr>
          <w:b w:val="0"/>
          <w:i/>
        </w:rPr>
        <w:t>Xem</w:t>
      </w:r>
      <w:r>
        <w:rPr>
          <w:b w:val="0"/>
          <w:i w:val="0"/>
        </w:rPr>
        <w:t xml:space="preserve"> Mục 5.02(b) của Mẫu 8-K. Trong những trường hợp đó, các công ty không cần phải công khai những bất đồng mà chỉ được yêu cầu công bố sự kiện và ngày xảy ra sự kiện đó. Tại sao những giao dịch này lại được đối xử khác với việc thành viên hội đồng quản trị từ chức?</w:t>
      </w:r>
    </w:p>
    <w:p>
      <w:pPr>
        <w:spacing w:after="80"/>
      </w:pPr>
      <w:r>
        <w:rPr>
          <w:b w:val="0"/>
          <w:i w:val="0"/>
        </w:rPr>
        <w:t>—————</w:t>
      </w:r>
    </w:p>
    <w:p>
      <w:pPr>
        <w:pStyle w:val="Heading4"/>
      </w:pPr>
      <w:r>
        <w:rPr>
          <w:rFonts w:ascii="Calibri" w:hAnsi="Calibri"/>
          <w:b/>
          <w:i w:val="0"/>
          <w:sz w:val="23"/>
        </w:rPr>
        <w:t xml:space="preserve">J. Robert Brown, Jr., </w:t>
      </w:r>
      <w:r>
        <w:rPr>
          <w:rFonts w:ascii="Calibri" w:hAnsi="Calibri"/>
          <w:b/>
          <w:i/>
          <w:sz w:val="23"/>
        </w:rPr>
        <w:t>Quản trị Công ty, Ủy ban</w:t>
      </w:r>
      <w:r>
        <w:br/>
      </w:r>
      <w:r>
        <w:rPr>
          <w:rFonts w:ascii="Calibri" w:hAnsi="Calibri"/>
          <w:b/>
          <w:i/>
          <w:sz w:val="23"/>
        </w:rPr>
        <w:t xml:space="preserve"> Giao dịch Chứng khoán và Giới hạn của Việc Công bố Thông tin</w:t>
      </w:r>
    </w:p>
    <w:p>
      <w:pPr>
        <w:spacing w:after="80"/>
      </w:pPr>
      <w:r>
        <w:rPr>
          <w:b w:val="0"/>
          <w:i w:val="0"/>
        </w:rPr>
        <w:t>57 Cath. U. L. Rev. 45, 45–48, 62–65, 71–73 (2007)</w:t>
      </w:r>
    </w:p>
    <w:p>
      <w:pPr>
        <w:spacing w:after="80"/>
      </w:pPr>
      <w:r>
        <w:rPr>
          <w:b w:val="0"/>
          <w:i w:val="0"/>
        </w:rPr>
        <w:t>Các bang quản lý nội dung thực chất của quản trị công ty. Nghĩa vụ tín thác (fiduciary duties), tiêu chuẩn của thành viên hội đồng quản trị, và quyền của cổ đông đều bắt nguồn từ luật bang. Mặt khác, việc quản lý công bố thông tin lại thuộc về Ủy ban Giao dịch và Chứng khoán (SEC hay Ủy ban), ít nhất là đối với các công ty đại chúng. Chính Ủy ban là cơ quan đảm bảo rằng nhà đầu tư và cổ đông có được thông tin cần thiết để đưa ra quyết định sáng suốt.</w:t>
      </w:r>
    </w:p>
    <w:p>
      <w:pPr>
        <w:spacing w:after="80"/>
      </w:pPr>
      <w:r>
        <w:rPr>
          <w:b w:val="0"/>
          <w:i w:val="0"/>
        </w:rPr>
        <w:t>Sự phân chia rạch ròi này từ lâu đã được chấp nhận nhưng ít khi được xem xét kỹ lưỡng. Thực tế, đây không phải là một mô tả đặc biệt chính xác. Trong lĩnh vực công ty đại chúng, công bố thông tin chẳng có ý nghĩa gì nhiều nếu thiếu sự quản trị thỏa đáng. Cho dù có bao nhiêu chuẩn mực kế toán được áp dụng, bao nhiêu thủ tục cưỡng chế được khởi xướng, hay bao nhiêu mục được thêm vào Quy định S-K, chất lượng của việc công bố thông tin vẫn phụ thuộc vào cam kết và mức độ tham gia của ban lãnh đạo vào quá trình đó.</w:t>
      </w:r>
    </w:p>
    <w:p>
      <w:pPr>
        <w:spacing w:after="80"/>
      </w:pPr>
      <w:r>
        <w:rPr>
          <w:b w:val="0"/>
          <w:i w:val="0"/>
        </w:rPr>
        <w:t>Sự phân chia thẩm quyền này không xuất phát từ một phân tích toàn diện về phương pháp tối ưu để thúc đẩy quản trị công ty, cũng không phải từ một quyết định có chủ đích nhằm giữ Ủy ban tránh xa nội dung thực chất của quản trị công ty, mà là hệ quả của sự phụ thuộc vào lối mòn (path dependence). Khi Quốc hội thông qua Đạo luật Giao dịch Chứng khoán năm 1934, vấn đề trọng tâm của quản trị công ty là sự thiếu hụt công bố thông tin thỏa đáng. Ban lãnh đạo lợi dụng sự bí mật để tự duy trì vị trí của mình, trả lương quá cao, và thực hiện các hành vi lạm dụng khác. Với sự bí mật như vậy, các chuẩn mực quản trị công ty mang tính thực chất trở nên ít quan trọng hơn nhiều.</w:t>
      </w:r>
    </w:p>
    <w:p>
      <w:pPr>
        <w:spacing w:after="80"/>
      </w:pPr>
      <w:r>
        <w:rPr>
          <w:b w:val="0"/>
          <w:i w:val="0"/>
        </w:rPr>
        <w:t>Quốc hội tìm cách sửa chữa quá trình quản trị công ty bằng cách giải quyết những thiếu sót mà sự bí mật này tạo ra. Hiệu ứng khử trùng của việc công bố thông tin có tác động tương ứng lên các chuẩn mực thực chất, nhưng không phải theo hướng mong đợi. Áp lực từ lợi ích cá nhân không hề giảm bớt; nó chỉ mất đi sự bảo vệ của bí mật. Thay vào đó, áp lực lại đè nặng lên các bang để nới lỏng các chuẩn mực thực chất. Theo thời gian, nghĩa vụ cẩn trọng (duty of care) phát triển thành chẳng khác gì một thủ tục máy móc, và nghĩa vụ trung thành (duty of loyalty) thành một tiêu chuẩn phần lớn tách rời khỏi sự công bằng.</w:t>
      </w:r>
    </w:p>
    <w:p>
      <w:pPr>
        <w:spacing w:after="80"/>
      </w:pPr>
      <w:r>
        <w:rPr>
          <w:b w:val="0"/>
          <w:i w:val="0"/>
        </w:rPr>
        <w:t>Đồng thời, chính chế độ công bố thông tin do Ủy ban thực thi cũng tác động đến nội dung thực chất của quản trị công ty. . . .</w:t>
      </w:r>
    </w:p>
    <w:p>
      <w:pPr>
        <w:spacing w:after="80"/>
      </w:pPr>
      <w:r>
        <w:rPr>
          <w:b w:val="0"/>
          <w:i w:val="0"/>
        </w:rPr>
        <w:t>Khi mối liên hệ giữa công bố thông tin và bản chất ngày càng rõ ràng, Ủy ban đã bắt tay vào nỗ lực điều chỉnh bản chất bằng nhiều cơ chế khác nhau, bao gồm cả công bố thông tin. Vào những năm 1970, Quốc hội đã trao thêm thẩm quyền để điều chỉnh quy trình nội bộ của việc lập báo cáo tài chính. Các nỗ lực cũng được thực hiện nhằm gây ảnh hưởng đến quản trị thông qua việc áp đặt các tiêu chuẩn niêm yết, một con đường phần lớn đã bị tòa án chặn lại. Các thủ tục thực thi và những lời răn đe mang tính quy định là những con đường khác mà Ủy ban đã sử dụng.</w:t>
      </w:r>
    </w:p>
    <w:p>
      <w:pPr>
        <w:spacing w:after="80"/>
      </w:pPr>
      <w:r>
        <w:rPr>
          <w:b w:val="0"/>
          <w:i w:val="0"/>
        </w:rPr>
        <w:t>* * *</w:t>
      </w:r>
    </w:p>
    <w:p>
      <w:pPr>
        <w:spacing w:after="80"/>
      </w:pPr>
      <w:r>
        <w:rPr>
          <w:b w:val="0"/>
          <w:i w:val="0"/>
        </w:rPr>
        <w:t>Các yêu cầu công bố thông tin khác tìm cách cải thiện quy trình quản trị bằng việc tăng đòn bẩy cho các giám đốc bất đồng quan điểm. Các công ty bị buộc phải công bố bất kỳ bất đồng nào dẫn đến việc một giám đốc từ chức hoặc quyết định không ứng cử lại. Thông tin này bề ngoài được thiết kế để hỗ trợ cổ đông đánh giá “chất lượng của ban quản lý”. Đúng trọng tâm hơn, thông tin này “có thể nâng cao hiệu quả của các giám đốc bằng cách đảm bảo cho họ một diễn đàn để bày tỏ những quan điểm khác biệt về các vấn đề đủ nghiêm trọng để dẫn đến việc chấm dứt mối liên hệ của giám đốc với tổ chức phát hành.”</w:t>
      </w:r>
    </w:p>
    <w:p>
      <w:pPr>
        <w:spacing w:after="80"/>
      </w:pPr>
      <w:r>
        <w:rPr>
          <w:b w:val="0"/>
          <w:i w:val="0"/>
        </w:rPr>
        <w:t>Nói cách khác, quy định này trao cho giám đốc bất đồng quan điểm một đòn bẩy. Bất kỳ sự từ chức nào vì bất đồng đều sẽ dẫn đến việc công bố công khai xung đột cốt lõi, có khả năng tạo ra dư luận xấu và mời gọi sự soi xét pháp lý. Do đó, mối đe dọa này mang lại cho giám đốc bất đồng quan điểm thêm quyền thương lượng liên quan đến bất kỳ bất đồng nào ở cấp hội đồng quản trị.</w:t>
      </w:r>
    </w:p>
    <w:p>
      <w:pPr>
        <w:spacing w:after="80"/>
      </w:pPr>
      <w:r>
        <w:rPr>
          <w:b w:val="0"/>
          <w:i w:val="0"/>
        </w:rPr>
        <w:t>Cấu trúc của quy định cho thấy rõ rằng nó được thiết kế để mang lại đòn bẩy chứ không phải thông tin quan trọng cho nhà đầu tư. Như ban đầu được thông qua, các quy tắc trao cho giám đốc từ chức toàn quyền quyết định liệu việc công bố bất đồng có nên diễn ra hay không. Vì vậy, việc công bố phụ thuộc không phải vào tầm quan trọng của nó đối với nhà đầu tư hay cổ đông mà vào sở thích của giám đốc sắp rời đi. Chỉ đến năm 2004, Ủy ban cuối cùng mới loại bỏ quyền tùy ý này và áp đặt nghĩa vụ khẳng định phải công bố bất đồng, bất kể mong muốn của giám đốc từ chức.</w:t>
      </w:r>
    </w:p>
    <w:p>
      <w:pPr>
        <w:spacing w:after="80"/>
      </w:pPr>
      <w:r>
        <w:rPr>
          <w:b w:val="0"/>
          <w:i w:val="0"/>
        </w:rPr>
        <w:t>Tác động của quy định này rất khó đánh giá vì nó tìm cách sử dụng mối đe dọa công bố thông tin để khuyến khích giải quyết các khác biệt ở cấp hội đồng quản trị. Tuy nhiên, tác động tiềm tàng lên quản trị luôn bị hạn chế. Quy định chỉ áp dụng cho các xung đột ở cấp hội đồng quản trị. Nó không làm gì để đảm bảo rằng hội đồng có bất kỳ thông tin cụ thể nào về các hoạt động của công ty, hay rằng các xung đột hoặc vấn đề được giải quyết ngay từ đầu ở cấp hội đồng quản trị.</w:t>
      </w:r>
    </w:p>
    <w:p>
      <w:pPr>
        <w:spacing w:after="80"/>
      </w:pPr>
      <w:r>
        <w:rPr>
          <w:b w:val="0"/>
          <w:i/>
        </w:rPr>
        <w:t>C. Công bố thông tin và việc tham dự</w:t>
      </w:r>
    </w:p>
    <w:p>
      <w:pPr>
        <w:spacing w:after="80"/>
      </w:pPr>
      <w:r>
        <w:rPr>
          <w:b w:val="0"/>
          <w:i w:val="0"/>
        </w:rPr>
        <w:t>Các nỗ lực khác tập trung tổng quát hơn vào việc thay đổi hành vi của hội đồng quản trị. Việc hội đồng tham gia vào quy trình công bố thông tin chẳng có ý nghĩa gì nếu các giám đốc không tham gia vào quy trình quản trị bằng việc dự họp. Tuy nhiên, luật tiểu bang không áp đặt nghĩa vụ cụ thể nào về việc giám đốc tham dự. Để đối phó, Ủy ban đã thông qua các quy tắc yêu cầu công bố bất kỳ giám đốc nào tham dự ít hơn bảy mươi lăm phần trăm tổng số các cuộc họp hội đồng và ủy ban cộng lại. Ủy ban lưu ý rằng thông tin này sẽ hỗ trợ cổ đông đánh giá hiệu quả hoạt động của giám đốc.</w:t>
      </w:r>
    </w:p>
    <w:p>
      <w:pPr>
        <w:spacing w:after="80"/>
      </w:pPr>
      <w:r>
        <w:rPr>
          <w:b w:val="0"/>
          <w:i w:val="0"/>
        </w:rPr>
        <w:t>Trên thực tế, yêu cầu công bố thông tin được thiết kế để tác động đến hành vi của giám đốc. Các giám đốc có lẽ sẽ dự họp thường xuyên hơn thay vì đối mặt với sự xấu hổ gắn liền với việc tham dự kém. Yêu cầu này có thể có hoặc không làm tăng tỷ lệ tham dự, nhưng dù sao nó cũng chẳng làm được gì nhiều để tác động đến quá trình thảo luận thực tế trong phòng họp hội đồng, một vấn đề được quyết định theo luật tiểu bang. Yêu cầu này cũng không đảm bảo rằng các giám đốc nắm quyền sở hữu nhiều hơn đối với các vấn đề công bố thông tin của công ty hay tham gia vào những cuộc thảo luận kéo dài hơn về những vấn đề mà cổ đông quan tâm.</w:t>
      </w:r>
    </w:p>
    <w:p>
      <w:pPr>
        <w:spacing w:after="80"/>
      </w:pPr>
      <w:r>
        <w:rPr>
          <w:b w:val="0"/>
          <w:i w:val="0"/>
        </w:rPr>
        <w:t>* * *</w:t>
      </w:r>
    </w:p>
    <w:p>
      <w:pPr>
        <w:spacing w:after="80"/>
      </w:pPr>
      <w:r>
        <w:rPr>
          <w:b w:val="0"/>
          <w:i w:val="0"/>
        </w:rPr>
        <w:t xml:space="preserve">Liên quan đến việc đề cử giám đốc, bản tuyên bố ủy quyền phải công bố </w:t>
      </w:r>
      <w:r>
        <w:rPr>
          <w:b w:val="0"/>
          <w:i/>
        </w:rPr>
        <w:t>phương pháp</w:t>
      </w:r>
      <w:r>
        <w:rPr>
          <w:b w:val="0"/>
          <w:i w:val="0"/>
        </w:rPr>
        <w:t xml:space="preserve"> được sử dụng để nhận diện và đánh giá các ứng viên giám đốc. Điều này bao gồm việc xác định nguồn của ứng viên theo danh mục, với các danh mục bao gồm “người nắm giữ chứng khoán, giám đốc không thuộc ban quản lý, giám đốc điều hành, giám đốc điều hành khác, công ty tìm kiếm bên thứ ba, hoặc nguồn cụ thể khác” và chức năng của bất kỳ công ty nào được thuê để “nhận diện hoặc đánh giá” các ứng viên tiềm năng.</w:t>
      </w:r>
    </w:p>
    <w:p>
      <w:pPr>
        <w:spacing w:after="80"/>
      </w:pPr>
      <w:r>
        <w:rPr>
          <w:b w:val="0"/>
          <w:i w:val="0"/>
        </w:rPr>
        <w:t>Việc công bố mở rộng đến các ứng viên do cổ đông đề cử. Công ty phải tiết lộ bất kỳ chính sách nào liên quan đến việc xem xét các ứng viên này, bao gồm cả các thủ tục nộp hồ sơ. Công ty phải công bố bất kỳ tiêu chuẩn tối thiểu nào, bao gồm bất kỳ phẩm chất hoặc kỹ năng cụ thể nào mà ủy ban cho là cần thiết, và trong trường hợp một ứng viên đến từ một cổ đông nắm giữ hơn năm phần trăm cổ phiếu có quyền biểu quyết, công ty nên xác định cổ đông đó (hoặc nhóm cổ đông), ứng viên, và quyết định của hội đồng liên quan đến việc đề cử. Tuy nhiên, công ty không bắt buộc phải công bố lý do từ chối một ứng viên.</w:t>
      </w:r>
    </w:p>
    <w:p>
      <w:pPr>
        <w:spacing w:after="80"/>
      </w:pPr>
      <w:r>
        <w:rPr>
          <w:b w:val="0"/>
          <w:i w:val="0"/>
        </w:rPr>
        <w:t>Việc công bố quy trình được sử dụng để nhận diện ứng viên bề ngoài được thiết kế để tăng tính minh bạch. Trên thực tế, cách tiếp cận này nhằm khuyến khích việc xem xét các ứng viên do cổ đông đề cử và tiết lộ vai trò của CEO trong quy trình. Cả hai điều này đều khó có thể là kết quả của các yêu cầu công bố thông tin. Không có gì trong quy trình công bố buộc phải xem xét thực chất các ứng viên do cổ đông đề cử hay ngăn cản ủy ban đề cử tìm kiếm ý kiến từ CEO liên quan đến một ứng viên.</w:t>
      </w:r>
    </w:p>
    <w:p>
      <w:pPr>
        <w:pStyle w:val="Heading5"/>
      </w:pPr>
      <w:r>
        <w:rPr>
          <w:rFonts w:ascii="Calibri" w:hAnsi="Calibri"/>
          <w:b/>
          <w:i/>
          <w:sz w:val="22"/>
        </w:rPr>
        <w:t>Bình luận và câu hỏi</w:t>
      </w:r>
    </w:p>
    <w:p>
      <w:pPr>
        <w:spacing w:after="80"/>
      </w:pPr>
      <w:r>
        <w:rPr>
          <w:b w:val="0"/>
          <w:i w:val="0"/>
        </w:rPr>
        <w:t>1. Bạn nghĩ gì về cách tiếp cận quy định này? SEC có nên sử dụng việc công bố thông tin để thay đổi hành vi thực chất của các cán bộ và giám đốc không? Cách tiếp cận này thậm chí có hiệu quả không? Những giới hạn của việc sử dụng công bố thông tin để tác động đến thực tiễn quản trị là gì?</w:t>
      </w:r>
    </w:p>
    <w:p>
      <w:pPr>
        <w:spacing w:after="80"/>
      </w:pPr>
      <w:r>
        <w:rPr>
          <w:b w:val="0"/>
          <w:i w:val="0"/>
        </w:rPr>
        <w:t>2. Sứ mệnh quy định rõ ràng của Ủy ban bao gồm việc đảm bảo công bố thông tin đầy đủ cho nhà đầu tư và cổ đông. Quản trị công ty có vai trò gì trong việc đảm bảo mục tiêu này?</w:t>
      </w:r>
    </w:p>
    <w:p>
      <w:pPr>
        <w:spacing w:after="80"/>
      </w:pPr>
      <w:r>
        <w:rPr>
          <w:b w:val="0"/>
          <w:i w:val="0"/>
        </w:rPr>
        <w:t>3. Cách tiếp cận quy định này gợi ra điều gì về sự căng thẳng giữa luật tiểu bang và luật liên bang trong lĩnh vực quản trị công ty? Trong lĩnh vực quản trị công ty, liệu có hợp lý không khi có nhiều cơ quan quản lý khác nhau cùng xác định các chuẩn mực quản trị và chuẩn mực nghĩa vụ ủy thác (fiduciary duty)? Liệu có thể có được sự công bố thông tin đầy đủ nếu các chuẩn mực nghĩa vụ ủy thác yếu kém?</w:t>
      </w:r>
    </w:p>
    <w:p>
      <w:pPr>
        <w:spacing w:after="80"/>
      </w:pPr>
      <w:r>
        <w:rPr>
          <w:b w:val="0"/>
          <w:i w:val="0"/>
        </w:rPr>
        <w:t>4. Ủy ban (Commission) hoàn toàn có thể được trao thẩm quyền quản lý trực tiếp các hoạt động thực chất của hội đồng quản trị. Càng ngày, đó dường như chính là cách tiếp cận mà Quốc hội đang sử dụng. Trong Đạo luật Sarbanes-Oxley, SEC được trao thẩm quyền thực chất để quản lý các ủy ban kiểm toán (audit committee). Trong Đạo luật Dodd-Frank, SEC nhận được thẩm quyền thực chất để quản lý các ủy ban lương thưởng (compensation committee) của hội đồng quản trị và để yêu cầu các công ty đại chúng tổ chức một cuộc bỏ phiếu tư vấn về thù lao điều hành (say on pay). Điều gì có thể giải thích cho xu hướng trôi dạt khỏi công bố thông tin để nghiêng về quản lý thực chất này? Điều này có nghĩa là Ủy ban không còn phải dùng công bố thông tin để tác động đến hành vi thực chất nữa hay không?</w:t>
      </w:r>
    </w:p>
    <w:p>
      <w:pPr>
        <w:spacing w:after="80"/>
      </w:pPr>
      <w:r>
        <w:rPr>
          <w:b w:val="0"/>
          <w:i w:val="0"/>
        </w:rPr>
        <w:t>—————</w:t>
      </w:r>
    </w:p>
    <w:p>
      <w:pPr>
        <w:pStyle w:val="Heading2"/>
      </w:pPr>
      <w:r>
        <w:rPr>
          <w:rFonts w:ascii="Calibri" w:hAnsi="Calibri"/>
          <w:b/>
          <w:i w:val="0"/>
          <w:sz w:val="32"/>
        </w:rPr>
        <w:t>III. Công bố thông tin và sự chính trực của ban điều hành</w:t>
      </w:r>
    </w:p>
    <w:p>
      <w:pPr>
        <w:spacing w:after="80"/>
      </w:pPr>
      <w:r>
        <w:rPr>
          <w:b w:val="0"/>
          <w:i w:val="0"/>
        </w:rPr>
        <w:t>Các công ty cũng có thể cần công bố thông tin liên quan đến sự chính trực của ban điều hành. Một số thông tin công bố là minh thị. Mục 401 của Quy chế S-K yêu cầu công bố tuổi, kinh nghiệm kinh doanh và việc tham gia vào một số thủ tục pháp lý nhất định của một giám đốc, chẳng hạn như việc nộp đơn xin phá sản hoặc bị kết án trong một thủ tục hình sự. 17 C.F.R. 229.401. Thông tin lý lịch này có thể liên quan đến các cổ đông trong việc quyết định có bầu giám đốc đó vào hội đồng quản trị hay không.</w:t>
      </w:r>
    </w:p>
    <w:p>
      <w:pPr>
        <w:spacing w:after="80"/>
      </w:pPr>
      <w:r>
        <w:rPr>
          <w:b w:val="0"/>
          <w:i w:val="0"/>
        </w:rPr>
        <w:t xml:space="preserve">Tuy nhiên, ngoài các yêu cầu công bố thông tin minh thị, các công ty cũng cần cung cấp cho cổ đông và nhà đầu tư bất kỳ thông tin nào khác về các giám đốc mà cổ đông cần để đưa ra quyết định bỏ phiếu hoặc đầu tư một cách sáng suốt. Điều này thuộc phạm trù chung về tính đầy đủ, một nghĩa vụ được áp đặt chủ yếu theo các quy tắc cấm gian lận. </w:t>
      </w:r>
      <w:r>
        <w:rPr>
          <w:b w:val="0"/>
          <w:i/>
        </w:rPr>
        <w:t>Xem</w:t>
      </w:r>
      <w:r>
        <w:rPr>
          <w:b w:val="0"/>
          <w:i w:val="0"/>
        </w:rPr>
        <w:t xml:space="preserve"> Quy tắc 10b-5 và 14a-9, 17 CFR § 240.10b-5 &amp;.14a-9. Thông tin phải là trọng yếu (material) và phải đã "gây ra" bất kỳ tổn thất nào. Cả hai yêu cầu này đều dẫn đến một số vấn đề về giải thích. Cả hai đều áp đặt một yêu cầu về trạng thái tinh thần. Quy tắc 14a-9 yêu cầu phải có kết luận về sự sơ suất (negligence); Quy tắc 10b-5 yêu cầu kết luận về scienter (ý đồ phạm tội). Nói cách khác, những phát biểu sai lệch vô ý và không trọng yếu thì không thể bị kiện.</w:t>
      </w:r>
    </w:p>
    <w:p>
      <w:pPr>
        <w:spacing w:after="80"/>
      </w:pPr>
      <w:r>
        <w:rPr>
          <w:b w:val="0"/>
          <w:i w:val="0"/>
        </w:rPr>
        <w:t>Một trong những vấn đề pháp lý khó khăn hơn liên quan đến các vấn đề về sự chính trực của ban điều hành là tính trọng yếu của bất kỳ phát biểu sai lệch hoặc thiếu sót nào. Những phát biểu không chính xác về trình độ học vấn của một viên chức hoặc việc không tiết lộ một tình trạng sức khỏe nghiêm trọng có thể cung cấp thông tin chi tiết về viên chức đó nhưng không nhất thiết sẽ ảnh hưởng đến quyết định đầu tư.</w:t>
      </w:r>
    </w:p>
    <w:p>
      <w:pPr>
        <w:spacing w:after="80"/>
      </w:pPr>
      <w:r>
        <w:rPr>
          <w:b w:val="0"/>
          <w:i w:val="0"/>
        </w:rPr>
        <w:t>Tính trọng yếu, như hai vụ án tiếp theo minh họa, đòi hỏi một sự phân tích mang tính thực tế cao độ.</w:t>
      </w:r>
    </w:p>
    <w:p>
      <w:pPr>
        <w:pStyle w:val="Heading4"/>
      </w:pPr>
      <w:r>
        <w:rPr>
          <w:rFonts w:ascii="Calibri" w:hAnsi="Calibri"/>
          <w:b/>
          <w:i w:val="0"/>
          <w:sz w:val="23"/>
        </w:rPr>
        <w:t>TSC Industries, Inc. v. Northway, Inc.</w:t>
      </w:r>
    </w:p>
    <w:p>
      <w:pPr>
        <w:spacing w:after="80"/>
      </w:pPr>
      <w:r>
        <w:rPr>
          <w:b w:val="0"/>
          <w:i w:val="0"/>
        </w:rPr>
        <w:t>Tòa án Tối cao Hoa Kỳ</w:t>
      </w:r>
      <w:r>
        <w:br/>
      </w:r>
      <w:r>
        <w:rPr>
          <w:b w:val="0"/>
          <w:i w:val="0"/>
        </w:rPr>
        <w:t xml:space="preserve"> 426 U.S. 438 (1976)</w:t>
      </w:r>
    </w:p>
    <w:p>
      <w:pPr>
        <w:spacing w:after="80"/>
      </w:pPr>
      <w:r>
        <w:rPr>
          <w:b w:val="0"/>
          <w:i w:val="0"/>
        </w:rPr>
        <w:t>THẨM PHÁN MARSHALL :</w:t>
      </w:r>
    </w:p>
    <w:p>
      <w:pPr>
        <w:spacing w:after="80"/>
      </w:pPr>
      <w:r>
        <w:rPr>
          <w:b w:val="0"/>
          <w:i w:val="0"/>
        </w:rPr>
        <w:t>* * *</w:t>
      </w:r>
    </w:p>
    <w:p>
      <w:pPr>
        <w:spacing w:after="80"/>
      </w:pPr>
      <w:r>
        <w:rPr>
          <w:b w:val="0"/>
          <w:i w:val="0"/>
        </w:rPr>
        <w:t>Câu hỏi về tính trọng yếu, như mọi người đều nhất trí, là một câu hỏi khách quan, liên quan đến tầm quan trọng của một sự kiện bị bỏ sót hoặc bị trình bày sai đối với một nhà đầu tư hợp lý. Những biến thể trong cách xây dựng một phép thử chung về tính trọng yếu xuất hiện trong cách diễn đạt chính xác một sự kiện phải quan trọng đến mức nào, hay nói cách khác, phải chắc chắn đến mức nào rằng sự kiện đó sẽ ảnh hưởng đến phán đoán của một nhà đầu tư hợp lý.</w:t>
      </w:r>
    </w:p>
    <w:p>
      <w:pPr>
        <w:spacing w:after="80"/>
      </w:pPr>
      <w:r>
        <w:rPr>
          <w:b w:val="0"/>
          <w:i w:val="0"/>
        </w:rPr>
        <w:t>* * *</w:t>
      </w:r>
    </w:p>
    <w:p>
      <w:pPr>
        <w:spacing w:after="80"/>
      </w:pPr>
      <w:r>
        <w:rPr>
          <w:b w:val="0"/>
          <w:i w:val="0"/>
        </w:rPr>
        <w:t xml:space="preserve">Tiêu chuẩn chung về tính trọng yếu mà chúng tôi cho là phù hợp nhất với các chính sách của Quy tắc 14a-9 như sau: Một sự kiện bị bỏ sót là trọng yếu nếu có khả năng đáng kể rằng một cổ đông hợp lý sẽ coi nó là quan trọng khi quyết định bỏ phiếu như thế nào. Tiêu chuẩn này hoàn toàn nhất quán với mô tả chung của </w:t>
      </w:r>
      <w:r>
        <w:rPr>
          <w:b w:val="0"/>
          <w:i/>
        </w:rPr>
        <w:t>Mills</w:t>
      </w:r>
      <w:r>
        <w:rPr>
          <w:b w:val="0"/>
          <w:i w:val="0"/>
        </w:rPr>
        <w:t xml:space="preserve"> về tính trọng yếu như một yêu cầu rằng "khiếm khuyết đó phải có một </w:t>
      </w:r>
      <w:r>
        <w:rPr>
          <w:b w:val="0"/>
          <w:i/>
        </w:rPr>
        <w:t>xu hướng</w:t>
      </w:r>
      <w:r>
        <w:rPr>
          <w:b w:val="0"/>
          <w:i w:val="0"/>
        </w:rPr>
        <w:t xml:space="preserve"> đáng kể để ảnh hưởng đến quá trình bỏ phiếu." Tiêu chuẩn này không đòi hỏi phải chứng minh có khả năng đáng kể rằng việc công bố sự kiện bị bỏ sót sẽ khiến nhà đầu tư hợp lý thay đổi lá phiếu của mình. Điều mà tiêu chuẩn này dự liệu là sự chứng minh có khả năng đáng kể rằng, trong mọi hoàn cảnh, sự kiện bị bỏ sót sẽ có ý nghĩa thực sự trong quá trình cân nhắc của cổ đông hợp lý. Nói cách khác, phải có khả năng đáng kể rằng việc công bố sự kiện bị bỏ sót sẽ được nhà đầu tư hợp lý coi là đã làm thay đổi đáng kể "tổng thể hỗn hợp" thông tin được cung cấp.</w:t>
      </w:r>
    </w:p>
    <w:p>
      <w:pPr>
        <w:pStyle w:val="Heading5"/>
      </w:pPr>
      <w:r>
        <w:rPr>
          <w:rFonts w:ascii="Calibri" w:hAnsi="Calibri"/>
          <w:b/>
          <w:i/>
          <w:sz w:val="22"/>
        </w:rPr>
        <w:t>Bình luận và Câu hỏi</w:t>
      </w:r>
    </w:p>
    <w:p>
      <w:pPr>
        <w:spacing w:after="80"/>
      </w:pPr>
      <w:r>
        <w:rPr>
          <w:b w:val="0"/>
          <w:i w:val="0"/>
        </w:rPr>
        <w:t xml:space="preserve">1. Bạn nghĩ gì về bài kiểm tra trong </w:t>
      </w:r>
      <w:r>
        <w:rPr>
          <w:b w:val="0"/>
          <w:i/>
        </w:rPr>
        <w:t>Northway</w:t>
      </w:r>
      <w:r>
        <w:rPr>
          <w:b w:val="0"/>
          <w:i w:val="0"/>
        </w:rPr>
        <w:t>? Áp dụng nó khó đến mức nào? Tòa án nhấn mạnh rằng tính trọng yếu phụ thuộc vào “tổng thể hỗn hợp” (total mix) thông tin sẵn có. Điều đó chính xác nghĩa là gì?</w:t>
      </w:r>
    </w:p>
    <w:p>
      <w:pPr>
        <w:spacing w:after="80"/>
      </w:pPr>
      <w:r>
        <w:rPr>
          <w:b w:val="0"/>
          <w:i w:val="0"/>
        </w:rPr>
        <w:t xml:space="preserve">2. Bài kiểm tra này có thể được áp dụng cho các vấn đề về tính chính trực của ban quản lý như thế nào? Nếu một công ty khai sai về trình độ học vấn của CEO thì sao? </w:t>
      </w:r>
      <w:r>
        <w:rPr>
          <w:b w:val="0"/>
          <w:i/>
        </w:rPr>
        <w:t>Northway</w:t>
      </w:r>
      <w:r>
        <w:rPr>
          <w:b w:val="0"/>
          <w:i w:val="0"/>
        </w:rPr>
        <w:t xml:space="preserve"> có đưa ra câu trả lời về tính trọng yếu của loại thông tin đó không?</w:t>
      </w:r>
    </w:p>
    <w:p>
      <w:pPr>
        <w:spacing w:after="80"/>
      </w:pPr>
      <w:r>
        <w:rPr>
          <w:b w:val="0"/>
          <w:i w:val="0"/>
        </w:rPr>
        <w:t xml:space="preserve">3. Liệu một “mô tả rực rỡ về tinh thần môi trường, hiệu suất và ý thức trách nhiệm của Công ty” có thể được coi là trọng yếu và có thể bị kiện nếu không chính xác không? Theo ít nhất một tòa án thì có thể. </w:t>
      </w:r>
      <w:r>
        <w:rPr>
          <w:b w:val="0"/>
          <w:i/>
        </w:rPr>
        <w:t>Xem United Paperworkers Int'l Union v. International Paper</w:t>
      </w:r>
      <w:r>
        <w:rPr>
          <w:b w:val="0"/>
          <w:i w:val="0"/>
        </w:rPr>
        <w:t xml:space="preserve"> , 985 F.2d 1190, 1198 (2d Cir. 1993).</w:t>
      </w:r>
    </w:p>
    <w:p>
      <w:pPr>
        <w:spacing w:after="80"/>
      </w:pPr>
      <w:r>
        <w:rPr>
          <w:b w:val="0"/>
          <w:i w:val="0"/>
        </w:rPr>
        <w:t xml:space="preserve">4. </w:t>
      </w:r>
      <w:r>
        <w:rPr>
          <w:b w:val="0"/>
          <w:i/>
        </w:rPr>
        <w:t>Northway</w:t>
      </w:r>
      <w:r>
        <w:rPr>
          <w:b w:val="0"/>
          <w:i w:val="0"/>
        </w:rPr>
        <w:t xml:space="preserve"> định nghĩa tính trọng yếu trong bối cảnh tài liệu ủy quyền (proxy). Định nghĩa tương tự đã được mở rộng sang các quy định khác trong luật chứng khoán. </w:t>
      </w:r>
      <w:r>
        <w:rPr>
          <w:b w:val="0"/>
          <w:i/>
        </w:rPr>
        <w:t>Xem Basic Inc. v. Levinson</w:t>
      </w:r>
      <w:r>
        <w:rPr>
          <w:b w:val="0"/>
          <w:i w:val="0"/>
        </w:rPr>
        <w:t xml:space="preserve"> , 485 US 224 (1988) (áp dụng định nghĩa </w:t>
      </w:r>
      <w:r>
        <w:rPr>
          <w:b w:val="0"/>
          <w:i/>
        </w:rPr>
        <w:t>Northway</w:t>
      </w:r>
      <w:r>
        <w:rPr>
          <w:b w:val="0"/>
          <w:i w:val="0"/>
        </w:rPr>
        <w:t xml:space="preserve"> cho các vụ kiện gian lận chứng khoán theo Rule 10b-5). Tuy nhiên, điều đó không có nghĩa là cùng một thông tin luôn luôn trọng yếu, bất kể bối cảnh. Đâu là ví dụ về thông tin có thể không trọng yếu đối với nhà đầu tư nhưng lại trọng yếu đối với cổ đông bỏ phiếu bầu giám đốc?</w:t>
      </w:r>
    </w:p>
    <w:p>
      <w:pPr>
        <w:spacing w:after="80"/>
      </w:pPr>
      <w:r>
        <w:rPr>
          <w:b w:val="0"/>
          <w:i w:val="0"/>
        </w:rPr>
        <w:t xml:space="preserve">5. </w:t>
      </w:r>
      <w:r>
        <w:rPr>
          <w:b w:val="0"/>
          <w:i/>
        </w:rPr>
        <w:t>Northway</w:t>
      </w:r>
      <w:r>
        <w:rPr>
          <w:b w:val="0"/>
          <w:i w:val="0"/>
        </w:rPr>
        <w:t xml:space="preserve"> dựa trên khái niệm “tổng thể hỗn hợp” thông tin. Khái niệm này hoạt động trong thực tế như thế nào? Thông tin về tính chính trực của ban quản lý có nhất thiết phải thực sự xuất hiện trong tài liệu xin ủy quyền không?</w:t>
      </w:r>
    </w:p>
    <w:p>
      <w:pPr>
        <w:spacing w:after="80"/>
      </w:pPr>
      <w:r>
        <w:rPr>
          <w:b w:val="0"/>
          <w:i w:val="0"/>
        </w:rPr>
        <w:t>6. Các quy định về ủy quyền quy định việc công bố một số loại thông tin nhất định về ban quản lý. Tuy nhiên, các quy định này được coi là “mức tối thiểu”. Các công ty phải bao gồm bất kỳ thông tin trọng yếu nào khác cần thiết để làm cho tài liệu ủy quyền chính xác và đầy đủ. Trong lĩnh vực quản trị, điều này có thể làm phát sinh một số vấn đề công bố thông tin bất thường. Năm 2009, Steven Jobs, CEO của Apple, thông báo rằng ông có vấn đề sức khỏe và sẽ nghỉ phép y tế. Một khi Jobs tự nguyện công bố thông tin đó, liệu điều này có tạo ra nghĩa vụ phải công bố tất cả thông tin trọng yếu về sức khỏe của ông ra thị trường không?</w:t>
      </w:r>
    </w:p>
    <w:p>
      <w:pPr>
        <w:spacing w:after="80"/>
      </w:pPr>
      <w:r>
        <w:rPr>
          <w:b w:val="0"/>
          <w:i w:val="0"/>
        </w:rPr>
        <w:t>7. Nhược điểm của bài kiểm tra này là gì? Tòa án đã lưu ý trong ý kiến rằng một số thông tin “có tầm quan trọng đáng ngờ đến mức việc khăng khăng đòi công bố nó có thể gây hại nhiều hơn lợi”. Liệu có rõ ràng rằng bài kiểm tra này tránh được kết quả đó không?</w:t>
      </w:r>
    </w:p>
    <w:p>
      <w:pPr>
        <w:spacing w:after="80"/>
      </w:pPr>
      <w:r>
        <w:rPr>
          <w:b w:val="0"/>
          <w:i w:val="0"/>
        </w:rPr>
        <w:t>—————</w:t>
      </w:r>
    </w:p>
    <w:p>
      <w:pPr>
        <w:spacing w:after="80"/>
      </w:pPr>
      <w:r>
        <w:rPr>
          <w:b w:val="0"/>
          <w:i w:val="0"/>
        </w:rPr>
        <w:t>Tiêu chuẩn tổng thể hỗn hợp đòi hỏi phải phân tích tất cả các thông tin sẵn có khác mà thị trường đã biết. Thông tin có vẻ quan trọng có thể trở nên không trọng yếu tùy thuộc vào những gì thị trường đã biết. Tuy nhiên, phần lớn, vấn đề nảy sinh trong bối cảnh thông tin có vẻ không quan trọng được coi là trọng yếu sau khi đã xem xét bối cảnh.</w:t>
      </w:r>
    </w:p>
    <w:p>
      <w:pPr>
        <w:pStyle w:val="Heading4"/>
      </w:pPr>
      <w:r>
        <w:rPr>
          <w:rFonts w:ascii="Calibri" w:hAnsi="Calibri"/>
          <w:b/>
          <w:i w:val="0"/>
          <w:sz w:val="23"/>
        </w:rPr>
        <w:t>Matrixx Initiatives, Inc. v. Siracusano</w:t>
      </w:r>
    </w:p>
    <w:p>
      <w:pPr>
        <w:spacing w:after="80"/>
      </w:pPr>
      <w:r>
        <w:rPr>
          <w:b w:val="0"/>
          <w:i w:val="0"/>
        </w:rPr>
        <w:t>Tòa án Tối cao Hoa Kỳ</w:t>
      </w:r>
      <w:r>
        <w:br/>
      </w:r>
      <w:r>
        <w:rPr>
          <w:b w:val="0"/>
          <w:i w:val="0"/>
        </w:rPr>
        <w:t xml:space="preserve"> 563 U.S. 27 (2011)</w:t>
      </w:r>
    </w:p>
    <w:p>
      <w:pPr>
        <w:spacing w:after="80"/>
      </w:pPr>
      <w:r>
        <w:rPr>
          <w:b w:val="0"/>
          <w:i w:val="0"/>
        </w:rPr>
        <w:t>SOTOMAYOR , THẨM PHÁN :</w:t>
      </w:r>
    </w:p>
    <w:p>
      <w:pPr>
        <w:spacing w:after="80"/>
      </w:pPr>
      <w:r>
        <w:rPr>
          <w:b w:val="0"/>
          <w:i w:val="0"/>
        </w:rPr>
        <w:t>Vụ án này đặt ra câu hỏi liệu nguyên đơn có thể đưa ra yêu cầu về gian lận chứng khoán theo § 10(b) của Đạo luật Giao dịch Chứng khoán năm 1934, 48 Stat. 891, đã được sửa đổi, 15 U.S.C. § 78j(b), và Rule 10b-5 của Ủy ban Chứng khoán và Giao dịch (SEC), 17 CFR § 240.10b-5 (2010), dựa trên việc một công ty dược phẩm không công bố các báo cáo về biến cố bất lợi liên quan đến một sản phẩm nếu các báo cáo đó không tiết lộ một số lượng biến cố bất lợi có ý nghĩa thống kê hay không. . . .</w:t>
      </w:r>
    </w:p>
    <w:p>
      <w:pPr>
        <w:spacing w:after="80"/>
      </w:pPr>
      <w:r>
        <w:rPr>
          <w:b w:val="0"/>
          <w:i w:val="0"/>
        </w:rPr>
        <w:t>A</w:t>
      </w:r>
    </w:p>
    <w:p>
      <w:pPr>
        <w:spacing w:after="80"/>
      </w:pPr>
      <w:r>
        <w:rPr>
          <w:b w:val="0"/>
          <w:i w:val="0"/>
        </w:rPr>
        <w:t>Thông qua một công ty con thuộc sở hữu hoàn toàn, Matrixx phát triển, sản xuất và tiếp thị các sản phẩm dược phẩm không kê đơn. Thương hiệu sản phẩm cốt lõi của nó có tên là Zicam. Tất cả các sản phẩm được bán dưới tên Zicam đều được dùng để điều trị cảm lạnh thông thường và các triệu chứng liên quan. Vào thời điểm xảy ra các sự kiện đang được xem xét, một trong các sản phẩm của Matrixx là Zicam Cold Remedy, được bán dưới nhiều dạng bao gồm thuốc xịt mũi và gel. Thành phần hoạt chất trong Zicam Cold Remedy là kẽm gluconate. Các bị đơn cho rằng Zicam Cold Remedy chiếm khoảng 70 phần trăm doanh số của Matrixx.</w:t>
      </w:r>
    </w:p>
    <w:p>
      <w:pPr>
        <w:spacing w:after="80"/>
      </w:pPr>
      <w:r>
        <w:rPr>
          <w:b w:val="0"/>
          <w:i w:val="0"/>
        </w:rPr>
        <w:t>Các bị đơn đã khởi kiện vụ kiện tập thể về gian lận chứng khoán này chống lại Matrixx thay mặt cho những cá nhân đã mua chứng khoán của Matrixx trong khoảng thời gian từ ngày 22 tháng 10 năm 2003 đến ngày 6 tháng 2 năm 2004. Vụ kiện chủ yếu phát sinh từ các tuyên bố mà Matrixx đưa ra trong giai đoạn tập thể liên quan đến doanh thu và an toàn sản phẩm. Các bị đơn cho rằng các tuyên bố của Matrixx là gây nhầm lẫn dựa trên các báo cáo mà Matrixx đã nhận được, nhưng không công bố, về những người tiêu dùng đã mất khứu giác (một tình trạng gọi là anosmia) sau khi sử dụng Zicam Cold Remedy.</w:t>
      </w:r>
    </w:p>
    <w:p>
      <w:pPr>
        <w:spacing w:after="80"/>
      </w:pPr>
      <w:r>
        <w:rPr>
          <w:b w:val="0"/>
          <w:i w:val="0"/>
        </w:rPr>
        <w:t>* * *</w:t>
      </w:r>
    </w:p>
    <w:p>
      <w:pPr>
        <w:spacing w:after="80"/>
      </w:pPr>
      <w:r>
        <w:rPr>
          <w:b w:val="0"/>
          <w:i w:val="0"/>
        </w:rPr>
        <w:t>II</w:t>
      </w:r>
    </w:p>
    <w:p>
      <w:pPr>
        <w:spacing w:after="80"/>
      </w:pPr>
      <w:r>
        <w:rPr>
          <w:b w:val="0"/>
          <w:i w:val="0"/>
        </w:rPr>
        <w:t>Mục 10(b) của Đạo luật Giao dịch Chứng khoán quy định rằng bất kỳ người nào “sử dụng hoặc áp dụng, trong mối liên hệ với việc mua hoặc bán bất kỳ chứng khoán nào . . . bất kỳ phương tiện hoặc thủ đoạn thao túng hoặc lừa dối nào trái với các quy tắc và quy định mà Ủy ban có thể ban hành khi cần thiết hoặc phù hợp vì lợi ích công chúng hoặc để bảo vệ nhà đầu tư” đều là hành vi bất hợp pháp. 15 U.S.C. § 78j(b). Quy tắc 10b-5 của SEC thực thi quy định này bằng cách coi là bất hợp pháp hành vi, trong số những điều khác, “đưa ra bất kỳ tuyên bố sai lệch nào về một sự kiện trọng yếu hoặc bỏ sót không nêu ra một sự kiện trọng yếu cần thiết để làm cho các tuyên bố đã đưa ra, trong ánh sáng của các hoàn cảnh mà chúng được đưa ra, không gây hiểu lầm.” 17 CFR § 240.10b-5(b). Chúng tôi đã ngụ ý về một quyền khởi kiện tư nhân từ văn bản và mục đích của § 10(b). Xem Tellabs, Inc. v. Makor Issues &amp; Rights, Ltd., 551 U.S. 308, 318, 127 S. Ct. 2499, 168 L. Ed. 2d 179 (2007).</w:t>
      </w:r>
    </w:p>
    <w:p>
      <w:pPr>
        <w:spacing w:after="80"/>
      </w:pPr>
      <w:r>
        <w:rPr>
          <w:b w:val="0"/>
          <w:i w:val="0"/>
        </w:rPr>
        <w:t>Để thắng kiện với tuyên bố rằng Matrixx đã đưa ra những trình bày sai lệch trọng yếu hoặc bỏ sót thông tin trọng yếu vi phạm § 10(b) và Quy tắc 10b-5, các bị đơn phải chứng minh “(1) một trình bày sai lệch hoặc bỏ sót trọng yếu của bị đơn; (2) scienter (ý đồ phạm tội); (3) mối liên hệ giữa trình bày sai lệch hoặc bỏ sót đó với việc mua hoặc bán một chứng khoán; (4) sự tin cậy vào trình bày sai lệch hoặc bỏ sót đó; (5) tổn thất kinh tế; và (6) quan hệ nhân quả của tổn thất.” Stoneridge Investment Partners, LLC v. Scientific-Atlanta, Inc., 552 U.S. 148, 157, 128 S. Ct. 761, 169 L. Ed. 2d 627 (2008). Matrixx cho rằng các bị đơn đã không trình bày được cả yếu tố trình bày sai lệch hoặc bỏ sót trọng yếu lẫn yếu tố scienter vì họ không cáo buộc rằng các báo cáo mà Matrixx nhận được phản ánh bằng chứng có ý nghĩa thống kê rằng Zicam gây ra chứng mất khứu giác (anosmia). Chúng tôi không đồng ý.</w:t>
      </w:r>
    </w:p>
    <w:p>
      <w:pPr>
        <w:spacing w:after="80"/>
      </w:pPr>
      <w:r>
        <w:rPr>
          <w:b w:val="0"/>
          <w:i w:val="0"/>
        </w:rPr>
        <w:t>A</w:t>
      </w:r>
    </w:p>
    <w:p>
      <w:pPr>
        <w:spacing w:after="80"/>
      </w:pPr>
      <w:r>
        <w:rPr>
          <w:b w:val="0"/>
          <w:i w:val="0"/>
        </w:rPr>
        <w:t>Trước tiên, chúng tôi xem xét lập luận của Matrixx rằng “các báo cáo về biến cố bất lợi không cho thấy nguy cơ gia tăng có ý nghĩa thống kê về các biến cố bất lợi do sử dụng sản phẩm thì không phải là thông tin trọng yếu.” Brief for Petitioners 17 (bỏ qua cách viết hoa).</w:t>
      </w:r>
    </w:p>
    <w:p>
      <w:pPr>
        <w:spacing w:after="80"/>
      </w:pPr>
      <w:r>
        <w:rPr>
          <w:b w:val="0"/>
          <w:i w:val="0"/>
        </w:rPr>
        <w:t>1</w:t>
      </w:r>
    </w:p>
    <w:p>
      <w:pPr>
        <w:spacing w:after="80"/>
      </w:pPr>
      <w:r>
        <w:rPr>
          <w:b w:val="0"/>
          <w:i w:val="0"/>
        </w:rPr>
        <w:t>Để thắng kiện theo § 10(b), nguyên đơn phải chứng minh rằng bị đơn đã đưa ra một tuyên bố “gây hiểu lầm về một sự kiện trọng yếu.” Basic, 485 U.S., at 238, 108 S. Ct. 978, 99 L. Ed. 2d 194. Trong Basic, chúng tôi đã phán quyết rằng yêu cầu về tính trọng yếu này được thỏa mãn khi có “‘khả năng đáng kể rằng việc tiết lộ sự kiện bị bỏ sót sẽ được nhà đầu tư hợp lý coi là đã thay đổi đáng kể “tổng thể hỗn hợp” thông tin được cung cấp.’” Id., at 231–232, 108 S. Ct. 978, 99 L. Ed. 2d 194 (trích dẫn TSC Industries, Inc. v. Northway, Inc., 426 U.S. 438, 449, 96 S. Ct. 2126, 48 L. Ed. 2d 757 (1976)). Chúng tôi đã “cẩn thận không đặt ra một tiêu chuẩn trọng yếu quá thấp,” vì lo ngại rằng ban lãnh đạo sẽ “‘chôn vùi các cổ đông trong một trận lũ thông tin vụn vặt.’” 485 U.S., at 231, 108 S. Ct. 978, 99 L. Ed. 2d 194 (trích dẫn TSC Industries, 426 U.S., at 448–449, 96 S. Ct. 2126, 48 L. Ed. 2d 757).</w:t>
      </w:r>
    </w:p>
    <w:p>
      <w:pPr>
        <w:spacing w:after="80"/>
      </w:pPr>
      <w:r>
        <w:rPr>
          <w:b w:val="0"/>
          <w:i w:val="0"/>
        </w:rPr>
        <w:t>Basic liên quan đến một tuyên bố rằng bị đơn đã đưa ra những tuyên bố gây hiểu lầm phủ nhận việc mình đang tham gia đàm phán sáp nhập trong khi thực tế lại đang tiến hành các cuộc đàm phán sơ bộ. Xem 485 U.S., at 227–229, 108 S. Ct. 978, 99 L. Ed. 2d 194. Bị đơn thúc giục một quy tắc rạch ròi rằng các cuộc đàm phán sáp nhập sơ bộ chỉ trở nên trọng yếu một khi các bên đàm phán đạt được thỏa thuận về nguyên tắc. Id., at 232–233, 108 S. Ct. 978, 99 L. Ed. 2d 194. Chúng tôi nhận xét rằng “[b]ất kỳ cách tiếp cận nào chỉ định một sự kiện hoặc sự việc đơn lẻ là luôn mang tính quyết định cho một phát hiện vốn dĩ dựa trên sự kiện cụ thể như tính trọng yếu, đều nhất thiết sẽ bao quát quá rộng hoặc quá hẹp.” Id., at 236, 108 S. Ct. 978, 99 L. Ed. 2d 194. Do đó, chúng tôi đã bác bỏ quy tắc mà bị đơn đề xuất, giải thích rằng nó sẽ “loại trừ một cách nhân tạo khỏi định nghĩa về tính trọng yếu những thông tin liên quan đến các cuộc thảo luận sáp nhập, vốn dĩ sẽ được coi là quan trọng đối với quyết định giao dịch của một nhà đầu tư hợp lý.” Ibid.</w:t>
      </w:r>
    </w:p>
    <w:p>
      <w:pPr>
        <w:spacing w:after="80"/>
      </w:pPr>
      <w:r>
        <w:rPr>
          <w:b w:val="0"/>
          <w:i w:val="0"/>
        </w:rPr>
        <w:t>Giống như bị đơn trong Basic, Matrixx thúc giục chúng tôi áp dụng một quy tắc rạch ròi rằng các báo cáo về biến cố bất lợi 5 gắn với sản phẩm của một công ty dược phẩm không thể là trọng yếu nếu không có đủ số lượng báo cáo như vậy để thiết lập một nguy cơ có ý nghĩa thống kê rằng sản phẩm thực sự đang gây ra các biến cố đó. Nếu không có ý nghĩa thống kê, Matrixx lập luận, các báo cáo về biến cố bất lợi chỉ cung cấp bằng chứng “truyền miệng” rằng “người dùng một loại thuốc đã trải qua một biến cố bất lợi tại một thời điểm nào đó trong hoặc sau khi sử dụng loại thuốc đó.” Brief for Petitioners 17. Theo đó, nó cho rằng, các nhà đầu tư hợp lý sẽ không coi những báo cáo như vậy là có liên quan trừ khi chúng có ý nghĩa thống kê, vì chỉ khi đó chúng mới “phản ánh một cơ sở đáng tin cậy về mặt khoa học để suy ra mối liên hệ nhân quả tiềm tàng giữa việc sử dụng sản phẩm và biến cố bất lợi.” Id., at 32.</w:t>
      </w:r>
    </w:p>
    <w:p>
      <w:pPr>
        <w:spacing w:after="80"/>
      </w:pPr>
      <w:r>
        <w:rPr>
          <w:b w:val="0"/>
          <w:i w:val="0"/>
        </w:rPr>
        <w:t>Như trong Basic, quy tắc tuyệt đối của Matrixx sẽ “loại trừ một cách nhân tạo” những thông tin “vốn dĩ sẽ được coi là quan trọng đối với quyết định giao dịch của một nhà đầu tư hợp lý.” 485 U.S., at 236, 108 S. Ct. 978, 99 L. Ed. 2d 194. Lập luận của Matrixx dựa trên tiền đề rằng ý nghĩa thống kê là dấu hiệu đáng tin cậy duy nhất về quan hệ nhân quả. Tiền đề này là sai lầm: Như SEC chỉ ra, “các nhà nghiên cứu y khoa . . . xem xét nhiều yếu tố khi đánh giá quan hệ nhân quả.” Brief for United States as Amicus Curiae 12. Dữ liệu có ý nghĩa thống kê không phải lúc nào cũng có sẵn. Ví dụ, khi một biến cố bất lợi là tinh tế hoặc hiếm gặp, “việc không thể có được một tập dữ liệu có chất lượng hoặc số lượng phù hợp có thể ngăn cản việc đưa ra một phát hiện về ý nghĩa thống kê.” Id., at 15; xem thêm Brief for Medical Researchers as Amici Curiae 11. Hơn nữa, các cân nhắc về đạo đức có thể cấm các nhà nghiên cứu tiến hành các thử nghiệm lâm sàng ngẫu nhiên để xác nhận một mối liên hệ nhân quả bị nghi ngờ nhằm mục đích thu được dữ liệu có ý nghĩa thống kê. Xem id., at 10–11.</w:t>
      </w:r>
    </w:p>
    <w:p>
      <w:pPr>
        <w:spacing w:after="80"/>
      </w:pPr>
      <w:r>
        <w:rPr>
          <w:b w:val="0"/>
          <w:i w:val="0"/>
        </w:rPr>
        <w:t>Việc thiếu dữ liệu có ý nghĩa thống kê không có nghĩa là các chuyên gia y khoa không có cơ sở đáng tin cậy để suy ra mối liên hệ nhân quả giữa một loại thuốc và các biến cố bất lợi. Như chính Matrixx thừa nhận, các chuyên gia y khoa dựa vào bằng chứng khác để thiết lập một suy luận về quan hệ nhân quả. Xem Brief for Petitioners 44–45, n. 22. Chúng tôi lưu ý rằng các tòa án thường cho phép lời khai của chuyên gia về quan hệ nhân quả dựa trên bằng chứng khác ngoài ý nghĩa thống kê. Xem, ví dụ, Best v. Lowe's Home Centers, Inc., 563 F.3d 171, 178 (CA6 2009); Westberry v. Gislaved Gummi AB, 178 F.3d 257, 263–264 (CA4 1999) (trích dẫn các vụ án); Wells v. Ortho Pharmaceutical Corp., 788 F.2d 741, 744–745 (CA11 1986). Chúng tôi không cần xem xét liệu lời khai của chuyên gia có được chấp nhận đúng cách trong những vụ án đó hay không, và chúng tôi không cố gắng định nghĩa ở đây điều gì tạo thành bằng chứng đáng tin cậy về quan hệ nhân quả. Chỉ cần lưu ý rằng, như các tòa án này đã công nhận, “các chuyên gia y tế và nhà nghiên cứu không giới hạn dữ liệu họ xem xét vào kết quả của các thử nghiệm lâm sàng ngẫu nhiên hoặc vào bằng chứng có ý nghĩa thống kê.” Brief for Medical Researchers as Amici Curiae 31.</w:t>
      </w:r>
    </w:p>
    <w:p>
      <w:pPr>
        <w:spacing w:after="80"/>
      </w:pPr>
      <w:r>
        <w:rPr>
          <w:b w:val="0"/>
          <w:i w:val="0"/>
        </w:rPr>
        <w:t>FDA cũng tương tự không giới hạn bằng chứng mà mình xem xét cho mục đích đánh giá quan hệ nhân quả và thực hiện hành động quản lý vào dữ liệu có ý nghĩa thống kê. Khi đánh giá nguy cơ an toàn do một sản phẩm gây ra, FDA xem xét các yếu tố như “độ mạnh của mối liên hệ,” “mối quan hệ thời gian giữa việc sử dụng sản phẩm và biến cố,” “tính nhất quán của các phát hiện trên các nguồn dữ liệu sẵn có,” “bằng chứng về phản ứng theo liều đối với tác động,” “tính hợp lý về mặt sinh học,” “mức độ nghiêm trọng của biến cố so với bệnh đang được điều trị,” “tiềm năng giảm thiểu nguy cơ trong dân số,” “tính khả thi của việc nghiên cứu thêm bằng các thiết kế nghiên cứu quan sát hoặc thử nghiệm lâm sàng có đối chứng,” và “mức độ lợi ích mà sản phẩm mang lại, bao gồm sự sẵn có của các liệu pháp khác.” 8 FDA, Guidance for Industry: Good Pharmacovigilance Practices and Pharmacoepidemiologic Assessment 18 (2005) (bỏ qua cách viết hoa), http://www.fda.gov/downloads/RegulatingInformation/Guidances/UCM126834.pdf (tất cả tài liệu Internet được truy cập ngày 17 tháng 3 năm 2011, và có sẵn trong hồ sơ vụ án của Thư ký Tòa); xem thêm Brief for United States as Amicus Curiae 19–20 (tương tự); FDA, The Clinical Impact of Adverse Event Reporting 6 (1996) (tương tự), http://www.fda.gov/downloads/safety/MedWatch/UCM168505.pdf . Cơ quan này “không áp dụng bất kỳ thước đo đơn lẻ nào để xác định khi nào cần điều tra hoặc hành động thêm, và chắc chắn không khăng khăng đòi ‘ý nghĩa thống kê.’” Brief for United States as Amicus Curiae 19.</w:t>
      </w:r>
    </w:p>
    <w:p>
      <w:pPr>
        <w:spacing w:after="80"/>
      </w:pPr>
      <w:r>
        <w:rPr>
          <w:b w:val="0"/>
          <w:i w:val="0"/>
        </w:rPr>
        <w:t>FDA không chỉ dựa vào một loạt bằng chứng rộng rãi về quan hệ nhân quả, mà đôi khi còn hành động dựa trên bằng chứng gợi ý, nhưng không chứng minh, quan hệ nhân quả. Ví dụ, FDA yêu cầu các nhà sản xuất thuốc không kê đơn sửa đổi nhãn sản phẩm “để bao gồm một cảnh báo ngay khi có bằng chứng hợp lý về mối liên hệ giữa một mối nguy nghiêm trọng với một loại thuốc; không cần phải chứng minh mối quan hệ nhân quả.” 21 CFR § 201.80(e). Nói chung hơn, FDA có thể đưa ra các quyết định quản lý chống lại một loại thuốc dựa trên bằng chứng sau khi lưu hành chỉ làm dấy lên sự nghi ngờ về quan hệ nhân quả. Xem FDA, The Clinical Impact of Adverse Event Reporting, supra, at 7 (“[Đ]ạt được bằng chứng chắc chắn về quan hệ nhân quả thông qua giám sát sau khi lưu hành là điều bất thường. Đạt được một mức độ nghi ngờ nổi bật thì có khả năng cao hơn nhiều, và có thể được coi là cơ sở đủ để đưa ra các quyết định quản lý” (bỏ qua chú thích)).</w:t>
      </w:r>
    </w:p>
    <w:p>
      <w:pPr>
        <w:spacing w:after="80"/>
      </w:pPr>
      <w:r>
        <w:rPr>
          <w:b w:val="0"/>
          <w:i w:val="0"/>
        </w:rPr>
        <w:t>Vụ án này chứng minh cho quan điểm đó. Năm 2009, FDA đã gửi một thư cảnh báo cho Matrixx nêu rằng “[m]ột khối bằng chứng đáng kể và đang gia tăng chứng minh rằng các sản phẩm xịt mũi Zicam Cold Remedy có thể gây ra nguy cơ nghiêm trọng cho người tiêu dùng sử dụng chúng.” App. 270a. Lá thư viện dẫn làm bằng chứng 130 báo cáo về chứng mất khứu giác mà FDA đã nhận được, việc FDA đã nhận được rất ít báo cáo về chứng mất khứu giác gắn với các loại thuốc trị cảm qua đường mũi khác, và “bằng chứng trong tài liệu khoa học đã công bố rằng các loại muối kẽm khác nhau có thể gây tổn hại chức năng khứu giác ở động vật và con người.” Ibid. Lá thư không viện dẫn dữ liệu có ý nghĩa thống kê.</w:t>
      </w:r>
    </w:p>
    <w:p>
      <w:pPr>
        <w:spacing w:after="80"/>
      </w:pPr>
      <w:r>
        <w:rPr>
          <w:b w:val="0"/>
          <w:i w:val="0"/>
        </w:rPr>
        <w:t>Xét rằng các chuyên gia y khoa và cơ quan quản lý hành động dựa trên bằng chứng về quan hệ nhân quả không có ý nghĩa thống kê, thì hợp lý để suy ra rằng trong một số trường hợp, các nhà đầu tư hợp lý cũng sẽ làm như vậy. Như Matrixx thừa nhận, các báo cáo về biến cố bất lợi “xuất hiện dưới nhiều hình thức, bao gồm khiếu nại trực tiếp của người dùng với nhà sản xuất, báo cáo của bác sĩ về các phản ứng của bệnh nhân được báo cáo hoặc quan sát, các báo cáo ca bệnh chi tiết hơn do bác sĩ công bố trên các tạp chí y khoa, hoặc các nghiên cứu lâm sàng đã công bố ở quy mô lớn hơn.” Brief for Petitioners 17. Do đó, việc đánh giá tính trọng yếu của các báo cáo về biến cố bất lợi là một cuộc điều tra “dựa trên sự kiện cụ thể,” Basic, 485 U.S., at 236, 108 S. Ct. 978, 99 L. Ed. 2d 194, đòi hỏi phải xem xét nguồn, nội dung và bối cảnh của các báo cáo. Điều này không có nghĩa là ý nghĩa thống kê (hay việc thiếu nó) là không liên quan—mà chỉ là nó không mang tính quyết định cho mọi vụ án.</w:t>
      </w:r>
    </w:p>
    <w:p>
      <w:pPr>
        <w:spacing w:after="80"/>
      </w:pPr>
      <w:r>
        <w:rPr>
          <w:b w:val="0"/>
          <w:i w:val="0"/>
        </w:rPr>
        <w:t>Việc áp dụng tiêu chuẩn “tổng hòa trộn” (total mix) của Basic không có nghĩa là các nhà sản xuất dược phẩm phải công bố tất cả các báo cáo về biến cố bất lợi (adverse event). Các báo cáo biến cố bất lợi là chuyện xảy ra hằng ngày trong ngành dược phẩm; vào năm 2009, FDA đã nhập gần 500.000 báo cáo như vậy vào hệ thống báo cáo của mình, xem FDA, Reports Received and Reports Entered in AERS by Year (tính đến ngày 31 tháng 3 năm 2010), http://www.fda.gov/Drugs/GuidanceComplianceRegulatoryInformation/Surveillance/AdverseDrugEffects/ucm070434.htm . Việc một người dùng thuốc gặp phải một biến cố bất lợi, tự nó, không có nghĩa là thuốc đó đã gây ra biến cố đó. Xem FDA, Annual Adverse Drug Experience Report: 1996, tr. 2 (1997), http://druganddevicelaw.net/Annual%20Adverse%20Drug%20Experience%20Report%201996.pdf . Câu hỏi vẫn là liệu một nhà đầu tư hợp lý có xem thông tin không được công bố đó “‘là đã làm thay đổi đáng kể “tổng hòa trộn” thông tin được cung cấp’ hay không.” Basic, 485 U.S., tại 232, 108 S. Ct. 978, 99 L. Ed. 2d 194 (trích dẫn TSC Industries, 426 U.S., tại 449, 96 S. Ct. 2126, 48 L. Ed. 2d 757; nhấn mạnh được thêm vào). Vì những lý do vừa nêu, sự tồn tại đơn thuần của các báo cáo về biến cố bất lợi—vốn tự nó không nói lên điều gì về việc liệu thuốc có đang gây ra các biến cố bất lợi hay không—sẽ không thỏa mãn tiêu chuẩn này. Cần thêm một điều gì đó, nhưng điều gì đó không chỉ giới hạn ở ý nghĩa thống kê và có thể đến từ “nguồn gốc, nội dung và bối cảnh của các báo cáo,” supra, tại 15. Việc điều tra theo bối cảnh này có thể tiết lộ trong một số trường hợp rằng các nhà đầu tư hợp lý sẽ xem các báo cáo về biến cố bất lợi là trọng yếu (material) ngay cả khi các báo cáo đó không cung cấp bằng chứng có ý nghĩa thống kê về mối liên hệ nhân quả.</w:t>
      </w:r>
    </w:p>
    <w:p>
      <w:pPr>
        <w:spacing w:after="80"/>
      </w:pPr>
      <w:r>
        <w:rPr>
          <w:b w:val="0"/>
          <w:i w:val="0"/>
        </w:rPr>
        <w:t>Hơn nữa, cần nhấn mạnh rằng § 10(b) và Rule 10b-5(b) không tạo ra nghĩa vụ khẳng định phải công bố mọi thông tin trọng yếu. Việc công bố được yêu cầu theo các quy định này chỉ khi cần thiết “để làm cho . . . các phát biểu được đưa ra, trong ánh sáng của các hoàn cảnh mà chúng được đưa ra, không gây nhầm lẫn.” 17 CFR § 240.10b-5(b); xem thêm Basic, 485 U.S., tại 239, chú thích 17, 108 S. Ct. 978, 99 L. Ed. 2d 194 (“Sự im lặng, khi không có nghĩa vụ công bố, không gây nhầm lẫn theo Rule 10b-5”). Ngay cả đối với thông tin mà một nhà đầu tư hợp lý có thể coi là trọng yếu, các công ty có thể kiểm soát những gì họ phải công bố theo các quy định này bằng cách kiểm soát những gì họ nói với thị trường.</w:t>
      </w:r>
    </w:p>
    <w:p>
      <w:pPr>
        <w:spacing w:after="80"/>
      </w:pPr>
      <w:r>
        <w:rPr>
          <w:b w:val="0"/>
          <w:i w:val="0"/>
        </w:rPr>
        <w:t>2</w:t>
      </w:r>
    </w:p>
    <w:p>
      <w:pPr>
        <w:spacing w:after="80"/>
      </w:pPr>
      <w:r>
        <w:rPr>
          <w:b w:val="0"/>
          <w:i w:val="0"/>
        </w:rPr>
        <w:t>Áp dụng tiêu chuẩn “tổng hòa trộn” của Basic trong trường hợp này, chúng tôi kết luận rằng các bị đơn đã viện dẫn đầy đủ về tính trọng yếu. Đây không phải là một vụ án về một vài báo cáo giai thoại, như Matrixx gợi ý. Giả định các cáo buộc trong đơn kiện là đúng, như chúng ta buộc phải làm, Matrixx đã nhận được thông tin mà một cách hợp lý cho thấy có mối liên hệ nhân quả đáng tin cậy giữa Zicam và chứng mất khứu giác (anosmia). Thông tin đó bao gồm các báo cáo từ ba chuyên gia y tế và nhà nghiên cứu về hơn 10 bệnh nhân đã mất khứu giác sau khi sử dụng Zicam. Clarot đã nói với Linschoten rằng Matrixx đã nhận được thêm các báo cáo về chứng mất khứu giác. (Ngoài ra, trong giai đoạn tập thể (class period), chín nguyên đơn đã khởi kiện bốn vụ kiện trách nhiệm sản phẩm chống lại Matrixx với cáo buộc có mối liên hệ nhân quả giữa việc sử dụng Zicam và chứng mất khứu giác.) Hơn nữa, Matrixx biết rằng Linschoten và Tiến sĩ Jafek đã trình bày các phát hiện của họ về mối liên hệ nhân quả giữa Zicam và chứng mất khứu giác tại một hội nghị y khoa quốc gia dành cho việc điều trị các bệnh về mũi. Bài trình bày của họ mô tả một bệnh nhân bị bỏng nặng trong mũi, ngay sau đó mất khứu giác, sau khi sử dụng Zicam—gợi ý một mối quan hệ thời gian giữa việc sử dụng Zicam và chứng mất khứu giác.</w:t>
      </w:r>
    </w:p>
    <w:p>
      <w:pPr>
        <w:spacing w:after="80"/>
      </w:pPr>
      <w:r>
        <w:rPr>
          <w:b w:val="0"/>
          <w:i w:val="0"/>
        </w:rPr>
        <w:t>Điều quan trọng là cả Tiến sĩ Hirsch và Linschoten đều đã hướng sự chú ý của Matrixx đến các nghiên cứu trước đây đã chứng minh mối liên hệ nhân quả sinh học giữa việc bôi kẽm qua đường mũi (intranasal application of zinc) và chứng mất khứu giác. Trước cuộc trò chuyện với Linschoten, Clarot, phó chủ tịch phụ trách nghiên cứu và phát triển của Matrixx, dường như không biết về các nghiên cứu này, và đơn kiện cho thấy rằng, tính đến giai đoạn tập thể, Matrixx đã không tiến hành bất kỳ nghiên cứu nào của riêng mình liên quan đến chứng mất khứu giác. Xem, ví dụ, App. 84a (dẫn chiếu một bản tin báo chí, được phát hành sau khi giai đoạn tập thể kết thúc, ghi nhận rằng Matrixx cho biết họ sẽ bắt đầu tiến hành “‘các nghiên cứu trên động vật và con người để mô tả rõ hơn các khiếu nại sau tiếp thị này’”). Theo đó, có thể suy luận một cách hợp lý từ đơn kiện rằng Matrixx không có cơ sở để bác bỏ ngay các phát hiện của Tiến sĩ Jafek.</w:t>
      </w:r>
    </w:p>
    <w:p>
      <w:pPr>
        <w:spacing w:after="80"/>
      </w:pPr>
      <w:r>
        <w:rPr>
          <w:b w:val="0"/>
          <w:i w:val="0"/>
        </w:rPr>
        <w:t>Chúng tôi tin rằng những cáo buộc này đủ để “tạo ra một kỳ vọng hợp lý rằng quá trình khám phá chứng cứ (discovery) sẽ tiết lộ bằng chứng” thỏa mãn yêu cầu về tính trọng yếu, Bell Atlantic Corp. v. Twombly, 550 U.S. 544, 556, 127 S. Ct. 1955, 167 L. Ed. 2d 929 (2007), và để “cho phép tòa án đưa ra suy luận hợp lý rằng bị đơn phải chịu trách nhiệm về hành vi sai trái bị cáo buộc,” Iqbal, 556 U.S., tại ___, 129 S. Ct. 1937, 173 L. Ed. 2d 868, 884. Thông tin được các chuyên gia y tế cung cấp cho Matrixx đã tiết lộ một mối quan hệ nhân quả hợp lý giữa Zicam Cold Remedy và chứng mất khứu giác. Người tiêu dùng có khả năng sẽ xem rủi ro liên quan đến Zicam (có thể mất khứu giác) là lớn hơn đáng kể so với lợi ích của việc sử dụng sản phẩm (giảm nhẹ các triệu chứng cảm lạnh), đặc biệt là trong bối cảnh có nhiều sản phẩm thay thế trên thị trường. Điều quan trọng là, Zicam Cold Remedy được cho là chiếm 70 phần trăm doanh số của Matrixx. Xem xét toàn bộ các cáo buộc của đơn kiện, đơn kiện cáo buộc các sự kiện cho thấy một rủi ro đáng kể đối với khả năng thương mại của sản phẩm chủ lực của Matrixx.</w:t>
      </w:r>
    </w:p>
    <w:p>
      <w:pPr>
        <w:spacing w:after="80"/>
      </w:pPr>
      <w:r>
        <w:rPr>
          <w:b w:val="0"/>
          <w:i w:val="0"/>
        </w:rPr>
        <w:t>Có khả năng đáng kể rằng một nhà đầu tư hợp lý sẽ xem thông tin này “‘là đã làm thay đổi đáng kể “tổng hòa trộn” thông tin được cung cấp.’” Basic, 485 U.S., tại 232, 108 S. Ct. 978, 99 L. Ed. 2d 194 (trích dẫn TSC Industries, 426 U.S., tại 449, 96 S. Ct. 2126, 48 L. Ed. 2d 757). Matrixx đã nói với thị trường rằng doanh thu sẽ tăng 50 rồi 80 phần trăm. Tuy nhiên, giả định các cáo buộc trong đơn kiện là đúng, Matrixx có thông tin cho thấy một rủi ro đáng kể đối với sản phẩm tạo doanh thu hàng đầu của mình. Matrixx cũng tuyên bố rằng các báo cáo cho thấy Zicam gây ra chứng mất khứu giác là “‘hoàn toàn vô căn cứ và gây nhầm lẫn’” và rằng “‘tính an toàn và hiệu quả của kẽm gluconate để điều trị các triệu chứng liên quan đến cảm lạnh thông thường đã được thiết lập vững chắc.’” App. 77a–78a. Tuy nhiên, điều quan trọng là Matrixx có bằng chứng về mối liên hệ sinh học giữa thành phần chính của Zicam và chứng mất khứu giác, và họ đã không tiến hành bất kỳ nghiên cứu nào của riêng mình để bác bỏ mối liên hệ đó. Trên thực tế, như Matrixx sau đó đã tiết lộ, bằng chứng khoa học vào thời điểm đó là “‘không đủ . . . để xác định liệu kẽm gluconate, khi được sử dụng theo khuyến nghị, có ảnh hưởng đến khả năng ngửi của một người hay không.’” Id., tại 82a.</w:t>
      </w:r>
    </w:p>
    <w:p>
      <w:pPr>
        <w:spacing w:after="80"/>
      </w:pPr>
      <w:r>
        <w:rPr>
          <w:b w:val="0"/>
          <w:i w:val="0"/>
        </w:rPr>
        <w:t>Giả định các sự kiện là đúng, đây là những sự kiện trọng yếu “cần thiết để làm cho các phát biểu được đưa ra, trong ánh sáng của các hoàn cảnh mà chúng được đưa ra, không gây nhầm lẫn.” 17 CFR § 240.10b-5(b). Do đó, chúng tôi giữ nguyên phán quyết của Tòa phúc thẩm rằng các bị đơn đã viện dẫn đầy đủ yếu tố về một sự trình bày sai hoặc thiếu sót trọng yếu.</w:t>
      </w:r>
    </w:p>
    <w:p>
      <w:pPr>
        <w:spacing w:after="80"/>
      </w:pPr>
      <w:r>
        <w:rPr>
          <w:b w:val="0"/>
          <w:i w:val="0"/>
        </w:rPr>
        <w:t>* * *</w:t>
      </w:r>
    </w:p>
    <w:p>
      <w:pPr>
        <w:spacing w:after="80"/>
      </w:pPr>
      <w:r>
        <w:rPr>
          <w:b w:val="0"/>
          <w:i w:val="0"/>
        </w:rPr>
        <w:t>Vì những lý do đã nêu, phán quyết của Tòa phúc thẩm Khu vực Chín (Ninth Circuit) được Giữ nguyên.</w:t>
      </w:r>
    </w:p>
    <w:p>
      <w:pPr>
        <w:pStyle w:val="Heading5"/>
      </w:pPr>
      <w:r>
        <w:rPr>
          <w:rFonts w:ascii="Calibri" w:hAnsi="Calibri"/>
          <w:b/>
          <w:i/>
          <w:sz w:val="22"/>
        </w:rPr>
        <w:t>Bình luận và Câu hỏi</w:t>
      </w:r>
    </w:p>
    <w:p>
      <w:pPr>
        <w:spacing w:after="80"/>
      </w:pPr>
      <w:r>
        <w:rPr>
          <w:b w:val="0"/>
          <w:i w:val="0"/>
        </w:rPr>
        <w:t>1. Vụ án tập trung vào một số lượng tương đối nhỏ các báo cáo từ người dùng sản phẩm đang được đề cập rằng họ đã gặp phải các tác động sức khỏe bất lợi. Như tòa án trong vụ án này đã lưu ý, bản thân các báo cáo không trọng yếu. Tuy nhiên, cuối cùng tòa án đã quyết định rằng thông tin bị thiếu sót là điều gì đó sẽ quan trọng đối với một nhà đầu tư hợp lý. Một số yếu tố nào đã khiến tòa án quyết định rằng thông tin đó thực sự trọng yếu?</w:t>
      </w:r>
    </w:p>
    <w:p>
      <w:pPr>
        <w:spacing w:after="80"/>
      </w:pPr>
      <w:r>
        <w:rPr>
          <w:b w:val="0"/>
          <w:i w:val="0"/>
        </w:rPr>
        <w:t>2. Làm thế nào phân tích tương tự này có thể được áp dụng cho thông tin có tác động tương đối nhỏ đến lợi nhuận? Những loại yếu tố nào có thể khiến những thay đổi nhỏ trong lợi nhuận trở nên trọng yếu? SEC đã lưu ý một số yếu tố trong SAB 99.</w:t>
      </w:r>
    </w:p>
    <w:p>
      <w:pPr>
        <w:spacing w:after="80"/>
      </w:pPr>
      <w:r>
        <w:rPr>
          <w:b w:val="0"/>
          <w:i w:val="0"/>
        </w:rPr>
        <w:t>3. Công ty trong vụ án này đã cố gắng tránh một phát hiện về tính trọng yếu bằng cách lập luận cho một tiêu chuẩn ranh giới rõ ràng (bright line test), một tiêu chuẩn về ý nghĩa thống kê. Những lợi ích của một tiêu chuẩn như vậy là gì? Mặc dù cách tiếp cận này thực sự dẫn đến chi phí (một số thông tin quan trọng đối với các nhà đầu tư hợp lý trở nên không trọng yếu), bạn có thể lập luận rằng chúng được bù đắp bởi những lợi ích không? Liệu một tiêu chuẩn ranh giới rõ ràng có hữu ích đối với các vấn đề liên quan đến sức khỏe của một CEO chẳng hạn không?</w:t>
      </w:r>
    </w:p>
    <w:p>
      <w:pPr>
        <w:spacing w:after="80"/>
      </w:pPr>
      <w:r>
        <w:rPr>
          <w:b w:val="0"/>
          <w:i w:val="0"/>
        </w:rPr>
        <w:t>4. Tòa án lưu ý rằng một phát hiện về tính trọng yếu không có nghĩa là thông tin phải được công bố. Thay vào đó, các công ty “có thể kiểm soát những gì họ phải công bố . . .” Tòa án có ý gì khi nói điều này? Như một thực tế thực tiễn, điều đó có đúng không? Ví dụ, một công ty có thể giữ kín thông tin về các vấn đề sức khỏe nghiêm trọng liên quan đến CEO khỏi thị trường trong bao lâu?</w:t>
      </w:r>
    </w:p>
    <w:p>
      <w:pPr>
        <w:spacing w:after="80"/>
      </w:pPr>
      <w:r>
        <w:rPr>
          <w:b w:val="0"/>
          <w:i w:val="0"/>
        </w:rPr>
        <w:t>—————</w:t>
      </w:r>
    </w:p>
    <w:p>
      <w:pPr>
        <w:spacing w:after="80"/>
      </w:pPr>
      <w:r>
        <w:rPr>
          <w:b w:val="0"/>
          <w:i w:val="0"/>
        </w:rPr>
        <w:t>Các vấn đề về tính chính trực trong quản lý đặt ra những câu hỏi khó theo định nghĩa về tính trọng yếu (materiality). Các cán bộ hoặc giám đốc có thể khai sai về trình độ chuyên môn của mình hoặc bỏ qua các vi phạm pháp luật như tiền án lái xe khi say rượu (DUI). Trong một số trường hợp, thông tin này có vẻ quan trọng đối với nhà đầu tư và cổ đông, nhưng đồng thời lại không có mối liên hệ trực tiếp với lợi nhuận của công ty. Các tòa án và SEC đã gặp nhiều khó khăn trong việc áp dụng tiêu chuẩn trọng yếu trong những tình huống này.</w:t>
      </w:r>
    </w:p>
    <w:p>
      <w:pPr>
        <w:pStyle w:val="Heading4"/>
      </w:pPr>
      <w:r>
        <w:rPr>
          <w:rFonts w:ascii="Calibri" w:hAnsi="Calibri"/>
          <w:b/>
          <w:i w:val="0"/>
          <w:sz w:val="23"/>
        </w:rPr>
        <w:t>Vụ In re Franchard Corp.</w:t>
      </w:r>
    </w:p>
    <w:p>
      <w:pPr>
        <w:spacing w:after="80"/>
      </w:pPr>
      <w:r>
        <w:rPr>
          <w:b w:val="0"/>
          <w:i w:val="0"/>
        </w:rPr>
        <w:t>Ủy ban Chứng khoán và Giao dịch</w:t>
      </w:r>
      <w:r>
        <w:br/>
      </w:r>
      <w:r>
        <w:rPr>
          <w:b w:val="0"/>
          <w:i w:val="0"/>
        </w:rPr>
        <w:t xml:space="preserve"> 42 S.E.C 163 (1964)</w:t>
      </w:r>
    </w:p>
    <w:p>
      <w:pPr>
        <w:spacing w:after="80"/>
      </w:pPr>
      <w:r>
        <w:rPr>
          <w:b w:val="0"/>
          <w:i w:val="0"/>
        </w:rPr>
        <w:t>Vào ngày 14 tháng 10 năm 1960—hai ngày sau ngày hiệu lực của hồ sơ đăng ký năm 1960 của bên đăng ký—Glickman bắt đầu bí mật chuyển tiền từ bên đăng ký sang Venada, công ty do ông sở hữu hoàn toàn. Trong vòng hai tháng, tổng số tiền của các giao dịch chuyển này lên tới $296,329. Đến ngày 2 tháng 10 năm 1961, ngày hiệu lực của hồ sơ đăng ký năm 1961 đầu tiên của bên đăng ký, Glickman đã thực hiện 45 lần rút tiền với tổng số tiền lên tới $2,372,511. Cả bản cáo bạch năm 1961 lẫn bất kỳ bản sửa đổi có hiệu lực nào của hồ sơ năm 1960 đều không đề cập đến các giao dịch này.</w:t>
      </w:r>
    </w:p>
    <w:p>
      <w:pPr>
        <w:spacing w:after="80"/>
      </w:pPr>
      <w:r>
        <w:rPr>
          <w:b w:val="0"/>
          <w:i w:val="0"/>
        </w:rPr>
        <w:t>* * *</w:t>
      </w:r>
    </w:p>
    <w:p>
      <w:pPr>
        <w:spacing w:after="80"/>
      </w:pPr>
      <w:r>
        <w:rPr>
          <w:b w:val="0"/>
          <w:i w:val="0"/>
        </w:rPr>
        <w:t>[Khi các giám đốc biết được các lần rút tiền này, họ đã thuê một cựu thẩm phán để tiến hành điều tra]. Trong một báo cáo nộp ngày 20 tháng 8 năm 1962, Thẩm phán Rifkind phát hiện rằng Glickman đã nhiều lần rút những khoản tiền đáng kể từ bên đăng ký; rằng Bernard Mann, người giữ chức thủ quỹ của cả bên đăng ký lẫn Venada nhưng không phải là thành viên hội đồng quản trị của bên đăng ký, là cán bộ duy nhất của bên đăng ký biết về các lần rút tiền và đã cộng tác với Glickman trong việc thực hiện chúng; rằng các thủ tục hành chính không đầy đủ của bên đăng ký đã phần nào tạo điều kiện cho hành vi sai trái của Glickman; và rằng tất cả các khoản rút tiền đều đã được hoàn trả với lãi suất 6%. Thẩm phán Rifkind cũng phát hiện rằng 6% là mức lãi suất không thỏa đáng vì Glickman và Venada đã vay với lãi suất cao hơn đáng kể từ các công ty tài chính thương mại và những bên khác. Theo đó, ông kết luận rằng bên đăng ký được quyền nhận thêm tiền lãi từ Glickman và từ Venada với số tiền $145,279. Cho đến nay, bên đăng ký vẫn chưa thu hồi được bất kỳ phần nào của khoản tiền này.</w:t>
      </w:r>
    </w:p>
    <w:p>
      <w:pPr>
        <w:spacing w:after="80"/>
      </w:pPr>
      <w:r>
        <w:rPr>
          <w:b w:val="0"/>
          <w:i w:val="0"/>
        </w:rPr>
        <w:t>* * *</w:t>
      </w:r>
    </w:p>
    <w:p>
      <w:pPr>
        <w:spacing w:after="80"/>
      </w:pPr>
      <w:r>
        <w:rPr>
          <w:b w:val="0"/>
          <w:i w:val="0"/>
        </w:rPr>
        <w:t>Điều quan trọng hàng đầu trong bất kỳ doanh nghiệp nào là chất lượng của ban quản lý. Các thông tin công bố liên quan đến việc đánh giá ban quản lý đặc biệt thích đáng khi, như trong trường hợp này, chứng khoán được bán phần lớn dựa trên danh tiếng cá nhân của người kiểm soát công ty. Các thông tin công bố về những khía cạnh này đã thiếu sót một cách trọng yếu. Bản cáo bạch năm 1960 đã không tiết lộ rằng Glickman có ý định sử dụng một lượng đáng kể tiền của bên đăng ký vì lợi ích của Venada, và các bản cáo bạch năm 1961 không hề đề cập đến việc Glickman liên tục chuyển những khoản tiền đáng kể ra khỏi bên đăng ký. Các cam kết của Glickman cũng không được thảo luận trong cả các bản sửa đổi có hiệu lực của hồ sơ năm 1960 lẫn hai hồ sơ năm 1961.</w:t>
      </w:r>
    </w:p>
    <w:p>
      <w:pPr>
        <w:spacing w:after="80"/>
      </w:pPr>
      <w:r>
        <w:rPr>
          <w:b w:val="0"/>
          <w:i w:val="0"/>
        </w:rPr>
        <w:t>Theo quan điểm của chúng tôi, những thông tin công bố này có tính trọng yếu cao đối với việc đánh giá năng lực và độ tin cậy của ban quản lý bên đăng ký—phần lớn là Glickman. Ở nhiều khía cạnh, việc xây dựng các tiêu chuẩn công bố thông tin đầy đủ để đánh giá một cách có hiểu biết về năng lực và tính chính trực của ban quản lý là một nhiệm vụ khó khăn. Làm sao bạn phân biệt được một nhà quản lý kinh doanh “tốt” với một người “tồi” chỉ qua một tờ giấy? Tài năng quản lý bao gồm những phẩm chất cá nhân, về bản chất mang tính chủ quan, thường không thể phân tích một cách có ý nghĩa thông qua phương tiện khách quan là bản cáo bạch. Những tuyên bố trực tiếp về quan điểm đối với năng lực của ban quản lý, vốn không thể được kiểm chứng một cách khách quan, có thể tạo ra vẻ ngoài đáng tin cậy không chính đáng nếu được đưa vào bản cáo bạch. Tính chính trực của ban quản lý—sự sẵn sàng đặt nghĩa vụ của mình đối với cổ đông công chúng lên trên lợi ích cá nhân—là một yếu tố cũng khó nắm bắt không kém đối với việc áp dụng các tiêu chuẩn công bố thông tin.</w:t>
      </w:r>
    </w:p>
    <w:p>
      <w:pPr>
        <w:spacing w:after="80"/>
      </w:pPr>
      <w:r>
        <w:rPr>
          <w:b w:val="0"/>
          <w:i w:val="0"/>
        </w:rPr>
        <w:t>Việc đánh giá chất lượng của ban quản lý—dù ở mức độ nào có thể—là một thành phần thiết yếu của quyết định đầu tư có hiểu biết. Một nhu cầu quan trọng đến vậy không thể bị bỏ qua, và bằng nhiều cách khác nhau, các yêu cầu công bố thông tin của Đạo luật Chứng khoán (Securities Act) cung cấp thông tin thực tế để đáp ứng nhu cầu này. Việc đánh giá năng lực bắt đầu bằng thông tin về kinh nghiệm kinh doanh trong quá khứ của ban quản lý, được thu thập thông qua các yêu cầu rằng bản cáo bạch phải nêu rõ các chức vụ và vị trí mà mỗi cán bộ điều hành đã giữ tại tổ chức phát hành trong vòng năm năm qua. Đối với các công ty đã thành lập, hiệu quả hoạt động trong quá khứ của ban quản lý, thể hiện qua các thông tin công bố toàn diện về tài chính và các thông tin khác liên quan đến hoạt động của tổ chức phát hành, cung cấp một chỉ dẫn cho hiệu quả kinh doanh trong tương lai của công ty. Để cho phép đưa ra phán đoán liệu các công việc của công ty có khả năng được điều hành vì lợi ích của cổ đông công chúng hay không, các yêu cầu đăng ký thu thập thông tin về các lợi ích của người nội bộ có thể xung đột với nghĩa vụ trung thành của họ đối với công ty. Thông tin công bố cũng được yêu cầu đối với thù lao và các phúc lợi khác đã trả hoặc dự kiến trả cho ban quản lý cũng như các giao dịch trọng yếu giữa công ty và các cán bộ, giám đốc, người nắm giữ hơn 10 phần trăm cổ phiếu của công ty, và các cộng sự của họ.</w:t>
      </w:r>
    </w:p>
    <w:p>
      <w:pPr>
        <w:spacing w:after="80"/>
      </w:pPr>
      <w:r>
        <w:rPr>
          <w:b w:val="0"/>
          <w:i w:val="0"/>
        </w:rPr>
        <w:t>Các lần rút tiền của Glickman là những giao dịch trọng yếu giữa bên đăng ký và ban quản lý của nó, và các mẫu đăng ký mà bên đăng ký dùng để nộp hồ sơ đã yêu cầu phải công bố chúng. Lập luận của bên đăng ký rằng các lần rút tiền này không trọng yếu vì khoản nợ chưa được tiết lộ của Glickman đối với bên đăng ký chưa bao giờ vượt quá 1.5% tổng giá trị sổ sách của tài sản bên đăng ký không chỉ xem nhẹ số tiền đáng kể của các lần rút tiền so với vốn chủ sở hữu của cổ đông và dòng tiền của công ty, mà còn bỏ qua tầm quan trọng đối với nhà đầu tư tiềm năng của thông tin liên quan đến năng lực quản lý và tính chính trực cá nhân của Glickman. Bản thân bên đăng ký không có lịch sử hoạt động. Bên đăng ký thừa nhận rằng đợt phát hành cổ phiếu lần đầu ra công chúng năm 1960 được thực hiện chủ yếu, nếu không nói là hoàn toàn, dựa trên tên tuổi và danh tiếng của Glickman như một nhà đầu tư và điều hành bất động sản thành công, và cũng rõ ràng rằng các đợt phát hành năm 1961 cũng dựa trên danh tiếng của ông. Tất cả các bản cáo bạch đều nói về nhiều năm kinh nghiệm của Glickman “trong việc tạo ra và phát triển các cơ hội đầu tư bất động sản” với tư cách “một nhà đầu tư vào bất động sản cho tài khoản của chính mình.” Các bản cáo bạch cũng nêu rõ rằng Glickman sẽ chi phối và kiểm soát hoạt động của bên đăng ký, và nhà đầu tư tiềm năng vào chứng khoán của bên đăng ký thực chất đang được trao cơ hội “mua” khả năng quản lý đầu tư bất động sản của Glickman.</w:t>
      </w:r>
    </w:p>
    <w:p>
      <w:pPr>
        <w:spacing w:after="80"/>
      </w:pPr>
      <w:r>
        <w:rPr>
          <w:b w:val="0"/>
          <w:i w:val="0"/>
        </w:rPr>
        <w:t>Việc mô tả các hoạt động của Glickman là quan trọng vì nhiều lý do. Thứ nhất, việc công bố các sự kiện liên quan đến việc Glickman rút những khoản tiền đáng kể và việc ông cầm cố cổ phiếu kiểm soát của mình hẳn đã chỉ rõ tình hình tài chính căng thẳng của ông và nhu cầu tiền mặt cấp bách của ông trong các dự án bất động sản cá nhân. Trong bối cảnh ở đây, những sự kiện này có tính trọng yếu đối với việc đánh giá năng lực kinh doanh của Glickman cũng như các báo cáo tài chính của một công ty đã thành lập có tính trọng yếu đối với việc đánh giá hiệu quả hoạt động trong quá khứ của ban quản lý công ty đó.</w:t>
      </w:r>
    </w:p>
    <w:p>
      <w:pPr>
        <w:spacing w:after="80"/>
      </w:pPr>
      <w:r>
        <w:rPr>
          <w:b w:val="0"/>
          <w:i w:val="0"/>
        </w:rPr>
        <w:t>Thứ hai, việc công bố rằng Glickman liên tục chuyển tiền của bên đăng ký sang sử dụng cho Venada, công ty do ông sở hữu hoàn toàn, cũng liên quan mật thiết đến việc đánh giá tính chính trực trong khả năng quản lý của ông. Phẩm chất này luôn là một yếu tố trọng yếu. Trong hoàn cảnh của trường hợp này, nhu cầu công bố thông tin trong lĩnh vực này là hiển nhiên và cấp thiết. Chúng tôi đã nói về sự chi phối của Glickman. Hơn nữa, Venada là khách thuê quan trọng nhất của bên đăng ký và Glickman sẽ liên tục giao dịch với chính mình thay mặt cho bên đăng ký trong bối cảnh áp lực do tình hình tài chính cá nhân căng thẳng của ông tạo ra. Ngay cả ngoài các vấn đề liên quan đến tính cách của Glickman, việc công bố sự kiện rằng ông đang chuyển tiền sang Venada để củng cố tình hình tài chính yếu kém của công ty đó cũng quan trọng trong việc đánh giá hoạt động của chính bên đăng ký.</w:t>
      </w:r>
    </w:p>
    <w:p>
      <w:pPr>
        <w:spacing w:after="80"/>
      </w:pPr>
      <w:r>
        <w:rPr>
          <w:b w:val="0"/>
          <w:i w:val="0"/>
        </w:rPr>
        <w:t>Xét vai trò chi phối của Glickman trong việc quản lý các công việc của bên đăng ký, sự mơ hồ của hợp đồng mua bán lẽ ra phải được thảo luận đầy đủ hơn trong các bản sửa đổi sau khi có hiệu lực của bên đăng ký, vốn đã công bố giao dịch này. Vì các khoản phân phối tiền mặt trên cổ phiếu do Venada nắm giữ phụ thuộc vào việc liệu số lượng không gian MIC trống được chỉ định có được “cho thuê” hay không, các sự kiện cần thiết để đánh giá xung đột lợi ích này là trọng yếu đối với nhà đầu tư, đặc biệt vì Glickman đang ở trong tình hình tài chính căng thẳng. Tuy nhiên, các bản sửa đổi đã không trở nên có hiệu lực, hạn chế phân phối chưa bao giờ thực sự được dỡ bỏ, và những thiếu sót trong các hồ sơ trước đó đã được khắc phục bằng một cuộc thảo luận thỏa đáng trong bản sửa đổi gần đây nhất.</w:t>
      </w:r>
    </w:p>
    <w:p>
      <w:pPr>
        <w:spacing w:after="80"/>
      </w:pPr>
      <w:r>
        <w:rPr>
          <w:b w:val="0"/>
          <w:i w:val="0"/>
        </w:rPr>
        <w:t>Thứ ba, nhu cầu tiền mặt của Glickman được thể hiện qua các lần rút tiền từ bên đăng ký cùng các khoản vay đáng kể và việc cầm cố cổ phiếu của bên đăng ký đã cho ông một động cơ mạnh mẽ và trực tiếp để khiến bên đăng ký theo đuổi các chính sách cho phép tỷ lệ phân phối cao và duy trì giá cao cho cổ phiếu loại A của bên đăng ký. Giá càng cao, khả năng vay của ông càng lớn; ngược lại, sự sụt giảm giá đó sẽ dẫn đến việc vỡ nợ và hậu quả là mất quyền kiểm soát, điều cuối cùng đã xảy ra. Vì giá của các cổ phiếu bất động sản dòng tiền phản ứng trực tiếp với những thay đổi trong chính sách phân phối tiền mặt, và vì trong bất kỳ trường hợp nào Glickman cũng cần thu được càng nhiều tiền mặt càng tốt từ hoạt động của bên đăng ký, các mối quan hệ tài chính của ông đã cho ông một lợi ích cá nhân đặc biệt mạnh mẽ trong việc đặt tỷ lệ phân phối tiền mặt hiện tại của bên đăng ký ở mức cao nhất có thể và bỏ qua hoặc xem nhẹ tác động lâu dài đối với bên đăng ký của một chính sách phân phối quá hào phóng. Nhà đầu tư có quyền được thông báo về những sự kiện này và những xung đột lợi ích tiềm tàng như vậy.</w:t>
      </w:r>
    </w:p>
    <w:p>
      <w:pPr>
        <w:spacing w:after="80"/>
      </w:pPr>
      <w:r>
        <w:rPr>
          <w:b w:val="0"/>
          <w:i w:val="0"/>
        </w:rPr>
        <w:t>Cuối cùng, khả năng thay đổi quyền kiểm soát cũng quan trọng đối với nhà đầu tư tiềm năng. Như chúng tôi đã lưu ý, các đợt phát hành ra công chúng của bên đăng ký phần lớn dựa trên danh tiếng của Glickman như một nhà đầu tư và điều hành bất động sản thành công. Việc công bố các khoản vay có bảo đảm của Glickman, mức lãi suất tương đối cao mà chúng phải chịu, các nguồn thứ cấp mà nhiều khoản vay được lấy từ đó, và các điều kiện mà theo đó người cho vay có thể tuyên bố vỡ nợ hẳn đã cảnh báo nhà đầu tư về khả năng thay đổi quyền kiểm soát và ban quản lý của bên đăng ký cũng như thông báo cho họ về bản chất có thể có của bất kỳ sự thay đổi nào như vậy.</w:t>
      </w:r>
    </w:p>
    <w:p>
      <w:pPr>
        <w:spacing w:after="80"/>
      </w:pPr>
      <w:r>
        <w:rPr>
          <w:b w:val="0"/>
          <w:i w:val="0"/>
        </w:rPr>
        <w:t>* * *</w:t>
      </w:r>
    </w:p>
    <w:p>
      <w:pPr>
        <w:spacing w:after="80"/>
      </w:pPr>
      <w:r>
        <w:rPr>
          <w:b w:val="0"/>
          <w:i w:val="0"/>
        </w:rPr>
        <w:t>Chúng tôi cũng không thể đồng tình với lập luận của bên đăng ký rằng việc công bố các khoản vay mượn và cầm cố cổ phiếu của bên đăng ký của Glickman sẽ là một sự “tiết lộ không chính đáng” về các vấn đề cá nhân của Glickman. Một người nội bộ của một công ty đang kêu gọi công chúng góp vốn, đổi lại, phải từ bỏ nhiều lĩnh vực riêng tư khác nhau liên quan đến các vấn đề tài chính của mình, những điều này ảnh hưởng đáng kể đến hoạt động của công ty. Quyết định đó đã được Quốc hội đưa ra hơn ba mươi năm trước khi họ quy định rõ ràng trong Đạo luật Chứng khoán (Securities Act) về việc công bố những vấn đề như thù lao của người nội bộ và mức độ nắm giữ cổ phần của họ trong công ty cũng như bản chất các giao dịch quan trọng khác của họ với công ty.</w:t>
      </w:r>
    </w:p>
    <w:p>
      <w:pPr>
        <w:pStyle w:val="Heading5"/>
      </w:pPr>
      <w:r>
        <w:rPr>
          <w:rFonts w:ascii="Calibri" w:hAnsi="Calibri"/>
          <w:b/>
          <w:i/>
          <w:sz w:val="22"/>
        </w:rPr>
        <w:t>Bình luận và Câu hỏi</w:t>
      </w:r>
    </w:p>
    <w:p>
      <w:pPr>
        <w:spacing w:after="80"/>
      </w:pPr>
      <w:r>
        <w:rPr>
          <w:b w:val="0"/>
          <w:i w:val="0"/>
        </w:rPr>
        <w:t xml:space="preserve">1. Số tiền bị rút ra tương đối khiêm tốn (không bao giờ vượt quá 1.5% tổng giá trị sổ sách của tài sản). Tuy nhiên, SEC dường như xem số tiền này là không liên quan. Thay vào đó, quyết định tập trung gần như hoàn toàn vào những gì mà các hành vi biển thủ này gợi ý về chất lượng của ban quản lý. Cách tiếp cận này có nhất quán với phân tích trong </w:t>
      </w:r>
      <w:r>
        <w:rPr>
          <w:b w:val="0"/>
          <w:i/>
        </w:rPr>
        <w:t>Northway</w:t>
      </w:r>
      <w:r>
        <w:rPr>
          <w:b w:val="0"/>
          <w:i w:val="0"/>
        </w:rPr>
        <w:t xml:space="preserve"> và </w:t>
      </w:r>
      <w:r>
        <w:rPr>
          <w:b w:val="0"/>
          <w:i/>
        </w:rPr>
        <w:t>Matrixx</w:t>
      </w:r>
      <w:r>
        <w:rPr>
          <w:b w:val="0"/>
          <w:i w:val="0"/>
        </w:rPr>
        <w:t xml:space="preserve"> không?</w:t>
      </w:r>
    </w:p>
    <w:p>
      <w:pPr>
        <w:spacing w:after="80"/>
      </w:pPr>
      <w:r>
        <w:rPr>
          <w:b w:val="0"/>
          <w:i w:val="0"/>
        </w:rPr>
        <w:t>2. Quyết định của SEC cũng lưu ý rằng thông tin này là trọng yếu vì các khoản rút tiền cho thấy “nhu cầu về tiền mặt” và điều này tạo ra động lực để quản lý công ty theo cách nhấn mạnh “tỷ lệ phân phối cao”. SEC đang cố gắng đưa ra lập luận gì? Nó có liên quan đến tính chính trực của ban quản lý không? Bạn nghĩ gì về phân tích này?</w:t>
      </w:r>
    </w:p>
    <w:p>
      <w:pPr>
        <w:spacing w:after="80"/>
      </w:pPr>
      <w:r>
        <w:rPr>
          <w:b w:val="0"/>
          <w:i w:val="0"/>
        </w:rPr>
        <w:t>3. Khi xác định tính trọng yếu của thông tin, SEC nhấn mạnh tính chất không được tiết lộ của các khoản rút tiền. Tuy nhiên, quyết định dường như ít nhất một phần bị ảnh hưởng bởi sự bí mật nội bộ đi kèm với các khoản thanh toán (ví dụ, hội đồng quản trị không hề hay biết). Điều gì sẽ xảy ra nếu các khoản rút tiền đi kèm với một chứng từ cho vay hợp lệ, được hội đồng quản trị phê duyệt và cuối cùng đều được hoàn trả? Liệu vụ án có kết thúc khác đi không? Hội đồng quản trị có thể đã nhìn nhận các giao dịch này khác đi, nhưng liệu chúng có trở nên ít quan trọng hơn đối với các nhà đầu tư hợp lý không?</w:t>
      </w:r>
    </w:p>
    <w:p>
      <w:pPr>
        <w:spacing w:after="80"/>
      </w:pPr>
      <w:r>
        <w:rPr>
          <w:b w:val="0"/>
          <w:i w:val="0"/>
        </w:rPr>
        <w:t>4. Còn về quyền riêng tư của Glickman thì sao? Các nghĩa vụ công bố thông tin có thể liên quan đến các vấn đề cá nhân của ông như thế nào? Khái niệm tính trọng yếu có tính đến điều này không?</w:t>
      </w:r>
    </w:p>
    <w:p>
      <w:pPr>
        <w:spacing w:after="80"/>
      </w:pPr>
      <w:r>
        <w:rPr>
          <w:b w:val="0"/>
          <w:i w:val="0"/>
        </w:rPr>
        <w:t xml:space="preserve">5. Ghi chú cho Quy tắc 14a-9 cung cấp các ví dụ về những gì “có thể gây hiểu lầm” và bao gồm các tuyên bố “trực tiếp hoặc gián tiếp làm tổn hại đến tính cách, tính chính trực hoặc danh dự cá nhân, hoặc trực tiếp hoặc gián tiếp đưa ra các cáo buộc liên quan đến hành vi hoặc mối liên hệ không đúng đắn, bất hợp pháp hoặc vô đạo đức, mà không có cơ sở thực tế.” 17 CFR § 240, 14a-9 note. Quy định này có giải quyết thỏa đáng các vấn đề về tính chính trực của ban quản lý không? Ngôn ngữ này đã được thông qua từ năm 1956, trước cả quyết định trong </w:t>
      </w:r>
      <w:r>
        <w:rPr>
          <w:b w:val="0"/>
          <w:i/>
        </w:rPr>
        <w:t>Franchard. Xem</w:t>
      </w:r>
      <w:r>
        <w:rPr>
          <w:b w:val="0"/>
          <w:i w:val="0"/>
        </w:rPr>
        <w:t xml:space="preserve"> Exchange Act Release No. 5276 (Jan. 17, 1956).</w:t>
      </w:r>
    </w:p>
    <w:p>
      <w:pPr>
        <w:spacing w:after="80"/>
      </w:pPr>
      <w:r>
        <w:rPr>
          <w:b w:val="0"/>
          <w:i w:val="0"/>
        </w:rPr>
        <w:t xml:space="preserve">6. Sau hậu quả của </w:t>
      </w:r>
      <w:r>
        <w:rPr>
          <w:b w:val="0"/>
          <w:i/>
        </w:rPr>
        <w:t>Franchard</w:t>
      </w:r>
      <w:r>
        <w:rPr>
          <w:b w:val="0"/>
          <w:i w:val="0"/>
        </w:rPr>
        <w:t xml:space="preserve">, tính chính trực của ban quản lý đã chứng tỏ là một học thuyết tiện lợi được sử dụng rộng rãi. Trong Thời đại Watergate, Ủy ban đã phát hiện ra các trường hợp đóng góp chiến dịch bất hợp pháp và hối lộ các quan chức nước ngoài. Chúng diễn ra phổ biến. </w:t>
      </w:r>
      <w:r>
        <w:rPr>
          <w:b w:val="0"/>
          <w:i/>
        </w:rPr>
        <w:t>Xem</w:t>
      </w:r>
      <w:r>
        <w:rPr>
          <w:b w:val="0"/>
          <w:i w:val="0"/>
        </w:rPr>
        <w:t xml:space="preserve"> Exchange Act Release No. 15570 (Feb. 15, 1979) (lưu ý rằng hơn 400 công ty đã thực hiện “các khoản thanh toán đáng ngờ hoặc bất hợp pháp”). Các khoản thanh toán này, nói chung, có số tiền khiêm tốn so với thu nhập của các công ty liên quan. Hơn nữa, không giống như các khoản rút tiền trong </w:t>
      </w:r>
      <w:r>
        <w:rPr>
          <w:b w:val="0"/>
          <w:i/>
        </w:rPr>
        <w:t>Franchard</w:t>
      </w:r>
      <w:r>
        <w:rPr>
          <w:b w:val="0"/>
          <w:i w:val="0"/>
        </w:rPr>
        <w:t xml:space="preserve">, chúng được cho là có tác động tích cực đến hoạt động kinh doanh của công ty. Do đó, thật khó để lập luận theo phân tích thông thường rằng các cổ đông đã bị tổn hại theo bất kỳ cách nào vì việc không tiết lộ các khoản thanh toán. Khi lập luận rằng các thiếu sót này là trọng yếu, các nhân viên đã dựa vào học thuyết tính chính trực của ban quản lý. </w:t>
      </w:r>
      <w:r>
        <w:rPr>
          <w:b w:val="0"/>
          <w:i/>
        </w:rPr>
        <w:t>Xem</w:t>
      </w:r>
      <w:r>
        <w:rPr>
          <w:b w:val="0"/>
          <w:i w:val="0"/>
        </w:rPr>
        <w:t xml:space="preserve"> Exchange Act Release No. 10673 (March 8, 1974) (đối với các bản án về đóng góp chiến dịch bất hợp pháp, “[m]ột bản án như vậy là trọng yếu đối với việc đánh giá tính chính trực của ban quản lý công ty vì nó liên quan đến hoạt động của công ty và việc sử dụng quỹ của công ty.”).</w:t>
      </w:r>
    </w:p>
    <w:p>
      <w:pPr>
        <w:spacing w:after="80"/>
      </w:pPr>
      <w:r>
        <w:rPr>
          <w:b w:val="0"/>
          <w:i w:val="0"/>
        </w:rPr>
        <w:t>7. Học thuyết này, có lẽ không đáng ngạc nhiên, đã gây ra nhiều chỉ trích đáng kể. Khái niệm này mơ hồ và thường không liên quan đến thu nhập và các chỉ số tài chính khác. John Fedders, cựu trưởng Ban Thực thi tại Ủy ban Chứng khoán và Giao dịch đã nói như sau:</w:t>
      </w:r>
    </w:p>
    <w:p>
      <w:pPr>
        <w:spacing w:after="80"/>
      </w:pPr>
      <w:r>
        <w:rPr>
          <w:b w:val="0"/>
          <w:i w:val="0"/>
        </w:rPr>
        <w:t>“Tiêu chuẩn trọng yếu định tính đã đến rồi đi. Nó đã chết trước tòa án của lẽ thường. Đó là một tiêu chuẩn không có tiêu chuẩn. Ngoài những người ủng hộ tại SEC, nó không có người bênh vực. Những người thụ hưởng dự định của nó—các nhà đầu tư—đã phớt lờ các công bố định tính của công ty. Hơn nữa, tiêu chuẩn này bị tuyên bố là không phù hợp để sử dụng bởi các tòa án vì nó cho phép Ủy ban cáo buộc các thất bại trong công bố thông tin đối với hành vi sai trái chưa được xét xử, hoặc tương tự, dựa trên quyết định riêng của mình, chứ không phải theo quy định của pháp luật.”</w:t>
      </w:r>
    </w:p>
    <w:p>
      <w:pPr>
        <w:spacing w:after="80"/>
      </w:pPr>
      <w:r>
        <w:rPr>
          <w:b w:val="0"/>
          <w:i w:val="0"/>
        </w:rPr>
        <w:t xml:space="preserve">John M. Fedders, </w:t>
      </w:r>
      <w:r>
        <w:rPr>
          <w:b w:val="0"/>
          <w:i/>
        </w:rPr>
        <w:t>Qualitative Materiality: The Birth, Struggles, and Demise of an Unworkable Standard</w:t>
      </w:r>
      <w:r>
        <w:rPr>
          <w:b w:val="0"/>
          <w:i w:val="0"/>
        </w:rPr>
        <w:t>, 48 Cath. U.L. Rev. 41 (Fall 1998).</w:t>
      </w:r>
    </w:p>
    <w:p>
      <w:pPr>
        <w:spacing w:after="80"/>
      </w:pPr>
      <w:r>
        <w:rPr>
          <w:b w:val="0"/>
          <w:i w:val="0"/>
        </w:rPr>
        <w:t>—————</w:t>
      </w:r>
    </w:p>
    <w:p>
      <w:pPr>
        <w:spacing w:after="80"/>
      </w:pPr>
      <w:r>
        <w:rPr>
          <w:b w:val="0"/>
          <w:i w:val="0"/>
        </w:rPr>
        <w:t>Tuy nhiên, vấn đề này vẫn chưa biến mất. Các vụ án nảy sinh khi cổ đông hoặc nhà đầu tư cáo buộc rằng các công ty đã không công bố chính xác thông tin liên quan đến chất lượng và tính chính trực của các quan chức hoặc giám đốc.</w:t>
      </w:r>
    </w:p>
    <w:p>
      <w:pPr>
        <w:pStyle w:val="Heading4"/>
      </w:pPr>
      <w:r>
        <w:rPr>
          <w:rFonts w:ascii="Calibri" w:hAnsi="Calibri"/>
          <w:b/>
          <w:i w:val="0"/>
          <w:sz w:val="23"/>
        </w:rPr>
        <w:t>Greenhouse v. MCG Capital</w:t>
      </w:r>
    </w:p>
    <w:p>
      <w:pPr>
        <w:spacing w:after="80"/>
      </w:pPr>
      <w:r>
        <w:rPr>
          <w:b w:val="0"/>
          <w:i w:val="0"/>
        </w:rPr>
        <w:t>Tòa án Phúc thẩm Hoa Kỳ, Vòng thứ tư</w:t>
      </w:r>
      <w:r>
        <w:br/>
      </w:r>
      <w:r>
        <w:rPr>
          <w:b w:val="0"/>
          <w:i w:val="0"/>
        </w:rPr>
        <w:t xml:space="preserve"> 392 F.3d 650 (2004)</w:t>
      </w:r>
    </w:p>
    <w:p>
      <w:pPr>
        <w:spacing w:after="80"/>
      </w:pPr>
      <w:r>
        <w:rPr>
          <w:b w:val="0"/>
          <w:i w:val="0"/>
        </w:rPr>
        <w:t>THẨM PHÁN GREGORY, TÒA PHÚC THẨM:</w:t>
      </w:r>
    </w:p>
    <w:p>
      <w:pPr>
        <w:spacing w:after="80"/>
      </w:pPr>
      <w:r>
        <w:rPr>
          <w:b w:val="0"/>
          <w:i w:val="0"/>
        </w:rPr>
        <w:t>MCG là một công ty đầu tư mạo hiểm (venture capital) có trụ sở tại Arlington, Virginia, chuyên đầu tư dưới hình thức cho vay nợ và góp vốn cổ phần vào các doanh nghiệp tư nhân vừa và nhỏ trong các lĩnh vực truyền thông, truyền thông đại chúng, công nghệ và dịch vụ thông tin. Công ty đã được giao dịch công khai kể từ đợt phát hành cổ phiếu lần đầu ra công chúng (“IPO”) vào cuối năm 2001.</w:t>
      </w:r>
    </w:p>
    <w:p>
      <w:pPr>
        <w:spacing w:after="80"/>
      </w:pPr>
      <w:r>
        <w:rPr>
          <w:b w:val="0"/>
          <w:i w:val="0"/>
        </w:rPr>
        <w:t>Sau khoảng một thập kỷ tích lũy kinh nghiệm tại hai ngân hàng, vào năm 1998 Mitchell đã cùng góp sức thành lập MCG và bắt đầu nhiệm kỳ của mình với vai trò Giám đốc điều hành (CEO) kiêm Chủ tịch Hội đồng quản trị của công ty. Các Bị đơn thừa nhận rằng Mitchell đã tự nhận mình có bằng cử nhân kinh tế của Đại học Syracuse. Tuy nhiên, sự thật là Mitchell chỉ theo học tại Syracuse ba năm và học ngành kinh tế, nhưng đã rời trường trước khi lấy được bằng.</w:t>
      </w:r>
    </w:p>
    <w:p>
      <w:pPr>
        <w:spacing w:after="80"/>
      </w:pPr>
      <w:r>
        <w:rPr>
          <w:b w:val="0"/>
          <w:i w:val="0"/>
        </w:rPr>
        <w:t>MCG đã đưa thông tin học vấn được cho là của Mitchell vào nhiều loại hồ sơ khác nhau nộp cho SEC để chuẩn bị cho đợt IPO của mình. Ví dụ, phần “thông tin tiểu sử” trong các bản đăng ký và bản cáo bạch (“Bản cáo bạch”) có ghi:</w:t>
      </w:r>
    </w:p>
    <w:p>
      <w:pPr>
        <w:spacing w:after="80"/>
      </w:pPr>
      <w:r>
        <w:rPr>
          <w:b w:val="0"/>
          <w:i w:val="0"/>
        </w:rPr>
        <w:t xml:space="preserve">Bryan J. Mitchell đã giữ chức Giám đốc điều hành của chúng tôi từ năm 1998 và giữ chức Chủ tịch Hội đồng quản trị từ tháng 5 năm 2001. Ông Mitchell đã là thành viên Hội đồng quản trị của chúng tôi từ năm 1998 và cũng từng giữ chức Chủ tịch (President) từ năm 1998 đến tháng 5 năm 2001. Từ năm 1997 đến 1998, ông Mitchell là Phó Chủ tịch cấp cao của First Union National Bank. Từ năm 1988 đến 1997, ông Mitchell làm việc tại Signet Bank với vai trò Phó Chủ tịch cấp cao. Ông Mitchell hiện là thành viên Hội đồng quản trị của MCG Finance Corporation và MCG Finance Corporation II. </w:t>
      </w:r>
      <w:r>
        <w:rPr>
          <w:b w:val="0"/>
          <w:i/>
        </w:rPr>
        <w:t>Ông Mitchell đã lấy bằng B.A. ngành Kinh tế tại Đại học Syracuse.</w:t>
      </w:r>
    </w:p>
    <w:p>
      <w:pPr>
        <w:spacing w:after="80"/>
      </w:pPr>
      <w:r>
        <w:rPr>
          <w:b w:val="0"/>
          <w:i w:val="0"/>
        </w:rPr>
        <w:t>Bản cáo bạch trang 79 (phần nhấn mạnh được thêm vào). Tất nhiên, những đoạn tiểu sử ngắn gọn về các nhà quản lý của MCG chỉ là một phần trong hồ sơ của MCG; vẫn còn nhiều thông tin phong phú khác. Tuy nhiên, ngoài câu duy nhất này, được lặp lại dưới nhiều hình thức khác nhau, các Nguyên đơn kháng cáo không cáo buộc bất kỳ sai sót nào khác.</w:t>
      </w:r>
    </w:p>
    <w:p>
      <w:pPr>
        <w:spacing w:after="80"/>
      </w:pPr>
      <w:r>
        <w:rPr>
          <w:b w:val="0"/>
          <w:i w:val="0"/>
        </w:rPr>
        <w:t>Sau áp lực rõ ràng từ Herb Greenberg (“Greenberg”), một phóng viên của trang web “TheStreet.Com”, người đã đặt câu hỏi về quá khứ thực sự của Mitchell, Mitchell đã nói ra sự thật với hội đồng quản trị MCG vào ngày 1 tháng 11 năm 2002. Cũng trong ngày hôm đó, MCG đã công khai đính chính thông tin sai lệch của Mitchell thông qua một thông cáo báo chí như sau:</w:t>
      </w:r>
    </w:p>
    <w:p>
      <w:pPr>
        <w:spacing w:after="80"/>
      </w:pPr>
      <w:r>
        <w:rPr>
          <w:b w:val="0"/>
          <w:i w:val="0"/>
        </w:rPr>
        <w:t>MCG Capital Corporation hôm nay thông báo rằng Chủ tịch kiêm Giám đốc điều hành của công ty, Bryan J. Mitchell, đã thông báo với Hội đồng quản trị của Công ty vào sáng nay rằng, trái với những công bố trước đây, ông không có bằng Cử nhân Nghệ thuật (Bachelor of Arts) của Đại học Syracuse. Hội đồng quản trị đã yêu cầu Chủ tịch Ủy ban Kiểm toán của Công ty, Wallace B. Millner, III, xem xét các sự kiện liên quan đến những vấn đề này và báo cáo lên toàn thể hội đồng càng sớm càng tốt.</w:t>
      </w:r>
    </w:p>
    <w:p>
      <w:pPr>
        <w:spacing w:after="80"/>
      </w:pPr>
      <w:r>
        <w:rPr>
          <w:b w:val="0"/>
          <w:i w:val="0"/>
        </w:rPr>
        <w:t>J.A. 74. Các Nguyên đơn kháng cáo khẳng định rằng thông báo này đã khiến MCG bị chú ý tiêu cực trong giới đầu tư. Cụ thể, họ cáo buộc rằng một chuyên gia phân tích của Wachovia Securities đã hạ xếp hạng MCG từ “Mua” (Buy) xuống “Giữ” (Hold) vào đúng ngày công bố thông báo, với lý do lo ngại rằng thông tin sai lệch này báo trước những “vấn đề về uy tín” (credibility issues) lớn hơn, và rằng hai phóng viên trong chương trình Lou Dobbs Moneyline của CNN đã bàn về cổ phiếu này ngay sau khi công ty đính chính, nhận xét rằng Mitchell là “một CEO khác đã nói dối về lý lịch của mình”. J.A. 28–29. Các Nguyên đơn kháng cáo cũng lưu ý rằng Greenberg đã đặt câu hỏi trên “TheStreet.com” liệu có những “đính chính” khác sắp được đưa ra hay không. Cụ thể, vào ngày 1 tháng 11 năm 2002, Greenberg viết rằng: “. . . nếu thông tin công bố của CEO không đúng, bạn không thể không tự hỏi . . . còn điều gì khác nữa không?” J.A. 76. Ông lặp lại điệp khúc này trong bài đăng ngày 3 tháng 11: “Không thể không tự hỏi [sic] một CEO đã thừa nhận nói dối sẽ có uy tín gì trong thời gian tới. (Và không thể không tự hỏi còn điều gì ở công ty đã bị, nói theo cách của chúng ta, tô vẽ thêm.)”. J.A. 81. Cuối cùng, vào ngày 12 tháng 11, Greenberg nhận định trong một bài viết về MCG rằng: “khi một CEO nói dối về trình độ học vấn của mình . . . bạn phải tự hỏi còn điều gì khác có thể không đúng.” J.A. 84.</w:t>
      </w:r>
    </w:p>
    <w:p>
      <w:pPr>
        <w:spacing w:after="80"/>
      </w:pPr>
      <w:r>
        <w:rPr>
          <w:b w:val="0"/>
          <w:i w:val="0"/>
        </w:rPr>
        <w:t>Rõ ràng là có thể tin được rằng, ít nhất là tạm thời, các nhà đầu tư đã tiếp nhận hoặc chia sẻ những lo ngại của giới bình luận tài chính này về uy tín của công ty sau thông báo đính chính. Cổ phiếu đã giảm xuống còn 8,40 đô la từ mức 11,85 đô la mỗi cổ phiếu vào ngày 1 tháng 11 năm 2002. Tuy nhiên, toàn bộ lịch sử giá của cổ phiếu lại khiến vụ việc trở nên phức tạp: ngày hôm sau, cổ phiếu đã lấy lại được khoảng một nửa mức giảm của ngày trước đó, và phần còn lại của khoản lỗ đã được phục hồi trong khoảng một tháng.</w:t>
      </w:r>
    </w:p>
    <w:p>
      <w:pPr>
        <w:spacing w:after="80"/>
      </w:pPr>
      <w:r>
        <w:rPr>
          <w:b w:val="0"/>
          <w:i w:val="0"/>
        </w:rPr>
        <w:t>Dù Mitchell chắc chắn là một nhân vật quan trọng đối với MCG, ông tuyệt đối không nằm ngoài vòng trừng phạt của công ty. Vào ngày 3 tháng 11, Hội đồng quản trị đã giữ lại tiền thưởng năm 2001 và 2002 của Mitchell, buộc ông phải hoàn trả số tiền mà MCG đã cho ông vay, và tước bỏ chức danh Chủ tịch Hội đồng quản trị của ông. Mitchell vẫn bị tước chức danh Chủ tịch; ông vẫn giữ (và hiện vẫn giữ) vị trí CEO của mình.</w:t>
      </w:r>
    </w:p>
    <w:p>
      <w:pPr>
        <w:spacing w:after="80"/>
      </w:pPr>
      <w:r>
        <w:rPr>
          <w:b w:val="0"/>
          <w:i w:val="0"/>
        </w:rPr>
        <w:t>* * *</w:t>
      </w:r>
    </w:p>
    <w:p>
      <w:pPr>
        <w:spacing w:after="80"/>
      </w:pPr>
      <w:r>
        <w:rPr>
          <w:b w:val="0"/>
          <w:i w:val="0"/>
        </w:rPr>
        <w:t>Để thắng kiện trong một khiếu nại về gian lận chứng khoán theo Quy tắc 10b-5 của S.E.C. (“Quy tắc 10b-5”) hoặc Mục 11(a) của Đạo luật Chứng khoán năm 1933, 15 U.S.C. § 77k (“Mục 11(a)”), nguyên đơn phải chứng minh, trong số những điều khác, tính “trọng yếu” (materiality). Cụ thể, Quy tắc 10b-5 quy định việc “. . . đưa ra bất kỳ tuyên bố không đúng sự thật về một sự kiện trọng yếu hoặc bỏ sót không nêu ra một sự kiện trọng yếu cần thiết để làm cho các tuyên bố đã đưa ra, trong bối cảnh chúng được đưa ra, không gây hiểu lầm . . .” là bất hợp pháp, và đi kèm với đó là quyền khởi kiện tư nhân để thực thi Quy tắc này. Tương tự, Mục 11(a) tạo quyền khởi kiện cho người mua khi bản đăng ký “chứa một tuyên bố không đúng sự thật về một sự kiện trọng yếu” hoặc bỏ sót một sự kiện trọng yếu.</w:t>
      </w:r>
    </w:p>
    <w:p>
      <w:pPr>
        <w:spacing w:after="80"/>
      </w:pPr>
      <w:r>
        <w:rPr>
          <w:b w:val="0"/>
          <w:i w:val="0"/>
        </w:rPr>
        <w:t>* * *</w:t>
      </w:r>
    </w:p>
    <w:p>
      <w:pPr>
        <w:spacing w:after="80"/>
      </w:pPr>
      <w:r>
        <w:rPr>
          <w:b w:val="0"/>
          <w:i w:val="0"/>
        </w:rPr>
        <w:t>Các Nguyên đơn kháng cáo đưa ra một số lập luận, trong đó lập luận mạnh nhất có thể tóm tắt đại khái thành ba điểm chính: (A) với tư cách là một nhà quản lý chủ chốt, trình độ học vấn của Mitchell là một sự kiện trọng yếu; (B) “tính chính trực của ban quản lý” luôn luôn là trọng yếu; và (C) tòa án cấp sơ thẩm đã sai lầm khi nhầm lẫn giữa quan hệ nhân quả (causation) với tính trọng yếu và khi tính đến giá cổ phiếu sau ngày 1 tháng 11, ngày công bố thông tin. Chúng tôi lần lượt xem xét và bác bỏ từng lập luận.</w:t>
      </w:r>
    </w:p>
    <w:p>
      <w:pPr>
        <w:spacing w:after="80"/>
      </w:pPr>
      <w:r>
        <w:rPr>
          <w:b w:val="0"/>
          <w:i w:val="0"/>
        </w:rPr>
        <w:t>A.</w:t>
      </w:r>
    </w:p>
    <w:p>
      <w:pPr>
        <w:spacing w:after="80"/>
      </w:pPr>
      <w:r>
        <w:rPr>
          <w:b w:val="0"/>
          <w:i w:val="0"/>
        </w:rPr>
        <w:t>Việc xuyên tạc bằng cấp học vấn của một giám đốc điều hành hiếm khi được đề cập trong các án lệ đã công bố. Ngay cả những án lệ tương tự gần nhất cũng có vẻ hơi khó áp dụng ở đây bởi vì, như đã nêu ở trên, tính trọng yếu là một phán quyết dựa trên tình tiết cụ thể. Tuy nhiên, một vài án lệ đó (đáng chú ý là không có án lệ nào từ các tòa phúc thẩm vòng) bàn về việc xuyên tạc một bằng cấp học vấn, dù chỉ một cách gián tiếp, cũng không ủng hộ lập luận của Nguyên đơn kháng cáo rằng những tuyên bố sai lệch về nền tảng học vấn của các nhà quản lý là trọng yếu.</w:t>
      </w:r>
    </w:p>
    <w:p>
      <w:pPr>
        <w:spacing w:after="80"/>
      </w:pPr>
      <w:r>
        <w:rPr>
          <w:b w:val="0"/>
          <w:i w:val="0"/>
        </w:rPr>
        <w:t xml:space="preserve">Thật vậy, không tồn tại án lệ ràng buộc nào, và án lệ duy nhất mà chúng tôi biết đề cập một cách rõ ràng đến hành vi gian lận như vậy của một giám đốc điều hành đã bác bỏ cáo buộc đó là không trọng yếu và cố gắng phân biệt nó với những tình tiết thực sự trọng yếu. </w:t>
      </w:r>
      <w:r>
        <w:rPr>
          <w:b w:val="0"/>
          <w:i/>
        </w:rPr>
        <w:t>Xem</w:t>
      </w:r>
      <w:r>
        <w:rPr>
          <w:b w:val="0"/>
          <w:i w:val="0"/>
        </w:rPr>
        <w:t xml:space="preserve"> New Equity Sec. Holders Comm. for Golden Gulf, Ltd. v. Phillips, 97 B.R. 492, 496–97 (E.D. Ark. 1989) (phân biệt việc xuyên tạc một bằng cấp kinh doanh, là không trọng yếu, với việc bỏ sót tiền án trọng tội gần đây của một giám đốc, các vụ kiện tụng trước đây và đang chờ xử lý chống lại công ty, và cuộc điều tra của SEC đối với công ty, tất cả đều là trọng yếu).</w:t>
      </w:r>
    </w:p>
    <w:p>
      <w:pPr>
        <w:spacing w:after="80"/>
      </w:pPr>
      <w:r>
        <w:rPr>
          <w:b w:val="0"/>
          <w:i w:val="0"/>
        </w:rPr>
        <w:t xml:space="preserve">Tuy nhiên, Nguyên đơn kháng cáo viện dẫn hai án lệ của tòa án cấp quận để ủng hộ tuyên bố của họ rằng học vấn của một cá nhân là trọng yếu: SEC v. Physicians Guardian Unit Inv. Trust, 72 F. Supp. 2d 1342 (M.D. Fla. 1999) và SEC v. Suter, No. 81 C 3865, 1983 WL 1287 (N.D. Ill. 1983). Những án lệ này có thể phân biệt được. Physicians Guardian bác bỏ, theo một cách khá kết luận suông, một đề nghị bác bỏ đơn kiện gồm tám tội danh, 59 đoạn của SEC yêu cầu biện pháp khẩn cấp và cáo buộc một loạt đáng kinh ngạc các hoạt động gian lận kỳ quặc. Một trong nhiều hoạt động gian lận của những kẻ tái phạm này bao gồm việc một nhà quản lý đã tuyên bố sai rằng mình có bằng luật và 27 năm kinh nghiệm hành nghề luật sư. 72 F. Supp. 2d at 1344–51. </w:t>
      </w:r>
      <w:r>
        <w:rPr>
          <w:b w:val="0"/>
          <w:i/>
        </w:rPr>
        <w:t>Suter</w:t>
      </w:r>
      <w:r>
        <w:rPr>
          <w:b w:val="0"/>
          <w:i w:val="0"/>
        </w:rPr>
        <w:t xml:space="preserve"> ban hành biện pháp cấm đoán trong một vụ kiện gian lận chứng khoán có chứa, ẩn giữa nhiều điều dối trá khác rõ ràng quan trọng hơn, một tuyên bố rằng một cố vấn đầu tư đã tuyên bố sai rằng mình có bằng MBA. 1983 WL 1287 at *3.</w:t>
      </w:r>
    </w:p>
    <w:p>
      <w:pPr>
        <w:spacing w:after="80"/>
      </w:pPr>
      <w:r>
        <w:rPr>
          <w:b w:val="0"/>
          <w:i w:val="0"/>
        </w:rPr>
        <w:t xml:space="preserve">Nguyên đơn kháng cáo cho rằng việc các tòa án trong hai án lệ này không tách ra được bằng cấp học vấn là không trọng yếu khỏi những gian lận khác, như tòa án trong </w:t>
      </w:r>
      <w:r>
        <w:rPr>
          <w:b w:val="0"/>
          <w:i/>
        </w:rPr>
        <w:t>New Equity</w:t>
      </w:r>
      <w:r>
        <w:rPr>
          <w:b w:val="0"/>
          <w:i w:val="0"/>
        </w:rPr>
        <w:t xml:space="preserve"> đã làm, là bằng chứng cho thấy các tòa án đã xem những xuyên tạc như vậy là trọng yếu. Điều này thoạt nhìn có vẻ hợp lý, nhưng nhanh chóng trở nên không thuyết phục khi người ta xem xét các phán quyết. Trong cả hai án lệ, SEC đã tìm kiếm và đạt được biện pháp cấm đoán khẩn cấp từ một loạt dài các hoạt động gian lận đang diễn ra của những kẻ tái phạm trong trò gian lận. Trong mỗi án lệ, các tòa án dường như bị choáng ngợp bởi hành vi gian lận đa dạng được cáo buộc đối với các bị đơn. Tóm lại, không tòa án nào đề cập một cách cụ thể đến tính trọng yếu của tuyên bố liên quan đến học vấn riêng lẻ trong toàn bộ vụ kiện đa dạng, mà thay vào đó phán quyết chống lại các bị đơn </w:t>
      </w:r>
      <w:r>
        <w:rPr>
          <w:b w:val="0"/>
          <w:i/>
        </w:rPr>
        <w:t>một cách tổng thể.</w:t>
      </w:r>
      <w:r>
        <w:rPr>
          <w:b w:val="0"/>
          <w:i w:val="0"/>
        </w:rPr>
        <w:t xml:space="preserve"> Ở đây, ngược lại, chúng ta đối mặt với tình huống bất thường rằng </w:t>
      </w:r>
      <w:r>
        <w:rPr>
          <w:b w:val="0"/>
          <w:i/>
        </w:rPr>
        <w:t>chỉ một</w:t>
      </w:r>
      <w:r>
        <w:rPr>
          <w:b w:val="0"/>
          <w:i w:val="0"/>
        </w:rPr>
        <w:t xml:space="preserve"> xuyên tạc được cáo buộc giữa vô số thông tin khác trong bản cáo bạch, các hồ sơ khác, và những nơi khác, tạo nên “tổng thể hỗn hợp” thông tin.</w:t>
      </w:r>
    </w:p>
    <w:p>
      <w:pPr>
        <w:spacing w:after="80"/>
      </w:pPr>
      <w:r>
        <w:rPr>
          <w:b w:val="0"/>
          <w:i w:val="0"/>
        </w:rPr>
        <w:t xml:space="preserve">Mặc dù chúng tôi </w:t>
      </w:r>
      <w:r>
        <w:rPr>
          <w:b w:val="0"/>
          <w:i/>
        </w:rPr>
        <w:t>không</w:t>
      </w:r>
      <w:r>
        <w:rPr>
          <w:b w:val="0"/>
          <w:i w:val="0"/>
        </w:rPr>
        <w:t xml:space="preserve"> phán quyết như một vấn đề pháp lý rằng học vấn của một nhà quản lý chủ chốt </w:t>
      </w:r>
      <w:r>
        <w:rPr>
          <w:b w:val="0"/>
          <w:i/>
        </w:rPr>
        <w:t>không bao giờ</w:t>
      </w:r>
      <w:r>
        <w:rPr>
          <w:b w:val="0"/>
          <w:i w:val="0"/>
        </w:rPr>
        <w:t xml:space="preserve"> có thể là trọng yếu, chúng tôi thấy rằng học vấn của Mitchell là không trọng yếu ở đây. Ngay cả khi giới hạn quan điểm của chúng tôi, như chúng tôi phải làm, vào những tài liệu mà Nguyên đơn kháng cáo dựa vào để soạn đơn kiện và những tài liệu công khai sẵn có cho các nhà đầu tư hợp lý, và xem xét chúng theo hướng có lợi nhất cho Nguyên đơn kháng cáo, nền tảng học vấn của Mitchell không thể được cho là làm thay đổi “tổng thể hỗn hợp” thông tin này. Ví dụ, một nhà đầu tư hợp lý có thể sẽ đánh giá cao thông tin trong các báo cáo công khai của MCG và những nơi khác bao gồm: số năm Mitchell quản lý trong các tổ chức tài chính; thành tích tương tự của các thành viên hội đồng quản trị khác và các nhà quản lý chủ chốt; số năm báo cáo thu nhập của MCG với tư cách là một công ty tư nhân; tỷ lệ nợ/vốn chủ sở hữu của công ty; chi phí vốn chung và xu hướng kinh tế vĩ mô; sức mạnh của các đối thủ tiềm năng của MCG; v.v. So sánh với đó, Nguyên đơn kháng cáo không đưa ra được lý thuyết đáng tin cậy nào về việc tại sao một nhà đầu tư hợp lý lại xem những gì Mitchell đã làm (hoặc, tùy trường hợp, đã không làm) trong năm thứ tư của ông tại Syracuse là điều quan trọng đến mức làm thay đổi khối lượng lớn thông tin này. Tóm lại, kết luận không thể tránh khỏi mà người ta đạt được là, trong thời đại nhạy cảm cao độ với bê bối doanh nghiệp, một số nhà đầu tư đã thấy, trong một khoảng thời gian rất ngắn, cổ phiếu của MCG là hàng hỏng vì uy tín của công ty đột nhiên bị nghi ngờ, và các nhà đầu tư lo ngại rằng những tiết lộ về các sự bịa đặt khác, quan trọng hơn, sắp được công bố.</w:t>
      </w:r>
    </w:p>
    <w:p>
      <w:pPr>
        <w:spacing w:after="80"/>
      </w:pPr>
      <w:r>
        <w:rPr>
          <w:b w:val="0"/>
          <w:i w:val="0"/>
        </w:rPr>
        <w:t>B.</w:t>
      </w:r>
    </w:p>
    <w:p>
      <w:pPr>
        <w:spacing w:after="80"/>
      </w:pPr>
      <w:r>
        <w:rPr>
          <w:b w:val="0"/>
          <w:i w:val="0"/>
        </w:rPr>
        <w:t>May mắn thay, nhận thức này cho chúng ta cơ hội giải quyết lập luận tiếp theo của Nguyên đơn kháng cáo. Nguyên đơn kháng cáo viện dẫn một số án lệ cuối cùng không có kết quả trong nỗ lực lập luận rằng việc MCG tiết lộ về Mitchell liên quan đến sự chính trực của ban quản lý. Không ai—ngay cả MCG—tranh cãi ý tưởng rằng sự chính trực của Mitchell đã bị đặt dấu hỏi bởi tiết lộ rằng ông đã nói dối. Nhưng đây chỉ là một sự đánh lạc hướng khỏi vấn đề thực sự: liệu tình tiết thực sự bị xuyên tạc—đó là cơ sở cho vụ kiện này và khiến các nhà đầu tư đặt câu hỏi về sự chính trực của ban quản lý—có phải bản thân nó là trọng yếu hay không.</w:t>
      </w:r>
    </w:p>
    <w:p>
      <w:pPr>
        <w:spacing w:after="80"/>
      </w:pPr>
      <w:r>
        <w:rPr>
          <w:b w:val="0"/>
          <w:i w:val="0"/>
        </w:rPr>
        <w:t xml:space="preserve">Để ủng hộ lập luận về sự chính trực của mình, Nguyên đơn kháng cáo trình bày án lệ Gebhardt v. ConAgra Foods, Inc., 335 F.3d 824 (8th Cir. 2003). Nhưng trong Gerhardt, không giống như ở đây, rõ ràng có một tình tiết bị xuyên tạc thực sự trọng yếu: ban quản lý đã vi phạm các nguyên tắc kế toán được chấp nhận chung và phóng đại đáng kể thu nhập của họ. Id. at 830 (“Điểm mấu chốt trong lập luận về tính trọng yếu của nguyên đơn là cáo buộc của họ rằng những xuyên tạc của UAP khiến ConAgra có vẻ như đang kiếm được nhiều hơn thực tế.”). Nếu các nhà lãnh đạo của ConAgra cố ý xuyên tạc thu nhập của họ, tất nhiên một hệ quả có thể là các nhà đầu tư sẽ đặt câu hỏi một cách hợp lý về sự chính trực của ban quản lý công ty; giống như ở đây, những “lo ngại về sự chính trực” trong </w:t>
      </w:r>
      <w:r>
        <w:rPr>
          <w:b w:val="0"/>
          <w:i/>
        </w:rPr>
        <w:t>Gerhardt</w:t>
      </w:r>
      <w:r>
        <w:rPr>
          <w:b w:val="0"/>
          <w:i w:val="0"/>
        </w:rPr>
        <w:t xml:space="preserve"> chỉ là hệ quả phái sinh của sự xuyên tạc là cơ sở cho vụ kiện. Tuy nhiên, sự khác biệt then chốt là tình tiết bị xuyên tạc trong </w:t>
      </w:r>
      <w:r>
        <w:rPr>
          <w:b w:val="0"/>
          <w:i/>
        </w:rPr>
        <w:t>Gerhardt</w:t>
      </w:r>
      <w:r>
        <w:rPr>
          <w:b w:val="0"/>
          <w:i w:val="0"/>
        </w:rPr>
        <w:t>—thu nhập của công ty—có thể hợp lý làm thay đổi tổng thể hỗn hợp thông tin đối với một nhà đầu tư hợp lý; ở đây, việc Mitchell không hoàn thành năm thứ tư đại học thì không thể.</w:t>
      </w:r>
    </w:p>
    <w:p>
      <w:pPr>
        <w:spacing w:after="80"/>
      </w:pPr>
      <w:r>
        <w:rPr>
          <w:b w:val="0"/>
          <w:i w:val="0"/>
        </w:rPr>
        <w:t xml:space="preserve">Tương tự, Nguyên đơn kháng cáo viện dẫn Zell v. Intercapital Income Secur., Inc., 675 F.2d 1041 (9th Cir. 1982), cho cùng một luận điểm. Nhưng một lần nữa, Zell đề cập đến một tình tiết có mức độ khác biệt không thể tranh cãi: bản tuyên bố ủy quyền của bị đơn đã không tiết lộ “một loạt vụ kiện cáo buộc vi phạm luật chứng khoán tiểu bang và liên bang.” Id. at 1043. Việc cả hai xuyên tạc đều đặt sự chính trực của ban quản lý vào dấu hỏi gần như tất yếu xuất phát từ việc chúng là những lời dối trá; tuy nhiên, điều đó không giúp ích trong việc xác định liệu lời dối trá của Mitchell có phải về </w:t>
      </w:r>
      <w:r>
        <w:rPr>
          <w:b w:val="0"/>
          <w:i/>
        </w:rPr>
        <w:t>một tình tiết trọng yếu</w:t>
      </w:r>
      <w:r>
        <w:rPr>
          <w:b w:val="0"/>
          <w:i w:val="0"/>
        </w:rPr>
        <w:t xml:space="preserve"> hay không.</w:t>
      </w:r>
    </w:p>
    <w:p>
      <w:pPr>
        <w:spacing w:after="80"/>
      </w:pPr>
      <w:r>
        <w:rPr>
          <w:b w:val="0"/>
          <w:i w:val="0"/>
        </w:rPr>
        <w:t xml:space="preserve">Cuối cùng, Nguyên đơn kháng cáo viện dẫn một án lệ SEC 40 năm tuổi cho luận điểm rằng sự chính trực “luôn là một yếu tố trọng yếu.” In the Matter of Franchard Corp., 42 S.E.C. 163, Release No. 33-4710, 1964 WL 6754 (S.E.C. July 31, 1964). Ngoài việc nó có trước tuyên bố của Tòa án Tối cao trong Basic và các án lệ then chốt khác về tính trọng yếu, Nguyên đơn kháng cáo không lưu ý rằng tuyên bố này, một lần nữa, chỉ là phụ trợ cho những lo ngại phát sinh từ các tình tiết trọng yếu thực sự đã không được tiết lộ (và do đó là vấn đề tranh chấp) trong án lệ. Đọc toàn bộ ngữ cảnh mà từ đó Nguyên đơn kháng cáo nhặt ra câu trích dẫn rằng sự chính trực “luôn là một yếu tố trọng yếu,” người ta biết được rằng tình tiết cơ bản đang tranh chấp là việc các bản tuyên bố đăng ký của công ty liên tục không tiết lộ việc chuyển những khoản tiền lớn từ công ty cho cổ đông kiểm soát và giám đốc điều hành, mà ông ta đã dùng vào các dự án riêng của mình. Id. at *2–*4, *6. Điều này, đến lượt nó, tạo ra khả năng thay đổi quyền kiểm soát và gây ra những xung đột lợi ích rõ ràng với công ty và các cổ đông của nó. </w:t>
      </w:r>
      <w:r>
        <w:rPr>
          <w:b w:val="0"/>
          <w:i/>
        </w:rPr>
        <w:t>Id.</w:t>
      </w:r>
    </w:p>
    <w:p>
      <w:pPr>
        <w:spacing w:after="80"/>
      </w:pPr>
      <w:r>
        <w:rPr>
          <w:b w:val="0"/>
          <w:i w:val="0"/>
        </w:rPr>
        <w:t xml:space="preserve">Tóm lại, trong mỗi án lệ về “sự chính trực” này, và không giống như vụ này, có một </w:t>
      </w:r>
      <w:r>
        <w:rPr>
          <w:b w:val="0"/>
          <w:i/>
        </w:rPr>
        <w:t>tình tiết</w:t>
      </w:r>
      <w:r>
        <w:rPr>
          <w:b w:val="0"/>
          <w:i w:val="0"/>
        </w:rPr>
        <w:t xml:space="preserve"> thực sự, sống động, trọng yếu đang tranh chấp. Nguyên đơn kháng cáo dường như đã chọn những án lệ này vì các tòa án dường như đã lưu ý, một cách ngẫu nhiên, rằng sự chính trực của ban quản lý là quan trọng và tất yếu liên quan đến những tiết lộ như vậy. Tất nhiên, ở một mức độ nào đó, “sự chính trực của ban quản lý” sẽ </w:t>
      </w:r>
      <w:r>
        <w:rPr>
          <w:b w:val="0"/>
          <w:i/>
        </w:rPr>
        <w:t>luôn</w:t>
      </w:r>
      <w:r>
        <w:rPr>
          <w:b w:val="0"/>
          <w:i w:val="0"/>
        </w:rPr>
        <w:t xml:space="preserve"> liên quan đến </w:t>
      </w:r>
      <w:r>
        <w:rPr>
          <w:b w:val="0"/>
          <w:i/>
        </w:rPr>
        <w:t>bất kỳ</w:t>
      </w:r>
      <w:r>
        <w:rPr>
          <w:b w:val="0"/>
          <w:i w:val="0"/>
        </w:rPr>
        <w:t xml:space="preserve"> lời dối trá nào. Nhưng như Vòng phúc thẩm này và Tòa án trong </w:t>
      </w:r>
      <w:r>
        <w:rPr>
          <w:b w:val="0"/>
          <w:i/>
        </w:rPr>
        <w:t>Basic</w:t>
      </w:r>
      <w:r>
        <w:rPr>
          <w:b w:val="0"/>
          <w:i w:val="0"/>
        </w:rPr>
        <w:t xml:space="preserve"> đã lưu ý, không phải mọi lời dối trá đều có thể khởi kiện; luật chứng khoán chỉ quan tâm đến những lời dối trá về </w:t>
      </w:r>
      <w:r>
        <w:rPr>
          <w:b w:val="0"/>
          <w:i/>
        </w:rPr>
        <w:t>các tình tiết trọng yếu.</w:t>
      </w:r>
      <w:r>
        <w:rPr>
          <w:b w:val="0"/>
          <w:i w:val="0"/>
        </w:rPr>
        <w:t xml:space="preserve"> Đọc luật theo cách khác, như Nguyên đơn kháng cáo muốn chúng tôi làm, đơn giản là loại bỏ tính trọng yếu ra khỏi đạo luật. Theo lý thuyết của họ, gần như </w:t>
      </w:r>
      <w:r>
        <w:rPr>
          <w:b w:val="0"/>
          <w:i/>
        </w:rPr>
        <w:t>bất kỳ</w:t>
      </w:r>
      <w:r>
        <w:rPr>
          <w:b w:val="0"/>
          <w:i w:val="0"/>
        </w:rPr>
        <w:t xml:space="preserve"> xuyên tạc nào của một CEO—bao gồm, có lẽ, một xuyên tạc về lòng chung thủy trong hôn nhân, quan điểm chính trị, hay điểm chấp golf của người đó—mà có thể khiến các nhà đầu tư đặt câu hỏi về sự chính trực của ban quản lý đều có thể, như vậy, làm cơ sở cho một vụ kiện tập thể về gian lận chứng khoán. Luật đơn giản là không cho phép kết quả như vậy.</w:t>
      </w:r>
    </w:p>
    <w:p>
      <w:pPr>
        <w:spacing w:after="80"/>
      </w:pPr>
      <w:r>
        <w:rPr>
          <w:b w:val="0"/>
          <w:i w:val="0"/>
        </w:rPr>
        <w:t>* * *</w:t>
      </w:r>
    </w:p>
    <w:p>
      <w:pPr>
        <w:spacing w:after="80"/>
      </w:pPr>
      <w:r>
        <w:rPr>
          <w:b w:val="0"/>
          <w:i w:val="0"/>
        </w:rPr>
        <w:t>IV.</w:t>
      </w:r>
    </w:p>
    <w:p>
      <w:pPr>
        <w:spacing w:after="80"/>
      </w:pPr>
      <w:r>
        <w:rPr>
          <w:b w:val="0"/>
          <w:i w:val="0"/>
        </w:rPr>
        <w:t xml:space="preserve">Kết luận, mặc dù chúng tôi thừa nhận rằng lời dối trá của Mitchell là không thể biện hộ, điều đó không luôn luôn có nghĩa rằng nó là bất hợp pháp. Chúng tôi phán quyết rằng, khi được xem xét đúng đắn, </w:t>
      </w:r>
      <w:r>
        <w:rPr>
          <w:b w:val="0"/>
          <w:i/>
        </w:rPr>
        <w:t>không</w:t>
      </w:r>
      <w:r>
        <w:rPr>
          <w:b w:val="0"/>
          <w:i w:val="0"/>
        </w:rPr>
        <w:t xml:space="preserve"> có khả năng đáng kể rằng các nhà đầu tư hợp lý sẽ giảm giá trị cổ phiếu khi biết rằng Mitchell đã bỏ năm cuối tại Syracuse. Nghĩa là, nếu người ta tưởng tượng một vũ trụ song song của các sự việc nơi điều duy nhất khác biệt là các hồ sơ của MCG không đề cập đến học vấn của Mitchell (hoặc, thay vào đó, chỉ nói đơn giản rằng ông “đã theo học” Syracuse hoặc “đã học kinh tế” ở đó), chúng tôi thấy khó tin rằng cổ phiếu của MCG sẽ đáng giá thêm dù chỉ một xu đối với một nhà đầu tư hợp lý.</w:t>
      </w:r>
    </w:p>
    <w:p>
      <w:pPr>
        <w:pStyle w:val="Heading5"/>
      </w:pPr>
      <w:r>
        <w:rPr>
          <w:rFonts w:ascii="Calibri" w:hAnsi="Calibri"/>
          <w:b/>
          <w:i/>
          <w:sz w:val="22"/>
        </w:rPr>
        <w:t>Bình luận và Câu hỏi</w:t>
      </w:r>
    </w:p>
    <w:p>
      <w:pPr>
        <w:spacing w:after="80"/>
      </w:pPr>
      <w:r>
        <w:rPr>
          <w:b w:val="0"/>
          <w:i w:val="0"/>
        </w:rPr>
        <w:t>1. Tính trọng yếu là một câu hỏi hỗn hợp giữa tình tiết và pháp lý thường được để cho bồi thẩm đoàn. Tuy nhiên, tòa án trong vụ này đã phán quyết như một vấn đề pháp lý rằng thông tin là không trọng yếu. Bạn có đồng ý không? Tòa án đã mô tả đúng đắn tuyên bố sai lệch về những gì viên chức “đã làm” (hoặc, tùy trường hợp, đã không làm) trong năm thứ tư của ông tại Syracuse hay không?</w:t>
      </w:r>
    </w:p>
    <w:p>
      <w:pPr>
        <w:spacing w:after="80"/>
      </w:pPr>
      <w:r>
        <w:rPr>
          <w:b w:val="0"/>
          <w:i w:val="0"/>
        </w:rPr>
        <w:t>2. Bạn nghĩ sao về lập luận rằng thông tin liên quan đến tính trọng yếu về mặt định tính (qualitative materiality) của ban điều hành thì luôn luôn trọng yếu? Những vấn đề gì có thể nảy sinh với cách tiếp cận như vậy? Nó có thể xâm phạm đến quyền riêng tư của các cán bộ và giám đốc điều hành như thế nào?</w:t>
      </w:r>
    </w:p>
    <w:p>
      <w:pPr>
        <w:spacing w:after="80"/>
      </w:pPr>
      <w:r>
        <w:rPr>
          <w:b w:val="0"/>
          <w:i w:val="0"/>
        </w:rPr>
        <w:t xml:space="preserve">3. Mặc dù xác định rằng việc trình bày sai về trình độ học vấn của viên chức là không trọng yếu, tòa án đã đặc biệt từ chối đưa ra một quy tắc tuyệt đối (per se rule) đối với loại thông tin này. Theo lập luận của tòa án này, khi nào thì loại trình bày sai này được coi là trọng yếu? Trong </w:t>
      </w:r>
      <w:r>
        <w:rPr>
          <w:b w:val="0"/>
          <w:i/>
        </w:rPr>
        <w:t>SEC v. Reys</w:t>
      </w:r>
      <w:r>
        <w:rPr>
          <w:b w:val="0"/>
          <w:i w:val="0"/>
        </w:rPr>
        <w:t xml:space="preserve"> , 712 F. Supp. 2d 1170, 1177 (WD Wash. 2010), SEC đã khởi kiện cáo buộc một số trình bày sai liên quan đến lịch sử công tác và trình độ của CEO. Cụ thể, SEC khẳng định rằng viên chức này đã</w:t>
      </w:r>
    </w:p>
    <w:p>
      <w:pPr>
        <w:spacing w:after="80"/>
      </w:pPr>
      <w:r>
        <w:rPr>
          <w:b w:val="0"/>
          <w:i w:val="0"/>
        </w:rPr>
        <w:t>trình bày sai rằng ông từng là thành viên của đội ngũ điều hành đã đưa một công ty dược phẩm trải qua quá trình phát hành cổ phiếu lần đầu ra công chúng (initial public offering) và sau đó được một công ty đa quốc gia lớn mua lại, trong khi thực tế ông chỉ là trưởng phòng kinh doanh của công ty dược phẩm đó và đã rời công ty nhiều năm trước khi IPO và thương vụ mua lại diễn ra; và . . . trình bày sai rằng ông đã đưa một trong những công ty công nghệ sinh học tư nhân mà ông từng giữ chức CEO từ giai đoạn ý tưởng đến các thử nghiệm lâm sàng trên người giai đoạn đầu trong vòng 18 tháng, trong khi thực tế công ty đã sa thải [vị CEO], và [vị CEO] đã không dẫn dắt công ty đến các thử nghiệm lâm sàng trên người.</w:t>
      </w:r>
    </w:p>
    <w:p>
      <w:pPr>
        <w:spacing w:after="80"/>
      </w:pPr>
      <w:r>
        <w:rPr>
          <w:b w:val="0"/>
          <w:i w:val="0"/>
        </w:rPr>
        <w:t xml:space="preserve">Tòa án kết luận rằng thông tin này có thể là trọng yếu và nhận định rằng phán quyết trong </w:t>
      </w:r>
      <w:r>
        <w:rPr>
          <w:b w:val="0"/>
          <w:i/>
        </w:rPr>
        <w:t>Greenhouse</w:t>
      </w:r>
      <w:r>
        <w:rPr>
          <w:b w:val="0"/>
          <w:i w:val="0"/>
        </w:rPr>
        <w:t xml:space="preserve"> không mang tính quyết định. Hai vụ án này có thực sự khác nhau không? Việc phân tích tính trọng yếu có thể dẫn đến những kết quả khác nhau như thế nào?</w:t>
      </w:r>
    </w:p>
    <w:p>
      <w:pPr>
        <w:spacing w:after="80"/>
      </w:pPr>
      <w:r>
        <w:rPr>
          <w:b w:val="0"/>
          <w:i w:val="0"/>
        </w:rPr>
        <w:t>4. Tòa án ở đây dường như bác bỏ lập luận rằng tính trọng yếu của thông tin được tăng cường bởi sự không trung thực được cho là của viên chức. Đó có phải là cách tiếp cận đúng đắn không? Trong Staff Accounting Bulletin No. 99 (1999), ban nhân viên đã liệt kê các yếu tố cần được xem xét khi xác định tính trọng yếu của các trình bày sai về thu nhập. Trong phần Hỏi &amp; Đáp của Bulletin, ban nhân viên được hỏi liệu một công ty có thể "đưa ra các trình bày sai không trọng yếu một cách cố ý trong báo cáo tài chính của mình không?" Câu trả lời? "Không. Trong một số trường hợp nhất định, các trình bày sai không trọng yếu một cách cố ý là bất hợp pháp." Quan điểm của ban nhân viên có nhất quán với lập luận của tòa án này không?</w:t>
      </w:r>
    </w:p>
    <w:p>
      <w:pPr>
        <w:spacing w:after="80"/>
      </w:pPr>
      <w:r>
        <w:rPr>
          <w:b w:val="0"/>
          <w:i w:val="0"/>
        </w:rPr>
        <w:t xml:space="preserve">5. Đối với các vấn đề về tính chính trực của ban điều hành, liệu các yêu cầu công bố thông tin rõ ràng trong Regulation S-K có mang lại chút an tâm nào trong việc xác định điều gì là trọng yếu không? Trong </w:t>
      </w:r>
      <w:r>
        <w:rPr>
          <w:b w:val="0"/>
          <w:i/>
        </w:rPr>
        <w:t>United States v. Bachynsky</w:t>
      </w:r>
      <w:r>
        <w:rPr>
          <w:b w:val="0"/>
          <w:i w:val="0"/>
        </w:rPr>
        <w:t xml:space="preserve"> , 2011 U.S. App. LEXIS 3377 (11th Cir., Feb. 18, 2011), bị cáo lập luận rằng bản án hình sự của mình là không trọng yếu vì nó xảy ra ngoài các khoảng thời gian được quy định trong Item 401 của Regulation S-K. Bạn nghĩ đâu là cách giải quyết đúng đắn cho lập luận đó?</w:t>
      </w:r>
    </w:p>
    <w:p>
      <w:pPr>
        <w:spacing w:after="80"/>
      </w:pPr>
      <w:r>
        <w:rPr>
          <w:b w:val="0"/>
          <w:i w:val="0"/>
        </w:rPr>
        <w:t xml:space="preserve">6. Liệu vụ kiện đang chờ xử lý chống lại một công ty có liên quan đến tính chính trực của ban điều hành không? Đôi khi thì có vẻ như vậy. </w:t>
      </w:r>
      <w:r>
        <w:rPr>
          <w:b w:val="0"/>
          <w:i/>
        </w:rPr>
        <w:t>Xem Zell v. Intercapital Income Securities, Inc.</w:t>
      </w:r>
      <w:r>
        <w:rPr>
          <w:b w:val="0"/>
          <w:i w:val="0"/>
        </w:rPr>
        <w:t xml:space="preserve"> , 675 F.2d 1041 (9th Cir. 1982) ("Rõ ràng, vụ kiện đang chờ xử lý có thể liên quan đến chất lượng ban điều hành của một công ty. Những vi phạm nghĩa vụ ủy thác (fiduciary duties) hoặc vi phạm các đạo luật và quy định về chứng khoán trước đây có thể có ảnh hưởng trực tiếp đến tính chính trực của ban điều hành."). Điều này gợi ý gì về phạm vi của học thuyết tính chính trực của ban điều hành?</w:t>
      </w:r>
    </w:p>
    <w:p>
      <w:pPr>
        <w:spacing w:after="80"/>
      </w:pPr>
      <w:r>
        <w:rPr>
          <w:b w:val="0"/>
          <w:i w:val="0"/>
        </w:rPr>
        <w:t>—————</w:t>
      </w:r>
    </w:p>
    <w:p>
      <w:pPr>
        <w:spacing w:after="80"/>
      </w:pPr>
      <w:r>
        <w:rPr>
          <w:b w:val="0"/>
          <w:i/>
        </w:rPr>
        <w:t>Greenhouse</w:t>
      </w:r>
      <w:r>
        <w:rPr>
          <w:b w:val="0"/>
          <w:i w:val="0"/>
        </w:rPr>
        <w:t xml:space="preserve"> cho thấy rằng những tuyên bố sai về lý lịch của ban điều hành sẽ không phải lúc nào cũng được coi là trọng yếu. Điều đó có gợi ý rằng thông tin liên quan đến tính chính trực hoặc các vấn đề nhân sự của ban điều hành sẽ không trọng yếu không?</w:t>
      </w:r>
    </w:p>
    <w:p>
      <w:pPr>
        <w:pStyle w:val="Heading4"/>
      </w:pPr>
      <w:r>
        <w:rPr>
          <w:rFonts w:ascii="Calibri" w:hAnsi="Calibri"/>
          <w:b/>
          <w:i w:val="0"/>
          <w:sz w:val="23"/>
        </w:rPr>
        <w:t xml:space="preserve">Joan MacLeod Heminway, </w:t>
      </w:r>
      <w:r>
        <w:rPr>
          <w:rFonts w:ascii="Calibri" w:hAnsi="Calibri"/>
          <w:b/>
          <w:i/>
          <w:sz w:val="23"/>
        </w:rPr>
        <w:t>Personal Facts about Executive Officers:</w:t>
      </w:r>
      <w:r>
        <w:br/>
      </w:r>
      <w:r>
        <w:rPr>
          <w:rFonts w:ascii="Calibri" w:hAnsi="Calibri"/>
          <w:b/>
          <w:i/>
          <w:sz w:val="23"/>
        </w:rPr>
        <w:t xml:space="preserve"> A Proposal for Tailored Disclosures to Encourage</w:t>
      </w:r>
      <w:r>
        <w:br/>
      </w:r>
      <w:r>
        <w:rPr>
          <w:rFonts w:ascii="Calibri" w:hAnsi="Calibri"/>
          <w:b/>
          <w:i/>
          <w:sz w:val="23"/>
        </w:rPr>
        <w:t xml:space="preserve"> Reasonable Investor Behavior</w:t>
      </w:r>
    </w:p>
    <w:p>
      <w:pPr>
        <w:spacing w:after="80"/>
      </w:pPr>
      <w:r>
        <w:rPr>
          <w:b w:val="0"/>
          <w:i w:val="0"/>
        </w:rPr>
        <w:t>42 Wake Forest L. Rev. 749, 750, 762–65 (2007)</w:t>
      </w:r>
    </w:p>
    <w:p>
      <w:pPr>
        <w:spacing w:after="80"/>
      </w:pPr>
      <w:r>
        <w:rPr>
          <w:b w:val="0"/>
          <w:i w:val="0"/>
        </w:rPr>
        <w:t>. . . [C]ác tình huống phổ biến liên quan đến đời sống cá nhân của các giám đốc điều hành . . . đặt ra câu hỏi liệu (và nếu có thì ở mức độ nào) các giám đốc điều hành của công ty đại chúng có nên được yêu cầu, thông qua quy định về chứng khoán liên bang, công khai tiết lộ (hoặc tạo điều kiện cho công ty công khai tiết lộ) các sự kiện cá nhân, bao gồm các sự kiện và hành vi.</w:t>
      </w:r>
    </w:p>
    <w:p>
      <w:pPr>
        <w:spacing w:after="80"/>
      </w:pPr>
      <w:r>
        <w:rPr>
          <w:b w:val="0"/>
          <w:i w:val="0"/>
        </w:rPr>
        <w:t>* * *</w:t>
      </w:r>
    </w:p>
    <w:p>
      <w:pPr>
        <w:spacing w:after="80"/>
      </w:pPr>
      <w:r>
        <w:rPr>
          <w:b w:val="0"/>
          <w:i w:val="0"/>
        </w:rPr>
        <w:t>2. Các sự kiện cá nhân về giám đốc điều hành có thể trọng yếu trên nhiều cơ sở khác nhau</w:t>
      </w:r>
    </w:p>
    <w:p>
      <w:pPr>
        <w:spacing w:after="80"/>
      </w:pPr>
      <w:r>
        <w:rPr>
          <w:b w:val="0"/>
          <w:i w:val="0"/>
        </w:rPr>
        <w:t>Cho rằng các câu hỏi về công bố thông tin đối với các sự kiện cá nhân của giám đốc điều hành thường liên quan đến việc tuân thủ các quy tắc bổ khuyết (gap-filling) và chống gian lận (antifraud) và rằng tính trọng yếu là yếu tố sống còn trong các quyết định công bố thông tin theo các quy tắc này, điều quan trọng là phải hiểu các cơ sở khả thi cho tính trọng yếu của các sự kiện cá nhân về giám đốc điều hành. Các sự kiện cá nhân về một giám đốc điều hành có thể quan trọng đối với một nhà đầu tư hợp lý hoặc có tác động đáng kể đến thông tin công khai sẵn có vì chúng có thể chỉ ra khả năng công ty sẽ không có được sự phục vụ của giám đốc điều hành đó, dù tạm thời hay vĩnh viễn. Ví dụ, nếu một giám đốc điều hành tham gia với tư cách một bên trong một phiên tòa hình sự hoặc dân sự, giám đốc điều hành đó sẽ mất thời gian xa rời nhiệm vụ của mình đối với công ty trong khoảng thời gian đó. Và một bản án kết tội trong một phiên tòa hình sự có thể dẫn đến việc giám đốc điều hành phải ngồi tù hoặc bị giam giữ khác khiến người đó xa rời văn phòng, có thể trong một khoảng thời gian dài hơn. Tương tự, bệnh nặng hoặc bệnh nan y đòi hỏi phải điều trị và thời gian hồi phục, và nếu việc điều trị không chữa khỏi hoàn toàn tình trạng bệnh, có thể dẫn đến tàn tật vĩnh viễn, mất năng lực hoặc tử vong. Những ảnh hưởng này của bệnh tật hạn chế hoặc chấm dứt khả năng cung cấp dịch vụ cho công ty của giám đốc điều hành. Các nhà đầu tư có thể thấy sự vắng mặt của một giám đốc điều hành đặc biệt quan trọng khi đưa ra quyết định đầu tư vào chứng khoán của một công ty nếu giám đốc điều hành đó có chuyên môn độc đáo hoặc kỹ năng chuyên biệt then chốt đối với hoạt động thành công của công ty. Nói chung, sự vắng mặt của một giám đốc điều hành có nhiều khả năng được một nhà đầu tư hợp lý coi là quan trọng hơn nếu các chức năng quản lý hoặc chức năng khác của người đó không được người khác đảm nhiệm thỏa đáng hoặc giám đốc điều hành đó tiếp tục nhận thù lao từ công ty trong thời gian vắng mặt khỏi các nhiệm vụ công ty của mình.</w:t>
      </w:r>
    </w:p>
    <w:p>
      <w:pPr>
        <w:spacing w:after="80"/>
      </w:pPr>
      <w:r>
        <w:rPr>
          <w:b w:val="0"/>
          <w:i w:val="0"/>
        </w:rPr>
        <w:t>Tuy nhiên, những hạn chế về khả năng phục vụ không phải là cơ sở tiềm năng duy nhất cho tính trọng yếu của các sự kiện cá nhân về giám đốc điều hành. Thông tin cá nhân về các giám đốc điều hành cũng có thể quan trọng đối với một nhà đầu tư hợp lý hoặc có tác động đáng kể đến thông tin công khai sẵn có vì giám đốc điều hành đó có những thuộc tính độc đáo mang lại lợi ích cho công ty độc lập với khả năng và mức độ sẵn sàng phục vụ tổng thể của người đó. Ví dụ, khi danh tiếng của giám đốc điều hành và công ty gắn liền với nhau, đặc biệt là vì danh tính của giám đốc điều hành thực chất chính là thương hiệu của công ty hoặc giám đốc điều hành đó mang tính biểu tượng theo cách khác, thì các sự kiện cá nhân về giám đốc điều hành có thể quan trọng hơn đối với các nhà đầu tư hoặc có tác động thông tin đáng kể hơn. Ngoài ra, độ tin cậy hoặc tính chính trực của một số thành viên chủ chốt trong ban điều hành có thể tạo thành cơ sở cho việc xác định tính trọng yếu, tùy thuộc vào thông tin cá nhân đang được đề cập.</w:t>
      </w:r>
    </w:p>
    <w:p>
      <w:pPr>
        <w:spacing w:after="80"/>
      </w:pPr>
      <w:r>
        <w:rPr>
          <w:b w:val="0"/>
          <w:i w:val="0"/>
        </w:rPr>
        <w:t>Suy cho cùng, tính trọng yếu của những thông tin cá nhân về các giám đốc điều hành được xác định trên bất kỳ cơ sở nào trong số này sẽ phụ thuộc vào việc đánh giá những năng lực hay phẩm chất cụ thể của giám đốc đó, tầm quan trọng của họ (về mặt tài chính hay các phương diện khác) đối với giá trị của công ty đại chúng mà giám đốc đó phục vụ, và thị trường nhân tài điều hành. Nếu giám đốc đó dễ thay thế hơn (có thể thay thế dễ dàng mà không gây tốn kém đáng kể cho công ty), thì thông tin cá nhân của người đó nên ít quan trọng hơn đối với nhà đầu tư hoặc ít có ý nghĩa hơn đối với tổng thể các thông tin sẵn có. Mặc dù hầu như mọi công ty đại chúng chắc chắn sẽ, nếu được hỏi, khẳng định rằng tổng giám đốc điều hành và các giám đốc chủ chốt khác rất quan trọng đối với hoạt động kinh doanh của mình, nhưng nhiều công ty, nếu không suy nghĩ kỹ càng, sẽ không thể chỉ ra chính xác vì sao. Trong nhiều trường hợp, các giám đốc điều hành tương đối dễ thay thế, ngay cả khi họ tài năng, thông minh và am hiểu về công ty cũng như hoạt động kinh doanh của công ty.</w:t>
      </w:r>
    </w:p>
    <w:p>
      <w:pPr>
        <w:spacing w:after="80"/>
      </w:pPr>
      <w:r>
        <w:rPr>
          <w:b w:val="0"/>
          <w:i w:val="0"/>
        </w:rPr>
        <w:t>3. Những thông tin cá nhân về giám đốc điều hành ít có khả năng mang tính trọng yếu hơn so với thông tin về công ty</w:t>
      </w:r>
    </w:p>
    <w:p>
      <w:pPr>
        <w:spacing w:after="80"/>
      </w:pPr>
      <w:r>
        <w:rPr>
          <w:b w:val="0"/>
          <w:i w:val="0"/>
        </w:rPr>
        <w:t>Ngay cả khi một giám đốc điều hành không dễ thay thế, những thông tin cá nhân về giám đốc đó vẫn ít có khả năng quan trọng đối với nhà đầu tư hợp lý hoặc ít có ý nghĩa hơn đối với tổng thể các thông tin sẵn có so với thông tin về công ty. Những thông tin cá nhân của giám đốc điều hành ít có khả năng liên quan trực tiếp đến giá trị cốt lõi của công ty và ít có khả năng tác động đến hành vi của công ty (ngoài khả năng có sự thay đổi trong trách nhiệm quản lý của giám đốc đó hoặc việc chấm dứt vai trò quản lý hay tình trạng việc làm của giám đốc đó). Giá trị của một công ty đại chúng đối với cổ đông và những người khác bao gồm nhiều thành tố và có thể được đo lường theo vô số cách. Nhưng có thể khẳng định chắc chắn rằng hầu hết những thông tin cá nhân về giám đốc điều hành đều ít tác động đến tài sản, khả năng sinh lời, tính ổn định, thu nhập hay tiềm năng tăng trưởng, hiệu quả hoạt động (theo bất kỳ thước đo nào), hay bất kỳ chỉ số giá trị nội tại cơ bản nào khác của công ty khi so sánh với thông tin về sản phẩm hoặc dịch vụ, tình hình tài chính, hay kết quả hoạt động kinh doanh của công ty. Tất nhiên, việc công bố công khai một thông tin cá nhân về giám đốc điều hành có thể ảnh hưởng đến giá cổ phiếu của công ty trong ngắn hạn, nhưng tác động giá đó không nhất thiết cho thấy thông tin cá nhân đó là trọng yếu.</w:t>
      </w:r>
    </w:p>
    <w:p>
      <w:pPr>
        <w:spacing w:after="80"/>
      </w:pPr>
      <w:r>
        <w:rPr>
          <w:b w:val="0"/>
          <w:i w:val="0"/>
        </w:rPr>
        <w:t>Những thông tin cá nhân về các giám đốc điều hành của công ty đại chúng cũng ít có khả năng mang tính quan trọng về mặt định tính đối với công ty đại chúng. Mặc dù SEC đã thúc đẩy khả năng rằng những thông tin liên quan đến năng lực quản lý, độ tin cậy và tính chính trực có thể là trọng yếu, nhưng có rất ít án lệ thể hiện rõ ràng sự ủng hộ đối với tính trọng yếu định tính. Trên thực tế, ít nhất một vụ án dường như bác bỏ thẳng thừng tính trọng yếu định tính, lưu ý rằng SEC có thể và nên quy định việc công bố bắt buộc trong những lĩnh vực làm dấy lên khả năng có các khiếu nại về tính trọng yếu định tính. Dựa trên án lệ hiện hành, tính trọng yếu định tính có nhiều khả năng tồn tại nhất khi các thông tin bao gồm việc che giấu các giao dịch tư lợi hoặc các hoạt động bất hợp pháp. Tuy nhiên, các khiếu nại về tư lợi không thể được chuyển đổi từ khiếu nại về nghĩa vụ ủy thác theo luật tiểu bang thành khiếu nại về gian lận chứng khoán liên bang mà không có các cáo buộc về thao túng hoặc lừa dối (bao gồm chủ yếu là các công bố sai lệch hoặc gây nhầm lẫn).</w:t>
      </w:r>
    </w:p>
    <w:p>
      <w:pPr>
        <w:pStyle w:val="Heading5"/>
      </w:pPr>
      <w:r>
        <w:rPr>
          <w:rFonts w:ascii="Calibri" w:hAnsi="Calibri"/>
          <w:b/>
          <w:i/>
          <w:sz w:val="22"/>
        </w:rPr>
        <w:t>Bình luận và Câu hỏi</w:t>
      </w:r>
    </w:p>
    <w:p>
      <w:pPr>
        <w:spacing w:after="80"/>
      </w:pPr>
      <w:r>
        <w:rPr>
          <w:b w:val="0"/>
          <w:i w:val="0"/>
        </w:rPr>
        <w:t>1. Bạn nghĩ gì về cuộc tranh luận này? Phải chăng học thuyết về tính chính trực của ban quản lý đã chết vì “lẽ thường”?</w:t>
      </w:r>
    </w:p>
    <w:p>
      <w:pPr>
        <w:spacing w:after="80"/>
      </w:pPr>
      <w:r>
        <w:rPr>
          <w:b w:val="0"/>
          <w:i w:val="0"/>
        </w:rPr>
        <w:t xml:space="preserve">2. Một số ví dụ về “thông tin về giám đốc điều hành” có thể vượt qua ngưỡng trọng yếu là gì? Một số ví dụ về các CEO có tầm quan trọng đặc biệt đối với công ty và do đó làm dấy lên những lo ngại cao hơn về tính trọng yếu là gì? Liệu một bản thuyết trình ủy quyền (proxy statement) có phải công bố tình hình tài chính cá nhân của CEO khi ông ta sở hữu hơn 5% cổ phần của công ty và tiết lộ rằng số cổ phần đó nằm trong một tài khoản ký quỹ (margin account) hay không? Thông tin như vậy được cho là có liên quan đến việc liệu ông ta hoặc bà ta có thể đáp ứng lệnh gọi ký quỹ (margin call) mà không phải bán số cổ phần đó hay không. Câu trả lời nằm trong </w:t>
      </w:r>
      <w:r>
        <w:rPr>
          <w:b w:val="0"/>
          <w:i/>
        </w:rPr>
        <w:t>United Food and Commercial Workers Union v. Chesapeake Energy Corp.</w:t>
      </w:r>
      <w:r>
        <w:rPr>
          <w:b w:val="0"/>
          <w:i w:val="0"/>
        </w:rPr>
        <w:t xml:space="preserve"> , 726 F.3d 1158 (10th Cir. 2014) (CEO đã bán cổ phần trong nhiều ngày để đáp ứng lệnh gọi ký quỹ).</w:t>
      </w:r>
    </w:p>
    <w:p>
      <w:pPr>
        <w:spacing w:after="80"/>
      </w:pPr>
      <w:r>
        <w:rPr>
          <w:b w:val="0"/>
          <w:i w:val="0"/>
        </w:rPr>
        <w:t xml:space="preserve">3. Còn những sai lệch phát sinh từ các quyền chọn cổ phiếu được ghi lùi ngày (backdated stock options) thì sao? Mặc dù việc ghi lùi ngày tự nó không phải là bất hợp pháp, nhưng nó thường đi kèm với các tài liệu bị làm giả và các sai lệch. Trong chừng mực việc ghi lùi ngày thực sự có tác động đáng kể đến thu nhập của công ty, các tòa án đã không mấy khó khăn để xác định thông tin đó là trọng yếu. </w:t>
      </w:r>
      <w:r>
        <w:rPr>
          <w:b w:val="0"/>
          <w:i/>
        </w:rPr>
        <w:t>Xem U.S. v. Reyes</w:t>
      </w:r>
      <w:r>
        <w:rPr>
          <w:b w:val="0"/>
          <w:i w:val="0"/>
        </w:rPr>
        <w:t xml:space="preserve"> , 2009 U.S. App. LEXIS 24575 (9th Cir. Nov. 5, 2009) (việc không ghi nhận chi phí đối với các quyền chọn được ghi lùi ngày dẫn đến việc công ty báo cáo lợi nhuận thay vì lỗ). Điều gì sẽ xảy ra nếu sai lệch đó chỉ có tác động không đáng kể đến thu nhập? Liệu chúng có thể liên quan đến tính chính trực của ban quản lý không?</w:t>
      </w:r>
    </w:p>
    <w:p>
      <w:pPr>
        <w:spacing w:after="80"/>
      </w:pPr>
      <w:r>
        <w:rPr>
          <w:b w:val="0"/>
          <w:i w:val="0"/>
        </w:rPr>
        <w:t>4. Còn sự căng thẳng giữa loại thông tin này và quyền riêng tư thì sao? Liệu luật chứng khoán có nên làm tốt hơn trong việc tôn trọng quyền riêng tư của các nhà quản lý doanh nghiệp không? Điều đó sẽ có tác động gì đến nhà đầu tư và cổ đông?</w:t>
      </w:r>
    </w:p>
    <w:p>
      <w:pPr>
        <w:spacing w:after="80"/>
      </w:pPr>
      <w:r>
        <w:rPr>
          <w:b w:val="0"/>
          <w:i w:val="0"/>
        </w:rPr>
        <w:t>5. Ủy ban (Commission) có thể không đề cập đến “tính chính trực của ban quản lý” nhưng lại sử dụng đáng kể tính trọng yếu định tính. Tính trọng yếu định tính xem xét tất cả các sự kiện và tình huống xung quanh thông tin bị bỏ sót hoặc bị trình bày sai để xác định liệu thông tin bị bỏ sót đó có quan trọng đối với một nhà đầu tư hợp lý hay không. Do đó, ví dụ, Ủy ban đã đưa ra quan điểm rằng việc chỉ dựa vào các ngưỡng định lượng để xác định tính trọng yếu “không có cơ sở trong tài liệu kế toán hay trong luật.” Staff Accounting Bulletin No. 99 (Aug. 19, 1999). Liệu có thể lập luận rằng đây chính là học thuyết về tính chính trực của ban quản lý dưới một cái tên khác không?</w:t>
      </w:r>
    </w:p>
    <w:p>
      <w:pPr>
        <w:spacing w:after="80"/>
      </w:pPr>
      <w:r>
        <w:rPr>
          <w:b w:val="0"/>
          <w:i w:val="0"/>
        </w:rPr>
        <w:t xml:space="preserve">6. Thật vậy, cách tiếp cận rộng rãi đối với tính trọng yếu trong SAB 99 đã gây ra một số căng thẳng ngay trong nội bộ Ủy ban. Một số ủy viên đã không đồng tình với cách tiếp cận này. </w:t>
      </w:r>
      <w:r>
        <w:rPr>
          <w:b w:val="0"/>
          <w:i/>
        </w:rPr>
        <w:t>Xem</w:t>
      </w:r>
      <w:r>
        <w:rPr>
          <w:b w:val="0"/>
          <w:i w:val="0"/>
        </w:rPr>
        <w:t xml:space="preserve"> Bài phát biểu của Ủy viên SEC: Remarks to the ‘SEC Speaks in 2008’ Program of the Practising Law Institute, của Ủy viên Paul S. Atkins, </w:t>
      </w:r>
      <w:r>
        <w:rPr>
          <w:b w:val="0"/>
          <w:i/>
        </w:rPr>
        <w:t>U.S. Securities and Exchange Commission</w:t>
      </w:r>
      <w:r>
        <w:rPr>
          <w:b w:val="0"/>
          <w:i w:val="0"/>
        </w:rPr>
        <w:t xml:space="preserve"> , Washington, D.C., February 8, 2008, (mô tả SAB 99 là đã “làm mờ” việc phân tích tính trọng yếu và dẫn đến việc công bố “một trận lở tuyết thông tin vụn vặt”). Bạn nghĩ gì về sự chia rẽ này trong nội bộ Ủy ban và chính bình luận đó?</w:t>
      </w:r>
    </w:p>
    <w:p>
      <w:pPr>
        <w:spacing w:after="80"/>
      </w:pPr>
      <w:r>
        <w:rPr>
          <w:b w:val="0"/>
          <w:i w:val="0"/>
        </w:rPr>
        <w:t xml:space="preserve">7. Mặt khác, các tòa án lại ít mâu thuẫn hơn và nhìn chung đã chấp thuận lập luận trong SAB 99. </w:t>
      </w:r>
      <w:r>
        <w:rPr>
          <w:b w:val="0"/>
          <w:i/>
        </w:rPr>
        <w:t>Xem ECA &amp; Local 134 IBEW Joint Pension Trust of Chi. v. JP Morgan Chase</w:t>
      </w:r>
      <w:r>
        <w:rPr>
          <w:b w:val="0"/>
          <w:i w:val="0"/>
        </w:rPr>
        <w:t xml:space="preserve"> , 553 F.3d 187, 197–98 (2d Cir. 2009) (mô tả SAB 99 là đưa ra “các yếu tố định tính” và áp dụng chúng vào các sự kiện của vụ án).</w:t>
      </w:r>
    </w:p>
    <w:p>
      <w:pPr>
        <w:pStyle w:val="Heading2"/>
      </w:pPr>
      <w:r>
        <w:rPr>
          <w:rFonts w:ascii="Calibri" w:hAnsi="Calibri"/>
          <w:b/>
          <w:i w:val="0"/>
          <w:sz w:val="32"/>
        </w:rPr>
        <w:t>IV. Công bố thông tin và Trách nhiệm xã hội của doanh nghiệp</w:t>
      </w:r>
    </w:p>
    <w:p>
      <w:pPr>
        <w:spacing w:after="80"/>
      </w:pPr>
      <w:r>
        <w:rPr>
          <w:b w:val="0"/>
          <w:i w:val="0"/>
        </w:rPr>
        <w:t xml:space="preserve">SEC luôn xem sứ mệnh công bố thông tin của mình bị giới hạn bởi lợi ích của cổ đông và nhà đầu tư. Mục tiêu của việc công bố thông tin về cơ bản là đảm bảo việc ra quyết định được đầy đủ thông tin, dù trong bối cảnh mua/bán chứng khoán hay bỏ phiếu về các vấn đề được đệ trình lên cổ đông. Ủy ban không xem việc công bố thông tin cho các bên liên quan khác, bao gồm công chúng, là một phần của sứ mệnh này. Do đó, việc công bố thông tin phần lớn tập trung vào “thông tin về công ty, hoạt động kinh doanh của công ty và ban quản lý của công ty một cách định kỳ và khi xảy ra các sự kiện được chỉ định.” Alison B. Miller, </w:t>
      </w:r>
      <w:r>
        <w:rPr>
          <w:b w:val="0"/>
          <w:i/>
        </w:rPr>
        <w:t>Navigating the Disclosure Dilemma: Corporate Illegality and the Federal Securities Laws</w:t>
      </w:r>
      <w:r>
        <w:rPr>
          <w:b w:val="0"/>
          <w:i w:val="0"/>
        </w:rPr>
        <w:t xml:space="preserve"> , 102 GEO . L.J. 1647, 1652 (2014).</w:t>
      </w:r>
    </w:p>
    <w:p>
      <w:pPr>
        <w:spacing w:after="80"/>
      </w:pPr>
      <w:r>
        <w:rPr>
          <w:b w:val="0"/>
          <w:i w:val="0"/>
        </w:rPr>
        <w:t xml:space="preserve">Phần lớn thì đây là cách hiểu được chấp nhận về vai trò của SEC, mặc dù các ngoại lệ luôn tồn tại. Quốc hội đã trao cho SEC quyền giám sát các vụ hối lộ nước ngoài trong Đạo luật về Thực hành Hối lộ Nước ngoài (Foreign Corrupt Practices Act). Vai trò này ít liên quan đến lợi ích của cổ đông và nhà đầu tư mà thiên về việc áp đặt các chuẩn mực hành vi mang tính thực chất lên các doanh nghiệp và đại diện của họ. Tương tự, SEC từ lâu đã cho phép diễn ra các cuộc tranh luận gay gắt về những vấn đề chính sách công quan trọng thông qua quy tắc đề xuất của cổ đông. </w:t>
      </w:r>
      <w:r>
        <w:rPr>
          <w:b w:val="0"/>
          <w:i/>
        </w:rPr>
        <w:t>Xem</w:t>
      </w:r>
      <w:r>
        <w:rPr>
          <w:b w:val="0"/>
          <w:i w:val="0"/>
        </w:rPr>
        <w:t xml:space="preserve"> Rule 14a-8, 17 CFR 240.14a-8.</w:t>
      </w:r>
    </w:p>
    <w:p>
      <w:pPr>
        <w:spacing w:after="80"/>
      </w:pPr>
      <w:r>
        <w:rPr>
          <w:b w:val="0"/>
          <w:i w:val="0"/>
        </w:rPr>
        <w:t>Tuy nhiên, áp lực vẫn tiếp tục gia tăng đòi hỏi phải công bố nhiều hơn về những vấn đề quan trọng đối với công chúng. Một phần, áp lực này đến từ các cổ đông, đặc biệt là những cổ đông đầu tư vào các công ty đáp ứng các tiêu chí về trách nhiệm xã hội. Áp lực cũng đến từ công chúng. Hơn nữa, vì các thành viên của công chúng cũng có thể là nhà đầu tư hoặc cổ đông, nên việc phân biệt giữa hai nhóm lợi ích này không phải lúc nào cũng dễ dàng.</w:t>
      </w:r>
    </w:p>
    <w:p>
      <w:pPr>
        <w:spacing w:after="80"/>
      </w:pPr>
      <w:r>
        <w:rPr>
          <w:b w:val="0"/>
          <w:i w:val="0"/>
        </w:rPr>
        <w:t>Việc áp dụng các yêu cầu công bố thông tin trong những lĩnh vực này làm dấy lên nhiều lo ngại. Thứ nhất, khi tách rời khỏi lợi ích của cổ đông và nhà đầu tư, SEC thực chất thiếu một bộ nguyên tắc định hướng nhằm giới hạn bản chất và phạm vi của sứ mệnh công bố thông tin. Thứ hai, những vấn đề ít liên quan đến hoạt động kinh tế của công ty nhưng lại quan trọng với một bộ phận công chúng có thể làm nảy sinh các vấn đề nhạy cảm chính trị đáng kể. Kết quả có thể là sự phản đối từ Quốc hội, thể hiện dưới hình thức các hình phạt lập pháp, bao gồm luật hạn chế hoặc cấp ngân sách không đầy đủ cho cơ quan này. Thứ ba, khi các yêu cầu công bố thông tin xuất phát từ Quốc hội, chúng có thể phản ánh lợi ích của cử tri hơn là của chủ sở hữu và người quản lý. Như vậy, chúng có thể không vì lợi ích tốt nhất của cổ đông.</w:t>
      </w:r>
    </w:p>
    <w:p>
      <w:pPr>
        <w:spacing w:after="80"/>
      </w:pPr>
      <w:r>
        <w:rPr>
          <w:b w:val="0"/>
          <w:i w:val="0"/>
        </w:rPr>
        <w:t>Ủy ban đã giải quyết những vấn đề này trong ít nhất ba bối cảnh: (1) công bố thông tin về tác động của biến đổi khí hậu; (2) công bố thông tin về các khoản đóng góp chính trị và chi phí vận động hành lang của các công ty đại chúng; và (3) công bố thông tin về việc sử dụng các khoáng sản có thể được cung cấp bởi các bên tham chiến tại Cộng hòa Dân chủ Congo. Ủy ban đã phản hồi mỗi ví dụ này theo một cách rất khác nhau.</w:t>
      </w:r>
    </w:p>
    <w:p>
      <w:pPr>
        <w:pStyle w:val="Heading3"/>
      </w:pPr>
      <w:r>
        <w:rPr>
          <w:rFonts w:ascii="Calibri" w:hAnsi="Calibri"/>
          <w:b/>
          <w:i w:val="0"/>
          <w:sz w:val="26"/>
        </w:rPr>
        <w:t>A. Biến đổi khí hậu</w:t>
      </w:r>
    </w:p>
    <w:p>
      <w:pPr>
        <w:spacing w:after="80"/>
      </w:pPr>
      <w:r>
        <w:rPr>
          <w:b w:val="0"/>
          <w:i w:val="0"/>
        </w:rPr>
        <w:t xml:space="preserve">Ủy ban ngày càng chịu áp lực buộc phải yêu cầu công bố thêm thông tin liên quan đến biến đổi khí hậu. Năm 2007, một liên minh rộng rãi gồm các tổ chức và nhà đầu tư tổ chức đã kiến nghị SEC ban hành một văn bản giải thích "làm rõ rằng thông tin trọng yếu liên quan đến khí hậu phải được đưa vào công bố thông tin của doanh nghiệp theo luật hiện hành." </w:t>
      </w:r>
      <w:r>
        <w:rPr>
          <w:b w:val="0"/>
          <w:i/>
        </w:rPr>
        <w:t>Xem</w:t>
      </w:r>
      <w:r>
        <w:rPr>
          <w:b w:val="0"/>
          <w:i w:val="0"/>
        </w:rPr>
        <w:t xml:space="preserve"> Kiến nghị số 4-547 (ngày 18 tháng 9 năm 2007). Năm 2010, Ủy ban đã phản hồi kiến nghị này.</w:t>
      </w:r>
    </w:p>
    <w:p>
      <w:pPr>
        <w:pStyle w:val="Heading4"/>
      </w:pPr>
      <w:r>
        <w:rPr>
          <w:rFonts w:ascii="Calibri" w:hAnsi="Calibri"/>
          <w:b/>
          <w:i w:val="0"/>
          <w:sz w:val="23"/>
        </w:rPr>
        <w:t>Hướng dẫn của Ủy ban về Công bố thông tin</w:t>
      </w:r>
      <w:r>
        <w:br/>
      </w:r>
      <w:r>
        <w:rPr>
          <w:rFonts w:ascii="Calibri" w:hAnsi="Calibri"/>
          <w:b/>
          <w:i w:val="0"/>
          <w:sz w:val="23"/>
        </w:rPr>
        <w:t xml:space="preserve"> Liên quan đến Biến đổi khí hậu</w:t>
      </w:r>
    </w:p>
    <w:p>
      <w:pPr>
        <w:spacing w:after="80"/>
      </w:pPr>
      <w:r>
        <w:rPr>
          <w:b w:val="0"/>
          <w:i w:val="0"/>
        </w:rPr>
        <w:t>Exchange Act Release No. 61469 (ngày 2 tháng 2 năm 2010)</w:t>
      </w:r>
    </w:p>
    <w:p>
      <w:pPr>
        <w:spacing w:after="80"/>
      </w:pPr>
      <w:r>
        <w:rPr>
          <w:b w:val="0"/>
          <w:i w:val="0"/>
        </w:rPr>
        <w:t>IV. Công bố thông tin liên quan đến biến đổi khí hậu</w:t>
      </w:r>
    </w:p>
    <w:p>
      <w:pPr>
        <w:spacing w:after="80"/>
      </w:pPr>
      <w:r>
        <w:rPr>
          <w:b w:val="0"/>
          <w:i w:val="0"/>
        </w:rPr>
        <w:t>* * *</w:t>
      </w:r>
    </w:p>
    <w:p>
      <w:pPr>
        <w:spacing w:after="80"/>
      </w:pPr>
      <w:r>
        <w:rPr>
          <w:b w:val="0"/>
          <w:i w:val="0"/>
        </w:rPr>
        <w:t>C. Hệ quả gián tiếp của quy định hoặc xu hướng kinh doanh.</w:t>
      </w:r>
    </w:p>
    <w:p>
      <w:pPr>
        <w:spacing w:after="80"/>
      </w:pPr>
      <w:r>
        <w:rPr>
          <w:b w:val="0"/>
          <w:i w:val="0"/>
        </w:rPr>
        <w:t>Những phát triển về pháp lý, công nghệ, chính trị và khoa học liên quan đến biến đổi khí hậu có thể tạo ra cơ hội hoặc rủi ro mới cho các tổ chức đăng ký. Những phát triển này có thể tạo ra nhu cầu đối với sản phẩm hoặc dịch vụ mới, hoặc làm giảm nhu cầu đối với sản phẩm hoặc dịch vụ hiện có. Ví dụ, các hệ quả hoặc cơ hội gián tiếp có thể bao gồm:</w:t>
      </w:r>
    </w:p>
    <w:p>
      <w:pPr>
        <w:spacing w:after="80"/>
        <w:ind w:left="360"/>
      </w:pPr>
      <w:r>
        <w:t xml:space="preserve">• </w:t>
      </w:r>
      <w:r>
        <w:rPr>
          <w:b w:val="0"/>
          <w:i w:val="0"/>
        </w:rPr>
        <w:t>Giảm nhu cầu đối với hàng hóa tạo ra lượng khí thải nhà kính đáng kể;</w:t>
      </w:r>
    </w:p>
    <w:p>
      <w:pPr>
        <w:spacing w:after="80"/>
        <w:ind w:left="360"/>
      </w:pPr>
      <w:r>
        <w:t xml:space="preserve">• </w:t>
      </w:r>
      <w:r>
        <w:rPr>
          <w:b w:val="0"/>
          <w:i w:val="0"/>
        </w:rPr>
        <w:t>Tăng nhu cầu đối với hàng hóa có lượng phát thải thấp hơn so với các sản phẩm cạnh tranh;</w:t>
      </w:r>
    </w:p>
    <w:p>
      <w:pPr>
        <w:spacing w:after="80"/>
        <w:ind w:left="360"/>
      </w:pPr>
      <w:r>
        <w:t xml:space="preserve">• </w:t>
      </w:r>
      <w:r>
        <w:rPr>
          <w:b w:val="0"/>
          <w:i w:val="0"/>
        </w:rPr>
        <w:t>Tăng cạnh tranh để phát triển các sản phẩm mới đổi mới sáng tạo;</w:t>
      </w:r>
    </w:p>
    <w:p>
      <w:pPr>
        <w:spacing w:after="80"/>
        <w:ind w:left="360"/>
      </w:pPr>
      <w:r>
        <w:t xml:space="preserve">• </w:t>
      </w:r>
      <w:r>
        <w:rPr>
          <w:b w:val="0"/>
          <w:i w:val="0"/>
        </w:rPr>
        <w:t>Tăng nhu cầu sản xuất và truyền tải năng lượng từ các nguồn năng lượng thay thế; và</w:t>
      </w:r>
    </w:p>
    <w:p>
      <w:pPr>
        <w:spacing w:after="80"/>
        <w:ind w:left="360"/>
      </w:pPr>
      <w:r>
        <w:t xml:space="preserve">• </w:t>
      </w:r>
      <w:r>
        <w:rPr>
          <w:b w:val="0"/>
          <w:i w:val="0"/>
        </w:rPr>
        <w:t>Giảm nhu cầu đối với các dịch vụ liên quan đến nguồn năng lượng dựa trên carbon, chẳng hạn như dịch vụ khoan hoặc dịch vụ bảo trì thiết bị.</w:t>
      </w:r>
    </w:p>
    <w:p>
      <w:pPr>
        <w:spacing w:after="80"/>
      </w:pPr>
      <w:r>
        <w:rPr>
          <w:b w:val="0"/>
          <w:i w:val="0"/>
        </w:rPr>
        <w:t>Những xu hướng hoặc rủi ro kinh doanh này có thể được yêu cầu công bố như các yếu tố rủi ro hoặc trong MD&amp;A. Trong một số trường hợp, những phát triển này có thể có tác động đủ lớn đến hoạt động kinh doanh của tổ chức đăng ký đến mức việc công bố thông tin có thể được yêu cầu trong phần mô tả hoạt động kinh doanh theo Mục 101 [của Quy định S-K].</w:t>
      </w:r>
    </w:p>
    <w:p>
      <w:pPr>
        <w:spacing w:after="80"/>
      </w:pPr>
      <w:r>
        <w:rPr>
          <w:b w:val="0"/>
          <w:i w:val="0"/>
        </w:rPr>
        <w:t>Ví dụ, một đơn vị đăng ký dự định tái định vị chính mình để tận dụng các cơ hội tiềm năng, chẳng hạn thông qua việc mua lại tài sản quan trọng như nhà máy hoặc thiết bị, có thể được yêu cầu bởi Mục 101(a)(1) phải công bố sự thay đổi này trong kế hoạch hoạt động. Các đơn vị đăng ký nên xem xét các dữ kiện và hoàn cảnh cụ thể của riêng mình khi đánh giá tính trọng yếu của những cơ hội và nghĩa vụ này.</w:t>
      </w:r>
    </w:p>
    <w:p>
      <w:pPr>
        <w:spacing w:after="80"/>
      </w:pPr>
      <w:r>
        <w:rPr>
          <w:b w:val="0"/>
          <w:i w:val="0"/>
        </w:rPr>
        <w:t>Một ví dụ khác về rủi ro gián tiếp tiềm tàng từ biến đổi khí hậu cần được xem xét để công bố yếu tố rủi ro là tác động đến danh tiếng của đơn vị đăng ký. Tùy thuộc vào bản chất hoạt động kinh doanh của đơn vị đăng ký và mức độ nhạy cảm với dư luận, đơn vị đăng ký có thể phải cân nhắc liệu nhận thức của công chúng về bất kỳ dữ liệu công khai nào liên quan đến khí thải nhà kính của mình có thể khiến họ đối mặt với những hậu quả bất lợi tiềm tàng đối với hoạt động kinh doanh hoặc tình hình tài chính do tổn hại danh tiếng hay không.</w:t>
      </w:r>
    </w:p>
    <w:p>
      <w:pPr>
        <w:spacing w:after="80"/>
      </w:pPr>
      <w:r>
        <w:rPr>
          <w:b w:val="0"/>
          <w:i w:val="0"/>
        </w:rPr>
        <w:t>D. Các tác động vật lý của biến đổi khí hậu.</w:t>
      </w:r>
    </w:p>
    <w:p>
      <w:pPr>
        <w:spacing w:after="80"/>
      </w:pPr>
      <w:r>
        <w:rPr>
          <w:b w:val="0"/>
          <w:i w:val="0"/>
        </w:rPr>
        <w:t>Các tác động vật lý đáng kể của biến đổi khí hậu, chẳng hạn như ảnh hưởng đến mức độ khắc nghiệt của thời tiết (ví dụ lũ lụt hoặc bão), mực nước biển, khả năng canh tác của đất nông nghiệp, và nguồn nước sẵn có cùng chất lượng nước, có tiềm năng ảnh hưởng đến hoạt động và kết quả của đơn vị đăng ký. Ví dụ, thời tiết khắc nghiệt có thể gây thiệt hại thảm khốc cho nhà máy và cơ sở vật chất, đồng thời có thể làm gián đoạn quá trình sản xuất và phân phối. Một báo cáo năm 2007 của Văn phòng Trách nhiệm Chính phủ (Government Accountability Office) cho biết 88% tổng thiệt hại tài sản mà các công ty bảo hiểm chi trả từ năm 1980 đến 2005 là do thời tiết. Như đã nêu trong báo cáo GAO, thời tiết khắc nghiệt có thể gây ảnh hưởng tàn phá đến tình hình tài chính của các doanh nghiệp bị ảnh hưởng. Báo cáo GAO trích dẫn một số nguồn để ủng hộ quan điểm rằng các kịch bản thời tiết khắc nghiệt sẽ gia tăng do biến đổi khí hậu gây ra bởi lượng khí nhà kính quá mức.</w:t>
      </w:r>
    </w:p>
    <w:p>
      <w:pPr>
        <w:spacing w:after="80"/>
      </w:pPr>
      <w:r>
        <w:rPr>
          <w:b w:val="0"/>
          <w:i w:val="0"/>
        </w:rPr>
        <w:t>Những hậu quả có thể xảy ra của thời tiết khắc nghiệt bao gồm:</w:t>
      </w:r>
    </w:p>
    <w:p>
      <w:pPr>
        <w:spacing w:after="80"/>
        <w:ind w:left="360"/>
      </w:pPr>
      <w:r>
        <w:t xml:space="preserve">• </w:t>
      </w:r>
      <w:r>
        <w:rPr>
          <w:b w:val="0"/>
          <w:i w:val="0"/>
        </w:rPr>
        <w:t>Đối với các đơn vị đăng ký có hoạt động tập trung ở vùng ven biển, thiệt hại tài sản và gián đoạn hoạt động, bao gồm hoạt động sản xuất hoặc vận chuyển sản phẩm đã sản xuất;</w:t>
      </w:r>
    </w:p>
    <w:p>
      <w:pPr>
        <w:spacing w:after="80"/>
        <w:ind w:left="360"/>
      </w:pPr>
      <w:r>
        <w:t xml:space="preserve">• </w:t>
      </w:r>
      <w:r>
        <w:rPr>
          <w:b w:val="0"/>
          <w:i w:val="0"/>
        </w:rPr>
        <w:t>Các tác động tài chính và vận hành gián tiếp từ việc gián đoạn hoạt động của các khách hàng hoặc nhà cung cấp lớn do thời tiết khắc nghiệt, chẳng hạn như bão hoặc lũ lụt;</w:t>
      </w:r>
    </w:p>
    <w:p>
      <w:pPr>
        <w:spacing w:after="80"/>
        <w:ind w:left="360"/>
      </w:pPr>
      <w:r>
        <w:t xml:space="preserve">• </w:t>
      </w:r>
      <w:r>
        <w:rPr>
          <w:b w:val="0"/>
          <w:i w:val="0"/>
        </w:rPr>
        <w:t>Gia tăng các yêu cầu bồi thường bảo hiểm và trách nhiệm pháp lý đối với các công ty bảo hiểm và tái bảo hiểm;</w:t>
      </w:r>
    </w:p>
    <w:p>
      <w:pPr>
        <w:spacing w:after="80"/>
        <w:ind w:left="360"/>
      </w:pPr>
      <w:r>
        <w:t xml:space="preserve">• </w:t>
      </w:r>
      <w:r>
        <w:rPr>
          <w:b w:val="0"/>
          <w:i w:val="0"/>
        </w:rPr>
        <w:t>Giảm năng lực sản xuất nông nghiệp ở những khu vực bị ảnh hưởng bởi hạn hán hoặc các thay đổi khác liên quan đến thời tiết; và</w:t>
      </w:r>
    </w:p>
    <w:p>
      <w:pPr>
        <w:spacing w:after="80"/>
        <w:ind w:left="360"/>
      </w:pPr>
      <w:r>
        <w:t xml:space="preserve">• </w:t>
      </w:r>
      <w:r>
        <w:rPr>
          <w:b w:val="0"/>
          <w:i w:val="0"/>
        </w:rPr>
        <w:t>Tăng phí bảo hiểm và mức khấu trừ, hoặc giảm khả năng sẵn có của bảo hiểm, đối với các đơn vị đăng ký có nhà máy hoặc hoạt động ở những khu vực chịu thời tiết khắc nghiệt.</w:t>
      </w:r>
    </w:p>
    <w:p>
      <w:pPr>
        <w:spacing w:after="80"/>
      </w:pPr>
      <w:r>
        <w:rPr>
          <w:b w:val="0"/>
          <w:i w:val="0"/>
        </w:rPr>
        <w:t>Các đơn vị đăng ký có hoạt động kinh doanh có thể dễ bị tổn thương trước thời tiết khắc nghiệt hoặc các sự kiện liên quan đến khí hậu nên cân nhắc công bố các rủi ro trọng yếu hoặc hậu quả từ những sự kiện như vậy trong các tài liệu công bố công khai của mình.</w:t>
      </w:r>
    </w:p>
    <w:p>
      <w:pPr>
        <w:pStyle w:val="Heading5"/>
      </w:pPr>
      <w:r>
        <w:rPr>
          <w:rFonts w:ascii="Calibri" w:hAnsi="Calibri"/>
          <w:b/>
          <w:i/>
          <w:sz w:val="22"/>
        </w:rPr>
        <w:t>Bình luận và Câu hỏi</w:t>
      </w:r>
    </w:p>
    <w:p>
      <w:pPr>
        <w:spacing w:after="80"/>
      </w:pPr>
      <w:r>
        <w:rPr>
          <w:b w:val="0"/>
          <w:i w:val="0"/>
        </w:rPr>
        <w:t xml:space="preserve">1. Hướng dẫn về biến đổi khí hậu không phải là nỗ lực đầu tiên của SEC nhằm tăng cường công bố thông tin liên quan đến môi trường. Ủy ban đã bắt đầu đưa ra hướng dẫn trong lĩnh vực này từ những năm 1970. </w:t>
      </w:r>
      <w:r>
        <w:rPr>
          <w:b w:val="0"/>
          <w:i/>
        </w:rPr>
        <w:t>Xem</w:t>
      </w:r>
      <w:r>
        <w:rPr>
          <w:b w:val="0"/>
          <w:i w:val="0"/>
        </w:rPr>
        <w:t xml:space="preserve"> Securities Act Release No. 5170 (ngày 19 tháng 7 năm 1971) (hướng dẫn thảo luận về nghĩa vụ công bố các khoản chi tiêu vốn và kiện tụng liên quan đến các vấn đề môi trường). Các quy định đã được ban hành một thập kỷ sau đó. </w:t>
      </w:r>
      <w:r>
        <w:rPr>
          <w:b w:val="0"/>
          <w:i/>
        </w:rPr>
        <w:t>Xem</w:t>
      </w:r>
      <w:r>
        <w:rPr>
          <w:b w:val="0"/>
          <w:i w:val="0"/>
        </w:rPr>
        <w:t xml:space="preserve"> Securities Act Release No. 6383 (ngày 3 tháng 3 năm 1982). Regulation S-K chứa một số lượng khiêm tốn các yêu cầu rõ ràng trong lĩnh vực này, bao gồm: Mục 103 (nghĩa vụ công bố các thủ tục pháp lý trọng yếu phát sinh theo các quy định được thiết kế để điều chỉnh “việc xả thải vật liệu vào môi trường hoặc chủ yếu nhằm mục đích bảo vệ môi trường”).</w:t>
      </w:r>
    </w:p>
    <w:p>
      <w:pPr>
        <w:spacing w:after="80"/>
      </w:pPr>
      <w:r>
        <w:rPr>
          <w:b w:val="0"/>
          <w:i w:val="0"/>
        </w:rPr>
        <w:t>2. Ai thực sự muốn thông tin này? Nó quan trọng như thế nào đối với nhà đầu tư? Những giới hạn của việc công bố thông tin về biến đổi khí hậu khi dựa vào các yêu cầu hiện hành của SEC là gì?</w:t>
      </w:r>
    </w:p>
    <w:p>
      <w:pPr>
        <w:spacing w:after="80"/>
      </w:pPr>
      <w:r>
        <w:rPr>
          <w:b w:val="0"/>
          <w:i w:val="0"/>
        </w:rPr>
        <w:t>3. Điều này đã hoạt động như thế nào để cải thiện việc công bố thông tin liên quan đến tác động của biến đổi khí hậu? Khi đưa ra hướng dẫn về công bố thông tin biến đổi khí hậu, Ủy ban tuyên bố rằng họ sẽ “theo dõi tác động của bản giải thích này đối với hồ sơ nộp của công ty như một phần trong chương trình xem xét công bố thông tin liên tục của chúng tôi.” Ý tưởng về việc theo dõi liên tục quan trọng như thế nào?</w:t>
      </w:r>
    </w:p>
    <w:p>
      <w:pPr>
        <w:spacing w:after="80"/>
      </w:pPr>
      <w:r>
        <w:rPr>
          <w:b w:val="0"/>
          <w:i w:val="0"/>
        </w:rPr>
        <w:t>4. Theo một báo cáo phân tích việc công bố thông tin về biến đổi khí hậu trong các hồ sơ công khai sau khi có hướng dẫn được trích dẫn ở trên, các nỗ lực của SEC đã không cải thiện được chất lượng của việc công bố thông tin.</w:t>
      </w:r>
    </w:p>
    <w:p>
      <w:pPr>
        <w:spacing w:after="80"/>
      </w:pPr>
      <w:r>
        <w:rPr>
          <w:b w:val="0"/>
          <w:i w:val="0"/>
        </w:rPr>
        <w:t>Trong khi nhiều công ty bắt đầu công bố thông tin liên quan đến khí hậu vào năm 2010 sau khi SEC ban hành hướng dẫn giải thích, tình hình hầu như không được cải thiện kể từ năm 2010. Trên thực tế, điểm số trung bình dành cho các công bố về khí hậu trong mẫu 10-K đã giảm kể từ năm 2010, cho thấy rằng dù nhiều công ty hơn có nói điều gì đó về biến đổi khí hậu, họ lại kém cụ thể hơn trong các công bố năm 2013 so với báo cáo năm 2010. Một số lượng lớn công ty không nói gì về biến đổi khí hậu trong hồ sơ 10-K của mình. Bốn mươi mốt phần trăm công ty thuộc S&amp;P 500 đã không đề cập đến biến đổi khí hậu trong hồ sơ năm 2013 của họ. Các công bố liên quan đến khí hậu của các công ty S&amp;P 500 trong hồ sơ 10-K rất khác nhau về độ dài và chất lượng.</w:t>
      </w:r>
    </w:p>
    <w:p>
      <w:pPr>
        <w:spacing w:after="80"/>
      </w:pPr>
      <w:r>
        <w:rPr>
          <w:b w:val="0"/>
          <w:i/>
        </w:rPr>
        <w:t>Xem</w:t>
      </w:r>
      <w:r>
        <w:rPr>
          <w:b w:val="0"/>
          <w:i w:val="0"/>
        </w:rPr>
        <w:t xml:space="preserve"> Fact Sheet, Reducing Systemic Risks: The Securities &amp; Exchange Commission, Ceres (2014). Bạn nghĩ gì về những kết luận này? Điều đó gợi ý gì về giới hạn của hướng dẫn SEC trong lĩnh vực này? Liệu nó có khả năng xóa bỏ áp lực đòi thêm các yêu cầu công bố thông tin trong lĩnh vực này không?</w:t>
      </w:r>
    </w:p>
    <w:p>
      <w:pPr>
        <w:spacing w:after="80"/>
      </w:pPr>
      <w:r>
        <w:rPr>
          <w:b w:val="0"/>
          <w:i w:val="0"/>
        </w:rPr>
        <w:t>5. Một số con đường khác để tăng cường công bố thông tin liên quan đến biến đổi khí hậu là gì? Còn các đề xuất của cổ đông thì sao? Năm 2014, các đề xuất về biến đổi khí hậu xếp thứ ba, với hơn 50 đề xuất được đệ trình. Điều này có khả năng tạo ra tác động gì?</w:t>
      </w:r>
    </w:p>
    <w:p>
      <w:pPr>
        <w:pStyle w:val="Heading3"/>
      </w:pPr>
      <w:r>
        <w:rPr>
          <w:rFonts w:ascii="Calibri" w:hAnsi="Calibri"/>
          <w:b/>
          <w:i w:val="0"/>
          <w:sz w:val="26"/>
        </w:rPr>
        <w:t>B. Công bố thông tin về các khoản đóng góp chính trị và chi phí vận động hành lang</w:t>
      </w:r>
    </w:p>
    <w:p>
      <w:pPr>
        <w:spacing w:after="80"/>
      </w:pPr>
      <w:r>
        <w:rPr>
          <w:b w:val="0"/>
          <w:i w:val="0"/>
        </w:rPr>
        <w:t xml:space="preserve">Một lĩnh vực khác mà Ủy ban đã phải chịu áp lực đáng kể trong việc thông qua các yêu cầu công bố thông tin có thể mang lại lợi ích cho cổ đông nhưng cũng được một bộ phận công chúng ủng hộ là về các khoản đóng góp chính trị và chi phí vận động hành lang. Áp lực bắt đầu gia tăng sau phán quyết của Tòa án Tối cao trong vụ </w:t>
      </w:r>
      <w:r>
        <w:rPr>
          <w:b w:val="0"/>
          <w:i/>
        </w:rPr>
        <w:t>Citizens United</w:t>
      </w:r>
      <w:r>
        <w:rPr>
          <w:b w:val="0"/>
          <w:i w:val="0"/>
        </w:rPr>
        <w:t xml:space="preserve"> bãi bỏ các hạn chế đối với đóng góp cho chiến dịch tranh cử. Với tỷ lệ 5–4, Tòa án cho rằng các khoản chi tiêu chính trị nên được giải quyết tốt hơn thông qua “dân chủ doanh nghiệp”.</w:t>
      </w:r>
    </w:p>
    <w:p>
      <w:pPr>
        <w:pStyle w:val="Heading4"/>
      </w:pPr>
      <w:r>
        <w:rPr>
          <w:rFonts w:ascii="Calibri" w:hAnsi="Calibri"/>
          <w:b/>
          <w:i w:val="0"/>
          <w:sz w:val="23"/>
        </w:rPr>
        <w:t>Citizens United v. Federal Election Comm'n</w:t>
      </w:r>
    </w:p>
    <w:p>
      <w:pPr>
        <w:spacing w:after="80"/>
      </w:pPr>
      <w:r>
        <w:rPr>
          <w:b w:val="0"/>
          <w:i w:val="0"/>
        </w:rPr>
        <w:t>Tòa án Tối cao Hoa Kỳ</w:t>
      </w:r>
      <w:r>
        <w:br/>
      </w:r>
      <w:r>
        <w:rPr>
          <w:b w:val="0"/>
          <w:i w:val="0"/>
        </w:rPr>
        <w:t xml:space="preserve"> 558 U.S. 310 (2010)</w:t>
      </w:r>
    </w:p>
    <w:p>
      <w:pPr>
        <w:spacing w:after="80"/>
      </w:pPr>
      <w:r>
        <w:rPr>
          <w:b w:val="0"/>
          <w:i w:val="0"/>
        </w:rPr>
        <w:t xml:space="preserve">Chính phủ tiếp tục lập luận rằng các khoản chi tiêu độc lập của doanh nghiệp có thể bị hạn chế vì lợi ích của mình trong việc bảo vệ các cổ đông bất đồng quan điểm khỏi bị buộc phải tài trợ cho phát ngôn chính trị của doanh nghiệp. Lợi ích được viện dẫn này, giống như lý lẽ chống bóp méo của </w:t>
      </w:r>
      <w:r>
        <w:rPr>
          <w:b w:val="0"/>
          <w:i/>
        </w:rPr>
        <w:t>Austin</w:t>
      </w:r>
      <w:r>
        <w:rPr>
          <w:b w:val="0"/>
          <w:i w:val="0"/>
        </w:rPr>
        <w:t xml:space="preserve">, sẽ cho phép Chính phủ cấm cả phát ngôn chính trị của các tập đoàn truyền thông. Xem </w:t>
      </w:r>
      <w:r>
        <w:rPr>
          <w:b w:val="0"/>
          <w:i/>
        </w:rPr>
        <w:t>supra,</w:t>
      </w:r>
      <w:r>
        <w:rPr>
          <w:b w:val="0"/>
          <w:i w:val="0"/>
        </w:rPr>
        <w:t xml:space="preserve"> tại 905—906. Giả sử, chẳng hạn, rằng một cổ đông của một tập đoàn sở hữu một tờ báo không đồng ý với quan điểm chính trị mà tờ báo đó thể hiện. Xem </w:t>
      </w:r>
      <w:r>
        <w:rPr>
          <w:b w:val="0"/>
          <w:i/>
        </w:rPr>
        <w:t>Austin,</w:t>
      </w:r>
      <w:r>
        <w:rPr>
          <w:b w:val="0"/>
          <w:i w:val="0"/>
        </w:rPr>
        <w:t xml:space="preserve"> 494 U.S., tại 687, 110 S.Ct. 1391 (SCALIA, J., phản đối). Theo quan điểm của Chính phủ, sự bất đồng tiềm tàng đó có thể trao cho Chính phủ quyền hạn chế phát ngôn chính trị của tập đoàn truyền thông. Tu chính án thứ nhất không cho phép quyền lực đó. Hơn nữa, có rất ít bằng chứng về sự lạm dụng mà không thể được các cổ đông sửa chữa “thông qua các thủ tục của dân chủ doanh nghiệp”. </w:t>
      </w:r>
      <w:r>
        <w:rPr>
          <w:b w:val="0"/>
          <w:i/>
        </w:rPr>
        <w:t>Bellotti,</w:t>
      </w:r>
      <w:r>
        <w:rPr>
          <w:b w:val="0"/>
          <w:i w:val="0"/>
        </w:rPr>
        <w:t xml:space="preserve"> 435 U.S., tại 794, 98 S.Ct. 1407; xem </w:t>
      </w:r>
      <w:r>
        <w:rPr>
          <w:b w:val="0"/>
          <w:i/>
        </w:rPr>
        <w:t>id.,</w:t>
      </w:r>
      <w:r>
        <w:rPr>
          <w:b w:val="0"/>
          <w:i w:val="0"/>
        </w:rPr>
        <w:t xml:space="preserve"> tại 794, n. 34, 98 S.Ct. 1407.</w:t>
      </w:r>
    </w:p>
    <w:p>
      <w:pPr>
        <w:spacing w:after="80"/>
      </w:pPr>
      <w:r>
        <w:rPr>
          <w:b w:val="0"/>
          <w:i w:val="0"/>
        </w:rPr>
        <w:t>* * *</w:t>
      </w:r>
    </w:p>
    <w:p>
      <w:pPr>
        <w:spacing w:after="80"/>
      </w:pPr>
      <w:r>
        <w:rPr>
          <w:b w:val="0"/>
          <w:i w:val="0"/>
        </w:rPr>
        <w:t xml:space="preserve">Những phản đối của cổ đông [đối với các khoản đóng góp chính trị của doanh nghiệp] được nêu ra thông qua các thủ tục của dân chủ doanh nghiệp, xem </w:t>
      </w:r>
      <w:r>
        <w:rPr>
          <w:b w:val="0"/>
          <w:i/>
        </w:rPr>
        <w:t>Bellotti, supra,</w:t>
      </w:r>
      <w:r>
        <w:rPr>
          <w:b w:val="0"/>
          <w:i w:val="0"/>
        </w:rPr>
        <w:t xml:space="preserve"> tại 794, và n. 34, 98 S.Ct. 1407, có thể hiệu quả hơn ngày nay vì công nghệ hiện đại khiến việc công bố thông tin trở nên nhanh chóng và giàu thông tin. Một hệ thống tài chính chiến dịch kết hợp các khoản chi tiêu độc lập của doanh nghiệp với công bố thông tin hiệu quả chưa từng tồn tại trước ngày hôm nay. Hơn nữa, cần lưu ý rằng nhiều phát hiện của Quốc hội khi thông qua BCRA đều dựa trên một hệ thống không có công bố thông tin đầy đủ. Xem </w:t>
      </w:r>
      <w:r>
        <w:rPr>
          <w:b w:val="0"/>
          <w:i/>
        </w:rPr>
        <w:t>McConnell,</w:t>
      </w:r>
      <w:r>
        <w:rPr>
          <w:b w:val="0"/>
          <w:i w:val="0"/>
        </w:rPr>
        <w:t xml:space="preserve"> 540 U.S., tại 128, 124 S.Ct. 619 (“[C]ông chúng có thể đã không được thông tin đầy đủ về nhà tài trợ của cái gọi là quảng cáo vấn đề”); </w:t>
      </w:r>
      <w:r>
        <w:rPr>
          <w:b w:val="0"/>
          <w:i/>
        </w:rPr>
        <w:t>id.,</w:t>
      </w:r>
      <w:r>
        <w:rPr>
          <w:b w:val="0"/>
          <w:i w:val="0"/>
        </w:rPr>
        <w:t xml:space="preserve"> tại 196–197, 124 S.Ct. 619 (trích dẫn </w:t>
      </w:r>
      <w:r>
        <w:rPr>
          <w:b w:val="0"/>
          <w:i/>
        </w:rPr>
        <w:t>McConnell I,</w:t>
      </w:r>
      <w:r>
        <w:rPr>
          <w:b w:val="0"/>
          <w:i w:val="0"/>
        </w:rPr>
        <w:t xml:space="preserve"> 251 F.Supp.2d, tại 237). Với sự ra đời của Internet, việc công bố kịp thời các khoản chi tiêu có thể cung cấp cho cổ đông và công dân thông tin cần thiết để buộc các tập đoàn và quan chức được bầu phải chịu trách nhiệm về lập trường và những người ủng hộ họ. Cổ đông có thể xác định liệu phát ngôn chính trị của tập đoàn mình có thúc đẩy lợi ích của tập đoàn trong việc tạo lợi nhuận hay không, và công dân có thể thấy liệu các quan chức được bầu có phải là “‘tay trong’ của cái gọi là các thế lực tiền tệ” hay không. 540 U.S., tại 259, 124 S.Ct. 619 (ý kiến của SCALIA, J.); xem </w:t>
      </w:r>
      <w:r>
        <w:rPr>
          <w:b w:val="0"/>
          <w:i/>
        </w:rPr>
        <w:t>*371MCFL, supra,</w:t>
      </w:r>
      <w:r>
        <w:rPr>
          <w:b w:val="0"/>
          <w:i w:val="0"/>
        </w:rPr>
        <w:t xml:space="preserve"> tại 261, 107 S.Ct. 616. Tu chính án thứ nhất bảo vệ phát ngôn chính trị; và việc công bố thông tin cho phép công dân và cổ đông phản ứng với phát ngôn của các thực thể doanh nghiệp theo cách thích hợp. Sự minh bạch này cho phép cử tri đưa ra quyết định sáng suốt và dành trọng lượng thích đáng cho những người phát ngôn và thông điệp khác nhau.</w:t>
      </w:r>
    </w:p>
    <w:p>
      <w:pPr>
        <w:pStyle w:val="Heading4"/>
      </w:pPr>
      <w:r>
        <w:rPr>
          <w:rFonts w:ascii="Calibri" w:hAnsi="Calibri"/>
          <w:b/>
          <w:i w:val="0"/>
          <w:sz w:val="23"/>
        </w:rPr>
        <w:t>Lucian A. Bebchuk &amp; Robert J. Jackson, Jr.,</w:t>
      </w:r>
      <w:r>
        <w:br/>
      </w:r>
      <w:r>
        <w:rPr>
          <w:rFonts w:ascii="Calibri" w:hAnsi="Calibri"/>
          <w:b/>
          <w:i w:val="0"/>
          <w:sz w:val="23"/>
        </w:rPr>
        <w:t xml:space="preserve"> </w:t>
      </w:r>
      <w:r>
        <w:rPr>
          <w:rFonts w:ascii="Calibri" w:hAnsi="Calibri"/>
          <w:b/>
          <w:i/>
          <w:sz w:val="23"/>
        </w:rPr>
        <w:t>Shining Light on Corporate Political Spending</w:t>
      </w:r>
    </w:p>
    <w:p>
      <w:pPr>
        <w:spacing w:after="80"/>
      </w:pPr>
      <w:r>
        <w:rPr>
          <w:b w:val="0"/>
          <w:i w:val="0"/>
        </w:rPr>
        <w:t>101 Geo. L.J. 923 (2013)</w:t>
      </w:r>
    </w:p>
    <w:p>
      <w:pPr>
        <w:spacing w:after="80"/>
      </w:pPr>
      <w:r>
        <w:rPr>
          <w:b w:val="0"/>
          <w:i w:val="0"/>
        </w:rPr>
        <w:t>Chi tiêu chính trị của các công ty đại chúng, và liệu nó có phục vụ lợi ích của cổ đông hay không, là chủ đề của nhiều cuộc tranh luận đáng kể. Tuy nhiên, hiện nay, cuộc tranh luận này diễn ra trong bối cảnh thiếu các dữ kiện quan trọng. Theo luật hiện hành, các công ty đại chúng không bắt buộc phải báo cáo chi tiêu chính trị của mình cho cổ đông, và thường không làm vậy. Do đó, cổ đông không thể biết liệu công ty của mình có chi tiền của nhà đầu tư vào chính trị hay không—và nếu có, thì chi bao nhiêu và cho ai.</w:t>
      </w:r>
    </w:p>
    <w:p>
      <w:pPr>
        <w:spacing w:after="80"/>
      </w:pPr>
      <w:r>
        <w:rPr>
          <w:b w:val="0"/>
          <w:i w:val="0"/>
        </w:rPr>
        <w:t>* * *</w:t>
      </w:r>
    </w:p>
    <w:p>
      <w:pPr>
        <w:spacing w:after="80"/>
      </w:pPr>
      <w:r>
        <w:rPr>
          <w:b w:val="0"/>
          <w:i w:val="0"/>
        </w:rPr>
        <w:t>Các công ty đại chúng có thể, và thực tế có, thực hiện chi tiêu chính trị mà không bao giờ được công bố bằng cách chuyển khoản chi tiêu đó qua các bên trung gian. Các tập đoàn đóng góp cho những thực thể chi những khoản tiền đáng kể cho chính trị, nhưng những bên trung gian này không phải công bố danh tính của các tập đoàn thực hiện những khoản đóng góp đó hoặc số tiền họ đóng góp. Kết quả là, không có thông tin nào trong phạm vi công khai về việc bao nhiêu tiền của một bên trung gian, nếu có, được cung cấp bởi một công ty đại chúng cụ thể. Ngay cả một cổ đông quyết tâm, sẵn sàng thu thập mọi thông tin công khai sẵn có về chi tiêu chính trị của một công ty, cũng sẽ không thể đo lường được bất kỳ khoản chi tiêu nào qua các bên trung gian này. Trong phần này, chúng tôi cho thấy rằng các bên trung gian chi những khoản tiền đáng kể cho chính trị, rằng mức chi tiêu của các bên trung gian cho chính trị đã tăng lên theo thời gian, và rằng có lý do để kết luận rằng một nguồn tài trợ đáng kể cho các bên trung gian đến từ các công ty đại chúng lớn.</w:t>
      </w:r>
    </w:p>
    <w:p>
      <w:pPr>
        <w:spacing w:after="80"/>
      </w:pPr>
      <w:r>
        <w:rPr>
          <w:b w:val="0"/>
          <w:i w:val="0"/>
        </w:rPr>
        <w:t>* * *</w:t>
      </w:r>
    </w:p>
    <w:p>
      <w:pPr>
        <w:spacing w:after="80"/>
      </w:pPr>
      <w:r>
        <w:rPr>
          <w:b w:val="0"/>
          <w:i w:val="0"/>
        </w:rPr>
        <w:t>Ngoài việc chi tiêu thông qua các bên trung gian, các tập đoàn còn được tự do sử dụng tiền của nhà đầu tư để hỗ trợ gián tiếp cho các ứng cử viên chính trị — ví dụ như quảng cáo kêu gọi bầu cho một ứng cử viên cụ thể. Các quy định hiện hành về luật bầu cử, chẳng hạn như những quy định do Ủy ban Bầu cử Liên bang (Federal Election Commission - FEC) ban hành, có thể yêu cầu rằng thông tin về kiểu chi tiêu chính trị của doanh nghiệp này phải được công khai. Tuy nhiên, những quy định này được thiết kế để cung cấp cho công chúng thông tin về các nguồn tài trợ cho từng chính trị gia cụ thể — chứ không phải để cho phép nhà đầu tư đánh giá liệu các công ty đại chúng có đang dùng tiền của cổ đông để thúc đẩy các mục tiêu chính trị hay không.</w:t>
      </w:r>
    </w:p>
    <w:p>
      <w:pPr>
        <w:spacing w:after="80"/>
      </w:pPr>
      <w:r>
        <w:rPr>
          <w:b w:val="0"/>
          <w:i w:val="0"/>
        </w:rPr>
        <w:t>Vì vậy, thông tin về chi tiêu chính trị của doanh nghiệp hiện đang có trong phạm vi công cộng lại nằm rải rác trong các hồ sơ riêng lẻ gửi cho FEC, cơ quan thuế và các quan chức tiểu bang, được trình bày dưới đủ loại định dạng khác nhau, và rất khó để giúp cổ đông có được bức tranh rõ ràng về chi tiêu chính trị của một tập đoàn cụ thể. Việc tập hợp tất cả dữ liệu công khai như vậy cho một công ty nhất định là một nhiệm vụ đầy khó khăn. Nhà đầu tư vào các công ty đại chúng không nên phải gánh chi phí thu thập thông tin này khi mà chính công ty — đơn vị đã có sẵn thông tin — có thể dễ dàng cung cấp nó cho cổ đông. Chính công ty, chứ không phải từng nhà đầu tư riêng lẻ, mới là bên ở vị trí tốt nhất để tập hợp thông tin này một cách hiệu quả.</w:t>
      </w:r>
    </w:p>
    <w:p>
      <w:pPr>
        <w:spacing w:after="80"/>
      </w:pPr>
      <w:r>
        <w:rPr>
          <w:b w:val="0"/>
          <w:i w:val="0"/>
        </w:rPr>
        <w:t>* * *</w:t>
      </w:r>
    </w:p>
    <w:p>
      <w:pPr>
        <w:spacing w:after="80"/>
      </w:pPr>
      <w:r>
        <w:rPr>
          <w:b w:val="0"/>
          <w:i w:val="0"/>
        </w:rPr>
        <w:t>C. TÍNH TRỌNG YẾU</w:t>
      </w:r>
    </w:p>
    <w:p>
      <w:pPr>
        <w:spacing w:after="80"/>
      </w:pPr>
      <w:r>
        <w:rPr>
          <w:b w:val="0"/>
          <w:i w:val="0"/>
        </w:rPr>
        <w:t>Ngoài ra, những người phản đối Kiến nghị (Petition) còn lập luận rằng Ủy ban không có thẩm quyền theo luật định để thông qua các quy định công bố thông tin được đề xuất, bởi vì mức độ chi tiêu chính trị của doanh nghiệp không đủ để đáp ứng tiêu chuẩn trọng yếu (materiality) của luật chứng khoán. Lập luận này đã được Phòng Thương mại Hoa Kỳ (U.S. Chamber of Commerce) đưa ra một cách mạnh mẽ, với tuyên bố rằng thẩm quyền của Ủy ban chỉ giới hạn ở việc buộc công bố các vấn đề trọng yếu và rằng “không có bất kỳ cơ sở nào để cho rằng [thông tin về chi tiêu chính trị] là trọng yếu.”</w:t>
      </w:r>
    </w:p>
    <w:p>
      <w:pPr>
        <w:spacing w:after="80"/>
      </w:pPr>
      <w:r>
        <w:rPr>
          <w:b w:val="0"/>
          <w:i w:val="0"/>
        </w:rPr>
        <w:t>Lập luận này chẳng đóng góp gì mấy cho việc phản đối các quy định yêu cầu công bố chi tiêu chính trị của doanh nghiệp. Thứ nhất, tuyên bố này chỉ đơn thuần khẳng định một mệnh đề thực nghiệm còn gây tranh cãi — rằng chi tiêu của các công ty đại chúng cho chính trị là không đáng kể về mặt tài chính — nhưng lại không đưa ra bất kỳ cơ sở thực tế nào cho khẳng định đó. Thật vậy, bằng chứng được trình bày trong Bài viết này cho thấy số tiền các công ty chi cho chính trị có thể là đáng kể; . . . chỉ riêng chi tiêu của tám bên trung gian tích cực nhất giữa các công ty đại chúng và chính trị đã vượt quá 1,5 tỷ đô la trong giai đoạn từ 2005 đến 2010, một con số chẳng hề nhỏ chút nào. Tất nhiên, cho đến khi các công ty buộc phải công bố chi tiêu chính trị, thì không thể biết được toàn bộ số tiền mà doanh nghiệp chi cho chính trị. Những người phản đối minh bạch trong lĩnh vực này không nên dựa vào việc thiếu công bố thông tin để khẳng định rằng những khoản không được công bố là không đáng kể về mặt kinh tế.</w:t>
      </w:r>
    </w:p>
    <w:p>
      <w:pPr>
        <w:spacing w:after="80"/>
      </w:pPr>
      <w:r>
        <w:rPr>
          <w:b w:val="0"/>
          <w:i w:val="0"/>
        </w:rPr>
        <w:t>Thứ hai, ngay cả khi giả định rằng số tiền các công ty đại chúng chi cho chính trị không ảnh hưởng đáng kể đến kết quả tài chính, thì việc xác định rằng chi tiêu chính trị là trọng yếu về mặt tài chính cũng không phải là điều kiện cần thiết để SEC ban hành quy định buộc công bố khoản chi tiêu đó. Thật vậy, từ lâu nhiều quy định của SEC đã buộc công bố những khoản tiền khó có thể là trọng yếu về mặt tài chính đối với hầu hết các công ty đại chúng lớn. Ví dụ, các quy định của SEC về thù lao ban điều hành yêu cầu công bố “[t]ất cả thù lao” trả cho ban điều hành, bao gồm cả những khoản thù lao không trọng yếu về mặt tài chính đối với công ty; thật vậy, trong một số trường hợp, các quy định này còn minh thị buộc công bố những khoản tiền nhỏ chỉ 25.000 đô la. Tương tự, các quy định của SEC về giao dịch với bên liên quan yêu cầu công bố những khoản tiền nhỏ như chỉ vượt quá 120.000 đô la, mặc dù những khoản như vậy không trọng yếu về mặt tài chính đối với hầu hết các công ty đại chúng lớn.</w:t>
      </w:r>
    </w:p>
    <w:p>
      <w:pPr>
        <w:spacing w:after="80"/>
      </w:pPr>
      <w:r>
        <w:rPr>
          <w:b w:val="0"/>
          <w:i w:val="0"/>
        </w:rPr>
        <w:t>SEC yêu cầu những công bố này bởi vì từ lâu Ủy ban đã công nhận rằng nhà đầu tư hoàn toàn có thể quan tâm đến những vấn đề nằm ngoài mức độ liên quan trực tiếp của chúng đối với lợi nhuận và thua lỗ của công ty. Như chúng tôi đã giải thích, các nhà đầu tư vào công ty đại chúng đã bày tỏ sự quan tâm đáng kể đến việc có thêm thông tin về chi tiêu chính trị tại các công ty mà họ sở hữu. Phù hợp với bằng chứng này, trước đây SEC đã công nhận rằng hoạt động chính trị nằm trong số những vấn đề có thể “quan trọng đối với hoạt động kinh doanh của tổ chức phát hành, ngay cả khi tầm quan trọng đó không thể hiện rõ từ góc độ kinh tế.” Do đó, ngay cả khi những người phản đối. . . . đúng khi cho rằng mức độ tài chính của chi tiêu chính trị của doanh nghiệp tự nó không đủ để đáp ứng tiêu chuẩn trọng yếu của luật chứng khoán, thì sự thật đó cũng không đưa ra cơ sở nào để kết luận rằng SEC thiếu thẩm quyền buộc công bố chi tiêu chính trị của doanh nghiệp.</w:t>
      </w:r>
    </w:p>
    <w:p>
      <w:pPr>
        <w:pStyle w:val="Heading5"/>
      </w:pPr>
      <w:r>
        <w:rPr>
          <w:rFonts w:ascii="Calibri" w:hAnsi="Calibri"/>
          <w:b/>
          <w:i/>
          <w:sz w:val="22"/>
        </w:rPr>
        <w:t>Bình luận và Câu hỏi</w:t>
      </w:r>
    </w:p>
    <w:p>
      <w:pPr>
        <w:spacing w:after="80"/>
      </w:pPr>
      <w:r>
        <w:rPr>
          <w:b w:val="0"/>
          <w:i w:val="0"/>
        </w:rPr>
        <w:t xml:space="preserve">1. Hai tác giả của bài viết này là hai trong số những người ký tên vào một kiến nghị gửi SEC kêu gọi thông qua một quy định buộc công bố các khoản chi liên quan đến chính trị. </w:t>
      </w:r>
      <w:r>
        <w:rPr>
          <w:b w:val="0"/>
          <w:i/>
        </w:rPr>
        <w:t>Xem</w:t>
      </w:r>
      <w:r>
        <w:rPr>
          <w:b w:val="0"/>
          <w:i w:val="0"/>
        </w:rPr>
        <w:t xml:space="preserve"> SEC Petition 4-637 (ngày 3 tháng 8 năm 2011) (“Tuy nhiên, tất cả chúng tôi đều chia sẻ quan điểm rằng thông tin về chi tiêu chính trị của doanh nghiệp là quan trọng đối với cổ đông — và rằng các quy định của Ủy ban nên yêu cầu công bố thông tin này.”). Đến năm 2014, SEC đã nhận được hơn một triệu bình luận kêu gọi công bố thông tin. </w:t>
      </w:r>
      <w:r>
        <w:rPr>
          <w:b w:val="0"/>
          <w:i/>
        </w:rPr>
        <w:t>Xem</w:t>
      </w:r>
      <w:r>
        <w:rPr>
          <w:b w:val="0"/>
          <w:i w:val="0"/>
        </w:rPr>
        <w:t xml:space="preserve"> Corporate Reform Coalition, </w:t>
      </w:r>
      <w:r>
        <w:rPr>
          <w:b w:val="0"/>
          <w:i/>
        </w:rPr>
        <w:t>One Million Comments Urge the SEC to Stop Secret Corporate Political Spending</w:t>
      </w:r>
      <w:r>
        <w:rPr>
          <w:b w:val="0"/>
          <w:i w:val="0"/>
        </w:rPr>
        <w:t xml:space="preserve"> , ngày 4 tháng 9 năm 2014.</w:t>
      </w:r>
    </w:p>
    <w:p>
      <w:pPr>
        <w:spacing w:after="80"/>
      </w:pPr>
      <w:r>
        <w:rPr>
          <w:b w:val="0"/>
          <w:i w:val="0"/>
        </w:rPr>
        <w:t>2. Với sự ủng hộ dành cho việc ban hành quy định như vậy, bạn nghĩ tại sao Ủy ban vẫn chưa hành động?</w:t>
      </w:r>
    </w:p>
    <w:p>
      <w:pPr>
        <w:spacing w:after="80"/>
      </w:pPr>
      <w:r>
        <w:rPr>
          <w:b w:val="0"/>
          <w:i w:val="0"/>
        </w:rPr>
        <w:t xml:space="preserve">3. Bạn nghĩ gì về phân tích tính trọng yếu trong bài viết? Thông tin này có đáp ứng tiêu chuẩn trọng yếu được nêu trong </w:t>
      </w:r>
      <w:r>
        <w:rPr>
          <w:b w:val="0"/>
          <w:i/>
        </w:rPr>
        <w:t>Northway</w:t>
      </w:r>
      <w:r>
        <w:rPr>
          <w:b w:val="0"/>
          <w:i w:val="0"/>
        </w:rPr>
        <w:t xml:space="preserve"> không? Giả sử là có, thì cơ sở để phản đối việc công bố thông tin sẽ là gì?</w:t>
      </w:r>
    </w:p>
    <w:p>
      <w:pPr>
        <w:spacing w:after="80"/>
      </w:pPr>
      <w:r>
        <w:rPr>
          <w:b w:val="0"/>
          <w:i w:val="0"/>
        </w:rPr>
        <w:t xml:space="preserve">4. Liệu những nỗ lực ban hành quy định trong lĩnh vực này có tạo ra những hệ quả chính trị tiêu cực không? </w:t>
      </w:r>
      <w:r>
        <w:rPr>
          <w:b w:val="0"/>
          <w:i/>
        </w:rPr>
        <w:t>Xem</w:t>
      </w:r>
      <w:r>
        <w:rPr>
          <w:b w:val="0"/>
          <w:i w:val="0"/>
        </w:rPr>
        <w:t xml:space="preserve"> Financial Services and General Government Appropriations, H. Rep. 113-508, Quốc hội khóa 113, ngày 2 tháng 7 năm 2014 (“Ủy ban đưa vào ngôn ngữ cấm cấp ngân sách cho Ủy ban Chứng khoán và Giao dịch để buộc công bố các khoản đóng góp chính trị, các khoản đóng góp cho các tổ chức được miễn thuế, hoặc các khoản phí hội viên trả cho các hiệp hội thương mại.”).</w:t>
      </w:r>
    </w:p>
    <w:p>
      <w:pPr>
        <w:spacing w:after="80"/>
      </w:pPr>
      <w:r>
        <w:rPr>
          <w:b w:val="0"/>
          <w:i w:val="0"/>
        </w:rPr>
        <w:t>5. Việc công bố loại thông tin này có thể thực sự gây hại cho cổ đông không? Còn những khoản hối lộ trả cho quan chức chính phủ ở các quốc gia khác thì sao?</w:t>
      </w:r>
    </w:p>
    <w:p>
      <w:pPr>
        <w:pStyle w:val="Heading3"/>
      </w:pPr>
      <w:r>
        <w:rPr>
          <w:rFonts w:ascii="Calibri" w:hAnsi="Calibri"/>
          <w:b/>
          <w:i w:val="0"/>
          <w:sz w:val="26"/>
        </w:rPr>
        <w:t>C. Công bố thông tin, Khoáng sản xung đột và Tu chính án thứ nhất</w:t>
      </w:r>
    </w:p>
    <w:p>
      <w:pPr>
        <w:spacing w:after="80"/>
      </w:pPr>
      <w:r>
        <w:rPr>
          <w:b w:val="0"/>
          <w:i w:val="0"/>
        </w:rPr>
        <w:t>Tiếp theo là những trường hợp mà việc công bố thông tin chủ yếu giải quyết các vấn đề xã hội và SEC chỉ đơn thuần được chỉ thị phải thông qua các yêu cầu công bố thông tin. Trong Dodd-Frank, Quốc hội yêu cầu áp đặt các yêu cầu công bố thông tin đối với những vấn đề có thể nói là chỉ có tầm quan trọng lề mề đối với nhà đầu tư. Việc công bố thông tin được thiết kế để giải quyết những vấn đề như vi phạm nhân quyền và tham nhũng. Hơn nữa, người ta kỳ vọng rằng việc công bố thông tin sẽ làm thay đổi hành vi của doanh nghiệp. Đây chính là trường hợp, ví dụ, đối với việc sử dụng khoáng sản xung đột.</w:t>
      </w:r>
    </w:p>
    <w:p>
      <w:pPr>
        <w:spacing w:after="80"/>
      </w:pPr>
      <w:r>
        <w:rPr>
          <w:b w:val="0"/>
          <w:i w:val="0"/>
        </w:rPr>
        <w:t>Trong những thách thức nổi lên sau khi áp dụng quy định về khoáng sản xung đột (Rule 13p-1, 17 CFR 240.13p-1), các nguyên đơn lập luận rằng một số khía cạnh của quy định này vi phạm Tu chính án thứ nhất.</w:t>
      </w:r>
    </w:p>
    <w:p>
      <w:pPr>
        <w:pStyle w:val="Heading4"/>
      </w:pPr>
      <w:r>
        <w:rPr>
          <w:rFonts w:ascii="Calibri" w:hAnsi="Calibri"/>
          <w:b/>
          <w:i w:val="0"/>
          <w:sz w:val="23"/>
        </w:rPr>
        <w:t>Hiệp hội Các nhà sản xuất Quốc gia kiện SEC</w:t>
      </w:r>
    </w:p>
    <w:p>
      <w:pPr>
        <w:spacing w:after="80"/>
      </w:pPr>
      <w:r>
        <w:rPr>
          <w:b w:val="0"/>
          <w:i w:val="0"/>
        </w:rPr>
        <w:t>Tòa phúc thẩm Hoa Kỳ, Vòng D.C.</w:t>
      </w:r>
      <w:r>
        <w:br/>
      </w:r>
      <w:r>
        <w:rPr>
          <w:b w:val="0"/>
          <w:i w:val="0"/>
        </w:rPr>
        <w:t xml:space="preserve"> 748 F.3d 359 (2014)</w:t>
      </w:r>
    </w:p>
    <w:p>
      <w:pPr>
        <w:spacing w:after="80"/>
      </w:pPr>
      <w:r>
        <w:rPr>
          <w:b w:val="0"/>
          <w:i w:val="0"/>
        </w:rPr>
        <w:t>RANDOLPH, THẨM PHÁN CẤP CAO:</w:t>
      </w:r>
    </w:p>
    <w:p>
      <w:pPr>
        <w:spacing w:after="80"/>
      </w:pPr>
      <w:r>
        <w:rPr>
          <w:b/>
          <w:i w:val="0"/>
        </w:rPr>
        <w:t>I.</w:t>
      </w:r>
    </w:p>
    <w:p>
      <w:pPr>
        <w:spacing w:after="80"/>
      </w:pPr>
      <w:r>
        <w:rPr>
          <w:b w:val="0"/>
          <w:i w:val="0"/>
        </w:rPr>
        <w:t>Trong mười lăm năm qua, Cộng hòa Dân chủ Congo đã phải chịu đựng chiến tranh và thảm họa nhân đạo. Hàng triệu người đã thiệt mạng, phần lớn là thường dân chết vì đói và bệnh tật. Các cộng đồng bị di dời, hiếp dâm là một vũ khí, và các vi phạm nhân quyền diễn ra tràn lan.</w:t>
      </w:r>
    </w:p>
    <w:p>
      <w:pPr>
        <w:spacing w:after="80"/>
      </w:pPr>
      <w:r>
        <w:rPr>
          <w:b w:val="0"/>
          <w:i w:val="0"/>
        </w:rPr>
        <w:t>Các nhóm vũ trang tham chiến tài trợ cho hoạt động của mình bằng cách khai thác thương mại khu vực đối với một số loại khoáng sản. Những khoáng sản đó—vàng, tantalum, thiếc và tungsten—được khai thác từ các mỏ khai thác công nghệ thô sơ ở vùng đông Congo xa xôi. Chúng được bán tại các nhà buôn khu vực, được nấu chảy gần đó hoặc ở nước ngoài, và cuối cùng được dùng để sản xuất nhiều sản phẩm khác nhau. Các nhóm vũ trang thu lợi bằng cách tống tiền, và trong một số trường hợp trực tiếp quản lý, các hoạt động khai thác ít được quản lý này.</w:t>
      </w:r>
    </w:p>
    <w:p>
      <w:pPr>
        <w:spacing w:after="80"/>
      </w:pPr>
      <w:r>
        <w:rPr>
          <w:b w:val="0"/>
          <w:i w:val="0"/>
        </w:rPr>
        <w:t xml:space="preserve">Năm 2010, Quốc hội đã đưa ra một giải pháp đối phó với chiến tranh Congo. Mục 1502 của Đạo luật Cải cách Phố Wall và Bảo vệ Người tiêu dùng Dodd-Frank, Pub.L. No. 111-203, 124 Stat. 1376 (các phần liên quan được hệ thống hóa tại 15 U.S.C. §§ 78m(p), 78mnote ('Khoáng sản Xung đột')), yêu cầu Ủy ban Chứng khoán và Giao dịch—cơ quan thường chịu trách nhiệm giám sát thị trường tài chính Hoa Kỳ—ban hành các quy định buộc các công ty sử dụng "khoáng sản xung đột" phải điều tra và công bố nguồn gốc của những khoáng sản đó. </w:t>
      </w:r>
      <w:r>
        <w:rPr>
          <w:b w:val="0"/>
          <w:i/>
        </w:rPr>
        <w:t>Xem</w:t>
      </w:r>
      <w:r>
        <w:rPr>
          <w:b w:val="0"/>
          <w:i w:val="0"/>
        </w:rPr>
        <w:t xml:space="preserve"> 15 U.S.C. § 78m(p)(1)(A).</w:t>
      </w:r>
    </w:p>
    <w:p>
      <w:pPr>
        <w:spacing w:after="80"/>
      </w:pPr>
      <w:r>
        <w:rPr>
          <w:b w:val="0"/>
          <w:i w:val="0"/>
        </w:rPr>
        <w:t xml:space="preserve">Cơ chế công bố thông tin chỉ áp dụng cho "người [được mô tả]" trong Đạo luật. </w:t>
      </w:r>
      <w:r>
        <w:rPr>
          <w:b w:val="0"/>
          <w:i/>
        </w:rPr>
        <w:t>Xem id.</w:t>
      </w:r>
      <w:r>
        <w:rPr>
          <w:b w:val="0"/>
          <w:i w:val="0"/>
        </w:rPr>
        <w:t xml:space="preserve"> Một "người được mô tả . . . [nếu] khoáng sản xung đột là cần thiết cho chức năng hoặc việc sản xuất một sản phẩm do người đó sản xuất." </w:t>
      </w:r>
      <w:r>
        <w:rPr>
          <w:b w:val="0"/>
          <w:i/>
        </w:rPr>
        <w:t>Id.</w:t>
      </w:r>
      <w:r>
        <w:rPr>
          <w:b w:val="0"/>
          <w:i w:val="0"/>
        </w:rPr>
        <w:t xml:space="preserve"> § 78m(p)(2). Một người được mô tả phải "công bố hằng năm liệu [các] khoáng sản xung đột [cần thiết của mình] . . . có nguồn gốc từ [Congo] hay một quốc gia láng giềng hay không." </w:t>
      </w:r>
      <w:r>
        <w:rPr>
          <w:b w:val="0"/>
          <w:i/>
        </w:rPr>
        <w:t>Id.</w:t>
      </w:r>
      <w:r>
        <w:rPr>
          <w:b w:val="0"/>
          <w:i w:val="0"/>
        </w:rPr>
        <w:t xml:space="preserve"> § 78m(p)(1)(A). Nếu những khoáng sản đó "có nguồn gốc" từ Congo hoặc một quốc gia láng giềng (gọi chung là "các quốc gia được bao phủ") thì người đó phải "nộp [một báo cáo] cho Ủy ban." </w:t>
      </w:r>
      <w:r>
        <w:rPr>
          <w:b w:val="0"/>
          <w:i/>
        </w:rPr>
        <w:t>Id.</w:t>
      </w:r>
      <w:r>
        <w:rPr>
          <w:b w:val="0"/>
          <w:i w:val="0"/>
        </w:rPr>
        <w:t xml:space="preserve"> Báo cáo phải mô tả các biện pháp "thẩm định" được thực hiện để xác định "nguồn và chuỗi giám sát" của khoáng sản, bao gồm một "cuộc kiểm toán khu vực tư nhân" đối với báo cáo. </w:t>
      </w:r>
      <w:r>
        <w:rPr>
          <w:b w:val="0"/>
          <w:i/>
        </w:rPr>
        <w:t>Id.</w:t>
      </w:r>
      <w:r>
        <w:rPr>
          <w:b w:val="0"/>
          <w:i w:val="0"/>
        </w:rPr>
        <w:t xml:space="preserve"> Báo cáo cũng phải liệt kê "các sản phẩm được sản xuất hoặc được ký hợp đồng để sản xuất mà không phải là không xung đột với DRC." </w:t>
      </w:r>
      <w:r>
        <w:rPr>
          <w:b w:val="0"/>
          <w:i/>
        </w:rPr>
        <w:t>Id.</w:t>
      </w:r>
      <w:r>
        <w:rPr>
          <w:b w:val="0"/>
          <w:i w:val="0"/>
        </w:rPr>
        <w:t xml:space="preserve"> Một sản phẩm là "không xung đột với DRC" nếu các khoáng sản xung đột cần thiết của nó không "trực tiếp hoặc gián tiếp tài trợ hoặc mang lại lợi ích cho các nhóm vũ trang" ở các quốc gia được bao phủ. </w:t>
      </w:r>
      <w:r>
        <w:rPr>
          <w:b w:val="0"/>
          <w:i/>
        </w:rPr>
        <w:t>Id.</w:t>
      </w:r>
    </w:p>
    <w:p>
      <w:pPr>
        <w:spacing w:after="80"/>
      </w:pPr>
      <w:r>
        <w:rPr>
          <w:b w:val="0"/>
          <w:i w:val="0"/>
        </w:rPr>
        <w:t xml:space="preserve">Cuối năm 2010, Ủy ban đã đề xuất các quy định để thực thi Đạo luật. Khoáng sản Xung đột, 75 Fed.Reg. 80,948 (ngày 23 tháng 12 năm 2010). Cùng với các quy định đề xuất, Ủy ban đã kêu gọi bình luận về một loạt vấn đề. Đáp lại, Ủy ban đã nhận được hàng trăm bình luận cá nhân và hàng nghìn thư mẫu. Khoáng sản Xung đột, 77 Fed.Reg. 56,274, 56,277–78 (ngày 12 tháng 9 năm 2012) ("quy định cuối cùng") (được hệ thống hóa tại 17 C.F.R. §§ 240.13p-1, 249b.400). Ủy ban đã hai lần gia hạn thời gian bình luận và tổ chức một cuộc thảo luận bàn tròn cho các bên liên quan. </w:t>
      </w:r>
      <w:r>
        <w:rPr>
          <w:b w:val="0"/>
          <w:i/>
        </w:rPr>
        <w:t>Id.</w:t>
      </w:r>
      <w:r>
        <w:rPr>
          <w:b w:val="0"/>
          <w:i w:val="0"/>
        </w:rPr>
        <w:t xml:space="preserve"> Với tỷ lệ phiếu 3–2, Ủy ban đã ban hành quy định cuối cùng, có hiệu lực từ ngày 13 tháng 11 năm 2012. </w:t>
      </w:r>
      <w:r>
        <w:rPr>
          <w:b w:val="0"/>
          <w:i/>
        </w:rPr>
        <w:t>Id.</w:t>
      </w:r>
      <w:r>
        <w:rPr>
          <w:b w:val="0"/>
          <w:i w:val="0"/>
        </w:rPr>
        <w:t xml:space="preserve"> tại 56,274. Các báo cáo đầu tiên đến hạn vào ngày 31 tháng 5 năm 2014. </w:t>
      </w:r>
      <w:r>
        <w:rPr>
          <w:b w:val="0"/>
          <w:i/>
        </w:rPr>
        <w:t>Id.</w:t>
      </w:r>
    </w:p>
    <w:p>
      <w:pPr>
        <w:spacing w:after="80"/>
      </w:pPr>
      <w:r>
        <w:rPr>
          <w:b w:val="0"/>
          <w:i w:val="0"/>
        </w:rPr>
        <w:t xml:space="preserve">Quy định cuối cùng áp dụng quy trình ba bước, mà chúng tôi phác thảo dưới đây, bỏ qua một số chi tiết không liên quan đến kháng cáo này. Ở bước một, một công ty phải xác định liệu quy định có áp dụng cho mình hay không. </w:t>
      </w:r>
      <w:r>
        <w:rPr>
          <w:b w:val="0"/>
          <w:i/>
        </w:rPr>
        <w:t>Id.</w:t>
      </w:r>
      <w:r>
        <w:rPr>
          <w:b w:val="0"/>
          <w:i w:val="0"/>
        </w:rPr>
        <w:t xml:space="preserve"> tại 56,279, 56,285. Quy định cuối cùng chỉ áp dụng cho các tổ chức phát hành chứng khoán nộp báo cáo cho Ủy ban theo mục 13(a) hoặc 15(d) của Đạo luật Giao dịch Chứng khoán. </w:t>
      </w:r>
      <w:r>
        <w:rPr>
          <w:b w:val="0"/>
          <w:i/>
        </w:rPr>
        <w:t>Id.</w:t>
      </w:r>
      <w:r>
        <w:rPr>
          <w:b w:val="0"/>
          <w:i w:val="0"/>
        </w:rPr>
        <w:t xml:space="preserve"> tại 56,287. Quy định loại trừ các tổ chức phát hành nếu khoáng sản xung đột không cần thiết cho việc sản xuất hoặc chức năng của sản phẩm của họ. </w:t>
      </w:r>
      <w:r>
        <w:rPr>
          <w:b w:val="0"/>
          <w:i/>
        </w:rPr>
        <w:t>Id.</w:t>
      </w:r>
      <w:r>
        <w:rPr>
          <w:b w:val="0"/>
          <w:i w:val="0"/>
        </w:rPr>
        <w:t xml:space="preserve"> tại 56,297–98. Tuy nhiên, quy định cuối cùng không bao gồm ngoại lệ </w:t>
      </w:r>
      <w:r>
        <w:rPr>
          <w:b w:val="0"/>
          <w:i/>
        </w:rPr>
        <w:t>de minimis</w:t>
      </w:r>
      <w:r>
        <w:rPr>
          <w:b w:val="0"/>
          <w:i w:val="0"/>
        </w:rPr>
        <w:t xml:space="preserve">, và do đó áp dụng cho các tổ chức phát hành sử dụng lượng rất nhỏ khoáng sản xung đột. </w:t>
      </w:r>
      <w:r>
        <w:rPr>
          <w:b w:val="0"/>
          <w:i/>
        </w:rPr>
        <w:t>Id.</w:t>
      </w:r>
      <w:r>
        <w:rPr>
          <w:b w:val="0"/>
          <w:i w:val="0"/>
        </w:rPr>
        <w:t xml:space="preserve"> tại 56,298. Quy định cũng mở rộng đến các tổ chức phát hành chỉ ký hợp đồng sản xuất sản phẩm có khoáng sản xung đột, cũng như các tổ chức phát hành trực tiếp sản xuất những sản phẩm đó. </w:t>
      </w:r>
      <w:r>
        <w:rPr>
          <w:b w:val="0"/>
          <w:i/>
        </w:rPr>
        <w:t>Id.</w:t>
      </w:r>
      <w:r>
        <w:rPr>
          <w:b w:val="0"/>
          <w:i w:val="0"/>
        </w:rPr>
        <w:t xml:space="preserve"> tại 56,290–92.</w:t>
      </w:r>
    </w:p>
    <w:p>
      <w:pPr>
        <w:spacing w:after="80"/>
      </w:pPr>
      <w:r>
        <w:rPr>
          <w:b w:val="0"/>
          <w:i w:val="0"/>
        </w:rPr>
        <w:t xml:space="preserve">Bước hai yêu cầu một tổ chức phát hành thuộc đối tượng của quy định phải tiến hành một "cuộc điều tra hợp lý về quốc gia xuất xứ." </w:t>
      </w:r>
      <w:r>
        <w:rPr>
          <w:b w:val="0"/>
          <w:i/>
        </w:rPr>
        <w:t>Id.</w:t>
      </w:r>
      <w:r>
        <w:rPr>
          <w:b w:val="0"/>
          <w:i w:val="0"/>
        </w:rPr>
        <w:t xml:space="preserve"> tại 56,311. Cuộc điều tra này là một cuộc điều tra sơ bộ được thiết kế hợp lý để xác định liệu khoáng sản xung đột cần thiết của tổ chức phát hành có nguồn gốc từ các quốc gia được bao phủ hay không. </w:t>
      </w:r>
      <w:r>
        <w:rPr>
          <w:b w:val="0"/>
          <w:i/>
        </w:rPr>
        <w:t>Id.</w:t>
      </w:r>
      <w:r>
        <w:rPr>
          <w:b w:val="0"/>
          <w:i w:val="0"/>
        </w:rPr>
        <w:t xml:space="preserve"> tại 56,312. Nếu, do kết quả của cuộc điều tra, một tổ chức phát hành hoặc biết rằng khoáng sản xung đột cần thiết của mình có nguồn gốc từ các quốc gia được bao phủ, hoặc "có lý do để tin" rằng những khoáng sản đó "có thể có nguồn gốc" từ các quốc gia được bao phủ, thì tổ chức đó phải tiến hành bước ba và thực hiện thẩm định. </w:t>
      </w:r>
      <w:r>
        <w:rPr>
          <w:b w:val="0"/>
          <w:i/>
        </w:rPr>
        <w:t>Id.</w:t>
      </w:r>
      <w:r>
        <w:rPr>
          <w:b w:val="0"/>
          <w:i w:val="0"/>
        </w:rPr>
        <w:t xml:space="preserve"> tại 56,313.</w:t>
      </w:r>
    </w:p>
    <w:p>
      <w:pPr>
        <w:spacing w:after="80"/>
      </w:pPr>
      <w:r>
        <w:rPr>
          <w:b w:val="0"/>
          <w:i w:val="0"/>
        </w:rPr>
        <w:t xml:space="preserve">Một tổ chức phát hành tiến hành bước ba phải "thực hiện thẩm định về nguồn và chuỗi giám sát khoáng sản xung đột của mình." </w:t>
      </w:r>
      <w:r>
        <w:rPr>
          <w:b w:val="0"/>
          <w:i/>
        </w:rPr>
        <w:t>Id.</w:t>
      </w:r>
      <w:r>
        <w:rPr>
          <w:b w:val="0"/>
          <w:i w:val="0"/>
        </w:rPr>
        <w:t xml:space="preserve"> tại 56,320. Nếu, sau khi thực hiện thẩm định, một tổ chức phát hành vẫn có lý do để tin rằng khoáng sản xung đột của mình có thể có nguồn gốc từ các quốc gia được bao phủ, thì tổ chức đó phải nộp báo cáo khoáng sản xung đột. Báo cáo phải mô tả cả những nỗ lực thẩm định của mình, bao gồm một cuộc kiểm toán khu vực tư nhân,4 </w:t>
      </w:r>
      <w:r>
        <w:rPr>
          <w:b w:val="0"/>
          <w:i/>
        </w:rPr>
        <w:t>id.,</w:t>
      </w:r>
      <w:r>
        <w:rPr>
          <w:b w:val="0"/>
          <w:i w:val="0"/>
        </w:rPr>
        <w:t xml:space="preserve"> và những sản phẩm "chưa được xác định là 'không xung đột với DRC,'" </w:t>
      </w:r>
      <w:r>
        <w:rPr>
          <w:b w:val="0"/>
          <w:i/>
        </w:rPr>
        <w:t>id.</w:t>
      </w:r>
      <w:r>
        <w:rPr>
          <w:b w:val="0"/>
          <w:i w:val="0"/>
        </w:rPr>
        <w:t xml:space="preserve"> tại 56,322 (trích dẫn 15 U.S.C. § 78m(p)(1)(A)(ii)). Báo cáo cũng phải cung cấp thông tin chi tiết về nguồn gốc của khoáng sản được sử dụng trong những sản phẩm đó. </w:t>
      </w:r>
      <w:r>
        <w:rPr>
          <w:b w:val="0"/>
          <w:i/>
        </w:rPr>
        <w:t>Id.</w:t>
      </w:r>
      <w:r>
        <w:rPr>
          <w:b w:val="0"/>
          <w:i w:val="0"/>
        </w:rPr>
        <w:t xml:space="preserve"> tại 56,320.</w:t>
      </w:r>
    </w:p>
    <w:p>
      <w:pPr>
        <w:spacing w:after="80"/>
      </w:pPr>
      <w:r>
        <w:rPr>
          <w:b w:val="0"/>
          <w:i w:val="0"/>
        </w:rPr>
        <w:t xml:space="preserve">Quy định cuối cùng có đưa ra một sự hoãn thi hành tạm thời. Trong giai đoạn chuyển tiếp hai năm (bốn năm đối với các tổ chức phát hành nhỏ hơn), các tổ chức phát hành có thể mô tả một số sản phẩm nhất định là "không xác định được xung đột với DRC" thay vì không xung đột hoặc không phải không xung đột. </w:t>
      </w:r>
      <w:r>
        <w:rPr>
          <w:b w:val="0"/>
          <w:i/>
        </w:rPr>
        <w:t>Id.</w:t>
      </w:r>
      <w:r>
        <w:rPr>
          <w:b w:val="0"/>
          <w:i w:val="0"/>
        </w:rPr>
        <w:t xml:space="preserve"> tại 56,321–22. Lựa chọn đó chỉ khả dụng nếu tổ chức phát hành không thể xác định thông qua thẩm định liệu khoáng sản xung đột của mình có nguồn gốc từ các quốc gia được bao phủ hay không, hoặc liệu khoáng sản của mình có mang lại lợi ích cho các nhóm vũ trang hay không. </w:t>
      </w:r>
      <w:r>
        <w:rPr>
          <w:b w:val="0"/>
          <w:i/>
        </w:rPr>
        <w:t>Id.</w:t>
      </w:r>
      <w:r>
        <w:rPr>
          <w:b w:val="0"/>
          <w:i w:val="0"/>
        </w:rPr>
        <w:t xml:space="preserve"> Một tổ chức phát hành tận dụng giai đoạn chuyển tiếp bằng cách mô tả sản phẩm của mình là "không xác định được xung đột với DRC" vẫn phải thực hiện thẩm định và nộp báo cáo khoáng sản xung đột, nhưng không cần phải có cuộc kiểm toán khu vực tư nhân. </w:t>
      </w:r>
      <w:r>
        <w:rPr>
          <w:b w:val="0"/>
          <w:i/>
        </w:rPr>
        <w:t>Id.</w:t>
      </w:r>
    </w:p>
    <w:p>
      <w:pPr>
        <w:spacing w:after="80"/>
      </w:pPr>
      <w:r>
        <w:rPr>
          <w:b w:val="0"/>
          <w:i w:val="0"/>
        </w:rPr>
        <w:t>* * *</w:t>
      </w:r>
    </w:p>
    <w:p>
      <w:pPr>
        <w:spacing w:after="80"/>
      </w:pPr>
      <w:r>
        <w:rPr>
          <w:b w:val="0"/>
          <w:i w:val="0"/>
        </w:rPr>
        <w:t>Điều này đưa chúng ta đến khiếu nại về Tu chính án thứ nhất của Hiệp hội. Hiệp hội chỉ thách thức yêu cầu rằng một tổ chức phát hành phải mô tả sản phẩm của mình là không "không xung đột với DRC" trong báo cáo mà tổ chức đó nộp cho Ủy ban và phải đăng trên trang web của mình. 15 U.S.C. § 78m(p)(1)(A)(ii) &amp; (E). Theo Hiệp hội, yêu cầu đó ép buộc phát ngôn một cách vi hiến.</w:t>
      </w:r>
    </w:p>
    <w:p>
      <w:pPr>
        <w:spacing w:after="80"/>
      </w:pPr>
      <w:r>
        <w:rPr>
          <w:b w:val="0"/>
          <w:i w:val="0"/>
        </w:rPr>
        <w:t xml:space="preserve">Ủy ban lập luận rằng việc xem xét dựa trên cơ sở hợp lý (rational basis review) là phù hợp vì nhãn "không xung đột" (conflict free) chỉ tiết lộ thông tin thuần túy mang tính sự kiện, không mang tính ý thức hệ. Chúng tôi không đồng ý. Xem xét dựa trên cơ sở hợp lý là ngoại lệ, chứ không phải là nguyên tắc, trong các vụ án liên quan đến Tu chính án thứ nhất. </w:t>
      </w:r>
      <w:r>
        <w:rPr>
          <w:b w:val="0"/>
          <w:i/>
        </w:rPr>
        <w:t>Xem Turner Broad. Sys., Inc. v. FCC,</w:t>
      </w:r>
      <w:r>
        <w:rPr>
          <w:b w:val="0"/>
          <w:i w:val="0"/>
        </w:rPr>
        <w:t xml:space="preserve"> 512 U.S. 622, 641–42, 114 S.Ct. 2445, 129 L.Ed.2d 497 (1994). Tòa án Tối cao đã tuyên bố rằng việc xem xét dựa trên cơ sở hợp lý áp dụng cho một số trường hợp công bố thông tin "thuần túy mang tính sự kiện và không gây tranh cãi." </w:t>
      </w:r>
      <w:r>
        <w:rPr>
          <w:b w:val="0"/>
          <w:i/>
        </w:rPr>
        <w:t>Zauderer v. Office of Disciplinary Counsel,</w:t>
      </w:r>
      <w:r>
        <w:rPr>
          <w:b w:val="0"/>
          <w:i w:val="0"/>
        </w:rPr>
        <w:t xml:space="preserve"> 471 U.S. 626, 651, 105 S.Ct. 2265, 85 L.Ed.2d 652 (1985). Nhưng như bên can thiệp Amnesty International thẳng thắn thừa nhận, chúng tôi đã phán quyết rằng </w:t>
      </w:r>
      <w:r>
        <w:rPr>
          <w:b w:val="0"/>
          <w:i/>
        </w:rPr>
        <w:t>Zauderer</w:t>
      </w:r>
      <w:r>
        <w:rPr>
          <w:b w:val="0"/>
          <w:i w:val="0"/>
        </w:rPr>
        <w:t xml:space="preserve"> "chỉ giới hạn trong các trường hợp mà yêu cầu công bố thông tin 'có liên quan hợp lý đến lợi ích của Nhà nước trong việc ngăn chặn sự lừa dối người tiêu dùng.'"</w:t>
      </w:r>
    </w:p>
    <w:p>
      <w:pPr>
        <w:spacing w:after="80"/>
      </w:pPr>
      <w:r>
        <w:rPr>
          <w:b w:val="0"/>
          <w:i w:val="0"/>
        </w:rPr>
        <w:t>* * *</w:t>
      </w:r>
    </w:p>
    <w:p>
      <w:pPr>
        <w:spacing w:after="80"/>
      </w:pPr>
      <w:r>
        <w:rPr>
          <w:b w:val="0"/>
          <w:i w:val="0"/>
        </w:rPr>
        <w:t xml:space="preserve">Sau khi đã xác lập rằng việc xem xét dựa trên cơ sở hợp lý không được áp dụng, chúng tôi không quyết định liệu nên sử dụng tiêu chuẩn xem xét nghiêm ngặt (strict scrutiny) hay bài kiểm tra </w:t>
      </w:r>
      <w:r>
        <w:rPr>
          <w:b w:val="0"/>
          <w:i/>
        </w:rPr>
        <w:t>Central Hudson</w:t>
      </w:r>
      <w:r>
        <w:rPr>
          <w:b w:val="0"/>
          <w:i w:val="0"/>
        </w:rPr>
        <w:t xml:space="preserve"> đối với phát ngôn thương mại (commercial speech). Đó là bởi vì quy định cuối cùng không thể vượt qua ngay cả tiêu chuẩn trung gian của </w:t>
      </w:r>
      <w:r>
        <w:rPr>
          <w:b w:val="0"/>
          <w:i/>
        </w:rPr>
        <w:t>Central Hudson</w:t>
      </w:r>
      <w:r>
        <w:rPr>
          <w:b w:val="0"/>
          <w:i w:val="0"/>
        </w:rPr>
        <w:t>.</w:t>
      </w:r>
    </w:p>
    <w:p>
      <w:pPr>
        <w:spacing w:after="80"/>
      </w:pPr>
      <w:r>
        <w:rPr>
          <w:b w:val="0"/>
          <w:i w:val="0"/>
        </w:rPr>
        <w:t xml:space="preserve">Theo </w:t>
      </w:r>
      <w:r>
        <w:rPr>
          <w:b w:val="0"/>
          <w:i/>
        </w:rPr>
        <w:t>Central Hudson,</w:t>
      </w:r>
      <w:r>
        <w:rPr>
          <w:b w:val="0"/>
          <w:i w:val="0"/>
        </w:rPr>
        <w:t xml:space="preserve"> chính phủ phải chứng minh (1) một lợi ích chính phủ đáng kể; (2) được thúc đẩy trực tiếp và đáng kể bởi hạn chế đó; và (3) rằng hạn chế đó được thiết kế hẹp (narrowly tailored). 447 U.S. at 564–66, 100 S.Ct. 2343; </w:t>
      </w:r>
      <w:r>
        <w:rPr>
          <w:b w:val="0"/>
          <w:i/>
        </w:rPr>
        <w:t>xem R.J. Reynolds,</w:t>
      </w:r>
      <w:r>
        <w:rPr>
          <w:b w:val="0"/>
          <w:i w:val="0"/>
        </w:rPr>
        <w:t xml:space="preserve"> 696 F.3d at 1212. Yêu cầu thiết kế hẹp vô hiệu hóa các quy định mà "những hạn chế hẹp hơn đối với phát ngôn cũng sẽ phục vụ lợi ích [của chính phủ] tương đương." </w:t>
      </w:r>
      <w:r>
        <w:rPr>
          <w:b w:val="0"/>
          <w:i/>
        </w:rPr>
        <w:t>Cent. Hudson,</w:t>
      </w:r>
      <w:r>
        <w:rPr>
          <w:b w:val="0"/>
          <w:i w:val="0"/>
        </w:rPr>
        <w:t xml:space="preserve"> 447 U.S. at 565, 100 S.Ct. 2343. Mặc dù chính phủ không cần phải chọn "phương tiện ít hạn chế nhất" để đạt được mục tiêu của mình, nhưng phải có sự "phù hợp" "hợp lý" giữa phương tiện và mục đích. </w:t>
      </w:r>
      <w:r>
        <w:rPr>
          <w:b w:val="0"/>
          <w:i/>
        </w:rPr>
        <w:t>Bd. of Trs. v. Fox,</w:t>
      </w:r>
      <w:r>
        <w:rPr>
          <w:b w:val="0"/>
          <w:i w:val="0"/>
        </w:rPr>
        <w:t xml:space="preserve"> 492 U.S. 469, 480, 109 S.Ct. 3028, 106 L.Ed.2d 388 (1989). Chính phủ không thể đáp ứng tiêu chuẩn đó nếu họ không đưa ra bằng chứng nào cho thấy các phương tiện ít hạn chế hơn sẽ thất bại. </w:t>
      </w:r>
      <w:r>
        <w:rPr>
          <w:b w:val="0"/>
          <w:i/>
        </w:rPr>
        <w:t>Sable Commc'ns v. FCC,</w:t>
      </w:r>
      <w:r>
        <w:rPr>
          <w:b w:val="0"/>
          <w:i w:val="0"/>
        </w:rPr>
        <w:t xml:space="preserve"> 492 U.S. 115, 128–32, 109 S.Ct. 2829, 106 L.Ed.2d 93 (1989).</w:t>
      </w:r>
    </w:p>
    <w:p>
      <w:pPr>
        <w:spacing w:after="80"/>
      </w:pPr>
      <w:r>
        <w:rPr>
          <w:b w:val="0"/>
          <w:i w:val="0"/>
        </w:rPr>
        <w:t>Ủy ban đã không cung cấp bằng chứng nào như vậy ở đây. Hiệp hội gợi ý rằng thay vì mô tả "không xung đột" mà luật và quy định yêu cầu, các tổ chức phát hành có thể sử dụng ngôn ngữ của riêng họ để mô tả sản phẩm của mình, hoặc chính phủ có thể tự tổng hợp danh sách các sản phẩm mà họ cho là có liên quan đến cuộc chiến ở Congo, dựa trên thông tin mà các tổ chức phát hành nộp cho Ủy ban. Ủy ban và Amnesty International chỉ đơn thuần khẳng định rằng những đề xuất đó sẽ kém hiệu quả hơn. Nhưng nếu các tổ chức phát hành có thể xác định tình trạng xung đột của sản phẩm mình từ việc thẩm định kỹ lưỡng (due diligence), thì chắc chắn Ủy ban cũng có thể sử dụng cùng thông tin đó để đưa ra cùng kết luận. Và một danh sách tập trung do Ủy ban tổng hợp ở một nơi thậm chí có thể thuận tiện hơn hoặc đáng tin cậy hơn đối với nhà đầu tư và người tiêu dùng. Ủy ban đã không giải thích được tại sao (chứ chưa nói đến việc cung cấp bằng chứng rằng) những giải pháp thay thế trực quan của Hiệp hội đối với việc điều chỉnh phát ngôn lại kém hiệu quả hơn.</w:t>
      </w:r>
    </w:p>
    <w:p>
      <w:pPr>
        <w:spacing w:after="80"/>
      </w:pPr>
      <w:r>
        <w:rPr>
          <w:b w:val="0"/>
          <w:i w:val="0"/>
        </w:rPr>
        <w:t xml:space="preserve">Ủy ban khẳng định rằng sự phù hợp ở đây là hợp lý vì tác động của quy định là tối thiểu. Cụ thể, Ủy ban lập luận rằng các tổ chức phát hành có thể giải thích ý nghĩa của "không xung đột" theo cách diễn đạt của riêng họ. Nhưng quyền được giải thích phát ngôn bị ép buộc (compelled speech) hiện diện trong hầu hết các trường hợp như vậy và không đủ để khắc phục vi phạm Tu chính án thứ nhất. </w:t>
      </w:r>
      <w:r>
        <w:rPr>
          <w:b w:val="0"/>
          <w:i/>
        </w:rPr>
        <w:t>Xem Nat'l Ass'n of Mfrs.,</w:t>
      </w:r>
      <w:r>
        <w:rPr>
          <w:b w:val="0"/>
          <w:i w:val="0"/>
        </w:rPr>
        <w:t xml:space="preserve"> 717 F.3d at 958. Ngay cả khi lựa chọn giải thích giảm thiểu tổn hại đối với Tu chính án thứ nhất, nó cũng không loại bỏ hoàn toàn tổn hại đó. Không có bất kỳ bằng chứng nào cho thấy các giải pháp thay thế sẽ kém hiệu quả hơn, chúng tôi vẫn không thể nói rằng hạn chế ở đây được thiết kế hẹp.</w:t>
      </w:r>
    </w:p>
    <w:p>
      <w:pPr>
        <w:spacing w:after="80"/>
      </w:pPr>
      <w:r>
        <w:rPr>
          <w:b w:val="0"/>
          <w:i w:val="0"/>
        </w:rPr>
        <w:t>Do đó, chúng tôi phán quyết rằng 15 U.S.C. § 78m(p)(1)(A)(ii) &amp; (E), và quy định cuối cùng của Ủy ban, 77 Fed.Reg. at 56,362–65, vi phạm Tu chính án thứ nhất ở mức độ mà luật và quy định yêu cầu các thực thể được điều chỉnh phải báo cáo cho Ủy ban và tuyên bố trên trang web của họ rằng bất kỳ sản phẩm nào của họ "chưa được xác định là 'không xung đột với DRC.'"</w:t>
      </w:r>
    </w:p>
    <w:p>
      <w:pPr>
        <w:spacing w:after="80"/>
      </w:pPr>
      <w:r>
        <w:rPr>
          <w:b w:val="0"/>
          <w:i w:val="0"/>
        </w:rPr>
        <w:t>—————</w:t>
      </w:r>
    </w:p>
    <w:p>
      <w:pPr>
        <w:spacing w:after="80"/>
      </w:pPr>
      <w:r>
        <w:rPr>
          <w:b w:val="0"/>
          <w:i w:val="0"/>
        </w:rPr>
        <w:t xml:space="preserve">Ủy ban đã yêu cầu hội đồng xét xử xem xét lại và xem xét lại toàn thể (en banc) đối với phán quyết. Trong thời gian đó, DC Circuit với toàn thể thẩm phán đã quyết định vụ </w:t>
      </w:r>
      <w:r>
        <w:rPr>
          <w:b w:val="0"/>
          <w:i/>
        </w:rPr>
        <w:t>American Meat Institute v. US Dept. of Agriculture</w:t>
      </w:r>
      <w:r>
        <w:rPr>
          <w:b w:val="0"/>
          <w:i w:val="0"/>
        </w:rPr>
        <w:t xml:space="preserve"> , 760 F.3d 18 (DC Cir. 2014). Vụ án phán quyết rằng Zauderer áp dụng cho các công bố thông tin vượt ra ngoài những lo ngại về sự lừa dối. Sau hậu quả của phán quyết đó, đa số trong vụ NAM đã từ chối thay đổi lập luận của mình.</w:t>
      </w:r>
    </w:p>
    <w:p>
      <w:pPr>
        <w:pStyle w:val="Heading4"/>
      </w:pPr>
      <w:r>
        <w:rPr>
          <w:rFonts w:ascii="Calibri" w:hAnsi="Calibri"/>
          <w:b/>
          <w:i w:val="0"/>
          <w:sz w:val="23"/>
        </w:rPr>
        <w:t>National Association of Manufacturers v. SEC</w:t>
      </w:r>
    </w:p>
    <w:p>
      <w:pPr>
        <w:spacing w:after="80"/>
      </w:pPr>
      <w:r>
        <w:rPr>
          <w:b w:val="0"/>
          <w:i w:val="0"/>
        </w:rPr>
        <w:t>DC Circuit</w:t>
      </w:r>
      <w:r>
        <w:br/>
      </w:r>
      <w:r>
        <w:rPr>
          <w:b w:val="0"/>
          <w:i w:val="0"/>
        </w:rPr>
        <w:t xml:space="preserve"> 800 F.3d 518 (2015) (đơn yêu cầu xem xét lại toàn thể bị bác bỏ, ngày 9 tháng 11 năm 2015)</w:t>
      </w:r>
      <w:r>
        <w:br/>
      </w:r>
      <w:r>
        <w:rPr>
          <w:b w:val="0"/>
          <w:i w:val="0"/>
        </w:rPr>
        <w:t xml:space="preserve"> Về các Đơn yêu cầu Hội đồng xét xử Xem xét lại.</w:t>
      </w:r>
    </w:p>
    <w:p>
      <w:pPr>
        <w:spacing w:after="80"/>
      </w:pPr>
      <w:r>
        <w:rPr>
          <w:b w:val="0"/>
          <w:i w:val="0"/>
        </w:rPr>
        <w:t>RANDOLPH , THẨM PHÁN CẤP CAO :</w:t>
      </w:r>
    </w:p>
    <w:p>
      <w:pPr>
        <w:spacing w:after="80"/>
      </w:pPr>
      <w:r>
        <w:rPr>
          <w:b w:val="0"/>
          <w:i w:val="0"/>
        </w:rPr>
        <w:t>* * *</w:t>
      </w:r>
    </w:p>
    <w:p>
      <w:pPr>
        <w:spacing w:after="80"/>
      </w:pPr>
      <w:r>
        <w:rPr>
          <w:b w:val="0"/>
          <w:i w:val="0"/>
        </w:rPr>
        <w:t xml:space="preserve">Thẩm phán White, viết cho đa số trong vụ </w:t>
      </w:r>
      <w:r>
        <w:rPr>
          <w:b w:val="0"/>
          <w:i/>
        </w:rPr>
        <w:t>Zauderer,</w:t>
      </w:r>
      <w:r>
        <w:rPr>
          <w:b w:val="0"/>
          <w:i w:val="0"/>
        </w:rPr>
        <w:t xml:space="preserve"> đã diễn đạt phán quyết của Tòa với sự chính xác thường lệ của mình: chúng tôi "phán quyết," ông viết, "rằng các quyền [theo Tu chính án thứ nhất] của nhà quảng cáo được bảo vệ đầy đủ </w:t>
      </w:r>
      <w:r>
        <w:rPr>
          <w:b w:val="0"/>
          <w:i/>
        </w:rPr>
        <w:t>miễn là</w:t>
      </w:r>
      <w:r>
        <w:rPr>
          <w:b w:val="0"/>
          <w:i w:val="0"/>
        </w:rPr>
        <w:t xml:space="preserve"> các yêu cầu công bố thông tin có liên quan hợp lý đến lợi ích của Nhà nước trong việc ngăn chặn sự lừa dối người tiêu dùng." </w:t>
      </w:r>
      <w:r>
        <w:rPr>
          <w:b w:val="0"/>
          <w:i/>
        </w:rPr>
        <w:t>Zauderer,</w:t>
      </w:r>
      <w:r>
        <w:rPr>
          <w:b w:val="0"/>
          <w:i w:val="0"/>
        </w:rPr>
        <w:t xml:space="preserve"> 471 U.S. at 651, 105 S.Ct. 2265 (in nghiêng được thêm vào). Trong một số ý kiến, tòa án của chúng tôi do đó đã coi </w:t>
      </w:r>
      <w:r>
        <w:rPr>
          <w:b w:val="0"/>
          <w:i/>
        </w:rPr>
        <w:t>Zauderer</w:t>
      </w:r>
      <w:r>
        <w:rPr>
          <w:b w:val="0"/>
          <w:i w:val="0"/>
        </w:rPr>
        <w:t xml:space="preserve"> chỉ giới hạn trong phát ngôn bị ép buộc được thiết kế để khắc phục quảng cáo gây nhầm lẫn. Các quy định của chính phủ buộc mọi người tham gia vào phát ngôn thương mại vì các mục đích khác đã được đánh giá theo </w:t>
      </w:r>
      <w:r>
        <w:rPr>
          <w:b w:val="0"/>
          <w:i/>
        </w:rPr>
        <w:t>Central Hudson Gas &amp; Electric Corp. v. Public Service Commission,</w:t>
      </w:r>
      <w:r>
        <w:rPr>
          <w:b w:val="0"/>
          <w:i w:val="0"/>
        </w:rPr>
        <w:t xml:space="preserve"> 447 U.S. 557, 564–66, 100 S.Ct. 2343, 65 L.Ed.2d 341 (1980), thay vì </w:t>
      </w:r>
      <w:r>
        <w:rPr>
          <w:b w:val="0"/>
          <w:i/>
        </w:rPr>
        <w:t>Zauderer</w:t>
      </w:r>
      <w:r>
        <w:rPr>
          <w:b w:val="0"/>
          <w:i w:val="0"/>
        </w:rPr>
        <w:t xml:space="preserve"> . . . .</w:t>
      </w:r>
    </w:p>
    <w:p>
      <w:pPr>
        <w:spacing w:after="80"/>
      </w:pPr>
      <w:r>
        <w:rPr>
          <w:b w:val="0"/>
          <w:i w:val="0"/>
        </w:rPr>
        <w:t xml:space="preserve">Ý kiến ban đầu của chúng tôi trong vụ này tuân theo tiền lệ của tòa án và từ chối áp dụng </w:t>
      </w:r>
      <w:r>
        <w:rPr>
          <w:b w:val="0"/>
          <w:i/>
        </w:rPr>
        <w:t>Zauderer</w:t>
      </w:r>
      <w:r>
        <w:rPr>
          <w:b w:val="0"/>
          <w:i w:val="0"/>
        </w:rPr>
        <w:t xml:space="preserve"> với lý do rằng các công bố thông tin về "khoáng sản xung đột" (conflict minerals), bị ép buộc bởi luật Dodd-Frank và các quy định thực thi của Ủy ban Chứng khoán và Giao dịch, không liên quan đến việc khắc phục sự lừa dối người tiêu dùng. NAM, 748 F.3d at 370–71.</w:t>
      </w:r>
    </w:p>
    <w:p>
      <w:pPr>
        <w:spacing w:after="80"/>
      </w:pPr>
      <w:r>
        <w:rPr>
          <w:b w:val="0"/>
          <w:i w:val="0"/>
        </w:rPr>
        <w:t xml:space="preserve">Sau khi ý kiến của chúng tôi trong vụ </w:t>
      </w:r>
      <w:r>
        <w:rPr>
          <w:b w:val="0"/>
          <w:i/>
        </w:rPr>
        <w:t>NAM</w:t>
      </w:r>
      <w:r>
        <w:rPr>
          <w:b w:val="0"/>
          <w:i w:val="0"/>
        </w:rPr>
        <w:t xml:space="preserve"> được ban hành, tòa án toàn thể trong vụ </w:t>
      </w:r>
      <w:r>
        <w:rPr>
          <w:b w:val="0"/>
          <w:i/>
        </w:rPr>
        <w:t>AMI</w:t>
      </w:r>
      <w:r>
        <w:rPr>
          <w:b w:val="0"/>
          <w:i w:val="0"/>
        </w:rPr>
        <w:t xml:space="preserve"> đã quyết định rằng </w:t>
      </w:r>
      <w:r>
        <w:rPr>
          <w:b w:val="0"/>
          <w:i/>
        </w:rPr>
        <w:t>Zauderer</w:t>
      </w:r>
      <w:r>
        <w:rPr>
          <w:b w:val="0"/>
          <w:i w:val="0"/>
        </w:rPr>
        <w:t xml:space="preserve"> bao quát nhiều hơn việc nhà nước buộc công bố thông tin để khắc phục những gì nếu không sẽ là quảng cáo gây nhầm lẫn. </w:t>
      </w:r>
      <w:r>
        <w:rPr>
          <w:b w:val="0"/>
          <w:i/>
        </w:rPr>
        <w:t>AMI,</w:t>
      </w:r>
      <w:r>
        <w:rPr>
          <w:b w:val="0"/>
          <w:i w:val="0"/>
        </w:rPr>
        <w:t xml:space="preserve"> 760 F.3d at 21–23. Một số lợi ích chính phủ khác có thể là đủ. Sử dụng tiêu chuẩn xem xét nới lỏng của </w:t>
      </w:r>
      <w:r>
        <w:rPr>
          <w:b w:val="0"/>
          <w:i/>
        </w:rPr>
        <w:t>Zauderer</w:t>
      </w:r>
      <w:r>
        <w:rPr>
          <w:b w:val="0"/>
          <w:i w:val="0"/>
        </w:rPr>
        <w:t xml:space="preserve"> , </w:t>
      </w:r>
      <w:r>
        <w:rPr>
          <w:b w:val="0"/>
          <w:i/>
        </w:rPr>
        <w:t>AMI</w:t>
      </w:r>
      <w:r>
        <w:rPr>
          <w:b w:val="0"/>
          <w:i w:val="0"/>
        </w:rPr>
        <w:t xml:space="preserve"> phán quyết rằng chính phủ liên bang đã không vi phạm Tu chính án thứ nhất khi buộc các công ty liệt kê trên nhãn các miếng thịt của họ quốc gia nơi con vật được sinh ra, nuôi lớn và giết mổ. </w:t>
      </w:r>
      <w:r>
        <w:rPr>
          <w:b w:val="0"/>
          <w:i/>
        </w:rPr>
        <w:t>Id.</w:t>
      </w:r>
      <w:r>
        <w:rPr>
          <w:b w:val="0"/>
          <w:i w:val="0"/>
        </w:rPr>
        <w:t xml:space="preserve"> at 23, 27. Không có gì quan trọng rằng mục tiêu chính phủ mà tòa án </w:t>
      </w:r>
      <w:r>
        <w:rPr>
          <w:b w:val="0"/>
          <w:i/>
        </w:rPr>
        <w:t>AMI</w:t>
      </w:r>
      <w:r>
        <w:rPr>
          <w:b w:val="0"/>
          <w:i w:val="0"/>
        </w:rPr>
        <w:t xml:space="preserve"> xác định là đủ—cho phép "người tiêu dùng lựa chọn sản phẩm sản xuất tại Mỹ," </w:t>
      </w:r>
      <w:r>
        <w:rPr>
          <w:b w:val="0"/>
          <w:i/>
        </w:rPr>
        <w:t>id.</w:t>
      </w:r>
      <w:r>
        <w:rPr>
          <w:b w:val="0"/>
          <w:i w:val="0"/>
        </w:rPr>
        <w:t xml:space="preserve"> at 23—là mục tiêu mà chính phủ đã phủ nhận không chỉ khi Bộ Nông nghiệp ban hành quy định của mình, mà còn khi Bộ Tư pháp bảo vệ chúng trước tòa án của chúng tôi, </w:t>
      </w:r>
      <w:r>
        <w:rPr>
          <w:b w:val="0"/>
          <w:i/>
        </w:rPr>
        <w:t>id.</w:t>
      </w:r>
      <w:r>
        <w:rPr>
          <w:b w:val="0"/>
          <w:i w:val="0"/>
        </w:rPr>
        <w:t xml:space="preserve"> at 25; </w:t>
      </w:r>
      <w:r>
        <w:rPr>
          <w:b w:val="0"/>
          <w:i/>
        </w:rPr>
        <w:t>id.</w:t>
      </w:r>
      <w:r>
        <w:rPr>
          <w:b w:val="0"/>
          <w:i w:val="0"/>
        </w:rPr>
        <w:t xml:space="preserve"> at 46–47 (Brown, J., phản đối). Tòa án </w:t>
      </w:r>
      <w:r>
        <w:rPr>
          <w:b w:val="0"/>
          <w:i/>
        </w:rPr>
        <w:t>AMI</w:t>
      </w:r>
      <w:r>
        <w:rPr>
          <w:b w:val="0"/>
          <w:i w:val="0"/>
        </w:rPr>
        <w:t xml:space="preserve"> do đó đã bác bỏ phần trong các phán quyết của chúng tôi trong vụ </w:t>
      </w:r>
      <w:r>
        <w:rPr>
          <w:b w:val="0"/>
          <w:i/>
        </w:rPr>
        <w:t>NAM, R.J. Reynolds</w:t>
      </w:r>
      <w:r>
        <w:rPr>
          <w:b w:val="0"/>
          <w:i w:val="0"/>
        </w:rPr>
        <w:t xml:space="preserve"> , và </w:t>
      </w:r>
      <w:r>
        <w:rPr>
          <w:b w:val="0"/>
          <w:i/>
        </w:rPr>
        <w:t>National Association of Manufacturers v. NLRB</w:t>
      </w:r>
      <w:r>
        <w:rPr>
          <w:b w:val="0"/>
          <w:i w:val="0"/>
        </w:rPr>
        <w:t xml:space="preserve"> cho rằng phân tích trong </w:t>
      </w:r>
      <w:r>
        <w:rPr>
          <w:b w:val="0"/>
          <w:i/>
        </w:rPr>
        <w:t>Zauderer</w:t>
      </w:r>
      <w:r>
        <w:rPr>
          <w:b w:val="0"/>
          <w:i w:val="0"/>
        </w:rPr>
        <w:t xml:space="preserve"> chỉ giới hạn trong các công bố thông tin bị chính phủ ép buộc được thiết kế để ngăn chặn sự lừa dối người tiêu dùng.</w:t>
      </w:r>
    </w:p>
    <w:p>
      <w:pPr>
        <w:spacing w:after="80"/>
      </w:pPr>
      <w:r>
        <w:rPr>
          <w:b w:val="0"/>
          <w:i w:val="0"/>
        </w:rPr>
        <w:t xml:space="preserve">Trước quyết định </w:t>
      </w:r>
      <w:r>
        <w:rPr>
          <w:b w:val="0"/>
          <w:i/>
        </w:rPr>
        <w:t>AMI</w:t>
      </w:r>
      <w:r>
        <w:rPr>
          <w:b w:val="0"/>
          <w:i w:val="0"/>
        </w:rPr>
        <w:t xml:space="preserve">, chúng tôi đã chấp thuận đơn yêu cầu xét xử lại của Ủy ban Chứng khoán và Giao dịch (Securities and Exchange Commission) và bên tham gia vụ kiện là Tổ chức Ân xá Quốc tế (Amnesty International) để xem xét </w:t>
      </w:r>
      <w:r>
        <w:rPr>
          <w:b w:val="0"/>
          <w:i/>
        </w:rPr>
        <w:t>AMI</w:t>
      </w:r>
      <w:r>
        <w:rPr>
          <w:b w:val="0"/>
          <w:i w:val="0"/>
        </w:rPr>
        <w:t xml:space="preserve"> có ảnh hưởng gì, nếu có, đến phán quyết của chúng tôi rằng yêu cầu công bố thông tin về khoáng sản xung đột (conflict minerals) tại 15 U.S.C. § 78m(p)(1)(A)(ii) &amp; (E), cùng quy định cuối cùng của Ủy ban, 77 Fed.Reg. 56,274, 56,362–65, đã vi phạm Tu chính án thứ nhất của Hiến pháp. </w:t>
      </w:r>
      <w:r>
        <w:rPr>
          <w:b w:val="0"/>
          <w:i/>
        </w:rPr>
        <w:t>Xem</w:t>
      </w:r>
      <w:r>
        <w:rPr>
          <w:b w:val="0"/>
          <w:i w:val="0"/>
        </w:rPr>
        <w:t xml:space="preserve"> Lệnh ngày 18 tháng 11 năm 2014. Vì những lý do sau đây, chúng tôi tái khẳng định phán quyết ban đầu của mình.</w:t>
      </w:r>
    </w:p>
    <w:p>
      <w:pPr>
        <w:spacing w:after="80"/>
      </w:pPr>
      <w:r>
        <w:rPr>
          <w:b w:val="0"/>
          <w:i w:val="0"/>
        </w:rPr>
        <w:t>* * *</w:t>
      </w:r>
    </w:p>
    <w:p>
      <w:pPr>
        <w:spacing w:after="80"/>
      </w:pPr>
      <w:r>
        <w:rPr>
          <w:b w:val="0"/>
          <w:i w:val="0"/>
        </w:rPr>
        <w:t>Thông tin công bố về khoáng sản xung đột phải được đăng trên trang web của mỗi công ty báo cáo và trong các báo cáo gửi lên SEC. Trong quá trình ban hành quy định, SEC đã thừa nhận rằng đạo luật—và các quy định của nó—được "hướng tới việc đạt được lợi ích xã hội tổng thể", rằng luật này không "nhằm tạo ra lợi ích kinh tế trực tiếp, có thể đo lường được cho nhà đầu tư hay tổ chức phát hành", và rằng các yêu cầu quy định này "khá khác biệt so với những lợi ích kinh tế hay bảo vệ nhà đầu tư mà các quy định của chúng tôi thường hướng tới". 77 Fed.Reg. tại 56,350.</w:t>
      </w:r>
    </w:p>
    <w:p>
      <w:pPr>
        <w:spacing w:after="80"/>
      </w:pPr>
      <w:r>
        <w:rPr>
          <w:b w:val="0"/>
          <w:i w:val="0"/>
        </w:rPr>
        <w:t xml:space="preserve">Do đó SEC đã thừa nhận rằng vụ án này không liên quan đến quảng cáo hay công bố thông tin tại điểm bán hàng. Tuy nhiên, ý kiến của Tòa án Tối cao trong </w:t>
      </w:r>
      <w:r>
        <w:rPr>
          <w:b w:val="0"/>
          <w:i/>
        </w:rPr>
        <w:t>Zauderer</w:t>
      </w:r>
      <w:r>
        <w:rPr>
          <w:b w:val="0"/>
          <w:i w:val="0"/>
        </w:rPr>
        <w:t xml:space="preserve"> chỉ giới hạn trong phạm vi quảng cáo, một cách dứt khoát và—có thể suy đoán—một cách có chủ đích. Trong một ý kiến dài, Tòa chỉ dành bốn trang cho vấn đề công bố thông tin bắt buộc. </w:t>
      </w:r>
      <w:r>
        <w:rPr>
          <w:b w:val="0"/>
          <w:i/>
        </w:rPr>
        <w:t>Zauderer,</w:t>
      </w:r>
      <w:r>
        <w:rPr>
          <w:b w:val="0"/>
          <w:i w:val="0"/>
        </w:rPr>
        <w:t xml:space="preserve"> 471 U.S. tại 650–53, 105 S.Ct. 2265. Vậy mà trong vài trang đó, Tòa đã nêu rõ ràng quảng cáo là phạm vi phán quyết của mình không dưới mười ba lần. Các trích dẫn trong chú thích trước đó chứng minh rằng Tòa không hề phán quyết rằng bất cứ khi nào chính phủ buộc một thực thể thương mại phải đưa ra thông điệp do chính phủ soạn thảo, thì quyền lợi theo Tu chính án thứ nhất của thực thể đó là tối thiểu. Thay vào đó, Tòa trong </w:t>
      </w:r>
      <w:r>
        <w:rPr>
          <w:b w:val="0"/>
          <w:i/>
        </w:rPr>
        <w:t>Zauderer</w:t>
      </w:r>
      <w:r>
        <w:rPr>
          <w:b w:val="0"/>
          <w:i w:val="0"/>
        </w:rPr>
        <w:t xml:space="preserve">—trong một đoạn mà </w:t>
      </w:r>
      <w:r>
        <w:rPr>
          <w:b w:val="0"/>
          <w:i/>
        </w:rPr>
        <w:t>AMI</w:t>
      </w:r>
      <w:r>
        <w:rPr>
          <w:b w:val="0"/>
          <w:i w:val="0"/>
        </w:rPr>
        <w:t xml:space="preserve"> đã trích dẫn, 760 F.3d tại 22—đã phán quyết rằng "lợi ích được hiến pháp bảo vệ của nhà quảng cáo trong việc </w:t>
      </w:r>
      <w:r>
        <w:rPr>
          <w:b w:val="0"/>
          <w:i/>
        </w:rPr>
        <w:t>không</w:t>
      </w:r>
      <w:r>
        <w:rPr>
          <w:b w:val="0"/>
          <w:i w:val="0"/>
        </w:rPr>
        <w:t xml:space="preserve"> cung cấp bất kỳ thông tin thực tế cụ thể nào </w:t>
      </w:r>
      <w:r>
        <w:rPr>
          <w:b w:val="0"/>
          <w:i/>
        </w:rPr>
        <w:t>trong quảng cáo của mình</w:t>
      </w:r>
      <w:r>
        <w:rPr>
          <w:b w:val="0"/>
          <w:i w:val="0"/>
        </w:rPr>
        <w:t xml:space="preserve"> là tối thiểu". </w:t>
      </w:r>
      <w:r>
        <w:rPr>
          <w:b w:val="0"/>
          <w:i/>
        </w:rPr>
        <w:t>Zauderer,</w:t>
      </w:r>
      <w:r>
        <w:rPr>
          <w:b w:val="0"/>
          <w:i w:val="0"/>
        </w:rPr>
        <w:t xml:space="preserve"> 471 U.S. tại 651, 105 S.Ct. 2265 (phần in nghiêng cuối được thêm vào).</w:t>
      </w:r>
    </w:p>
    <w:p>
      <w:pPr>
        <w:spacing w:after="80"/>
      </w:pPr>
      <w:r>
        <w:rPr>
          <w:b w:val="0"/>
          <w:i w:val="0"/>
        </w:rPr>
        <w:t>* * *</w:t>
      </w:r>
    </w:p>
    <w:p>
      <w:pPr>
        <w:spacing w:after="80"/>
      </w:pPr>
      <w:r>
        <w:rPr>
          <w:b w:val="0"/>
          <w:i w:val="0"/>
        </w:rPr>
        <w:t xml:space="preserve">[V]ì vậy chúng tôi cho rằng </w:t>
      </w:r>
      <w:r>
        <w:rPr>
          <w:b w:val="0"/>
          <w:i/>
        </w:rPr>
        <w:t>Zauderer</w:t>
      </w:r>
      <w:r>
        <w:rPr>
          <w:b w:val="0"/>
          <w:i w:val="0"/>
        </w:rPr>
        <w:t xml:space="preserve"> không áp dụng cho vụ án này. . . .</w:t>
      </w:r>
    </w:p>
    <w:p>
      <w:pPr>
        <w:spacing w:after="80"/>
      </w:pPr>
      <w:r>
        <w:rPr>
          <w:b w:val="0"/>
          <w:i w:val="0"/>
        </w:rPr>
        <w:t xml:space="preserve">Nhưng trước sự biến động và bất định của học thuyết Tu chính án thứ nhất về ngôn luận thương mại, cùng sự mâu thuẫn giữa các vòng phúc thẩm liên quan đến phạm vi của </w:t>
      </w:r>
      <w:r>
        <w:rPr>
          <w:b w:val="0"/>
          <w:i/>
        </w:rPr>
        <w:t>Zauderer</w:t>
      </w:r>
      <w:r>
        <w:rPr>
          <w:b w:val="0"/>
          <w:i w:val="0"/>
        </w:rPr>
        <w:t xml:space="preserve">, chúng tôi cho rằng nên thận trọng bổ sung một căn cứ thay thế cho phán quyết của mình. Đó là thế này. Ngay cả khi các công bố bắt buộc ở đây là ngôn luận thương mại và ngay cả khi quan điểm của </w:t>
      </w:r>
      <w:r>
        <w:rPr>
          <w:b w:val="0"/>
          <w:i/>
        </w:rPr>
        <w:t>AMI</w:t>
      </w:r>
      <w:r>
        <w:rPr>
          <w:b w:val="0"/>
          <w:i w:val="0"/>
        </w:rPr>
        <w:t xml:space="preserve"> về </w:t>
      </w:r>
      <w:r>
        <w:rPr>
          <w:b w:val="0"/>
          <w:i/>
        </w:rPr>
        <w:t>Zauderer</w:t>
      </w:r>
      <w:r>
        <w:rPr>
          <w:b w:val="0"/>
          <w:i w:val="0"/>
        </w:rPr>
        <w:t xml:space="preserve"> chi phối việc phân tích, chúng tôi vẫn tin rằng đạo luật và các quy định này vi phạm Tu chính án thứ nhất.</w:t>
      </w:r>
    </w:p>
    <w:p>
      <w:pPr>
        <w:spacing w:after="80"/>
      </w:pPr>
      <w:r>
        <w:rPr>
          <w:b w:val="0"/>
          <w:i w:val="0"/>
        </w:rPr>
        <w:t xml:space="preserve">Để đánh giá tính hợp hiến của các công bố bắt buộc về khoáng sản xung đột, bước đầu tiên theo </w:t>
      </w:r>
      <w:r>
        <w:rPr>
          <w:b w:val="0"/>
          <w:i/>
        </w:rPr>
        <w:t>AMI</w:t>
      </w:r>
      <w:r>
        <w:rPr>
          <w:b w:val="0"/>
          <w:i w:val="0"/>
        </w:rPr>
        <w:t xml:space="preserve"> (và </w:t>
      </w:r>
      <w:r>
        <w:rPr>
          <w:b w:val="0"/>
          <w:i/>
        </w:rPr>
        <w:t>Central Hudson</w:t>
      </w:r>
      <w:r>
        <w:rPr>
          <w:b w:val="0"/>
          <w:i w:val="0"/>
        </w:rPr>
        <w:t xml:space="preserve">) là xác định và "đánh giá tính thỏa đáng của [lợi ích chính phủ] thúc đẩy" yêu cầu công bố thông tin. </w:t>
      </w:r>
      <w:r>
        <w:rPr>
          <w:b w:val="0"/>
          <w:i/>
        </w:rPr>
        <w:t>AMI,</w:t>
      </w:r>
      <w:r>
        <w:rPr>
          <w:b w:val="0"/>
          <w:i w:val="0"/>
        </w:rPr>
        <w:t xml:space="preserve"> 760 F.3d tại 23. Lạ thay, Bản Bổ sung Lập luận của SEC không đề cập đến chủ đề này. Trong vòng lập luận đầu tiên, SEC mô tả lợi ích của chính phủ là "xoa dịu cuộc khủng hoảng nhân đạo ở DRC". Appellee Br. 26. Chúng tôi sẽ coi đây là lợi ích đủ chính đáng của Hoa Kỳ theo </w:t>
      </w:r>
      <w:r>
        <w:rPr>
          <w:b w:val="0"/>
          <w:i/>
        </w:rPr>
        <w:t>AMI</w:t>
      </w:r>
      <w:r>
        <w:rPr>
          <w:b w:val="0"/>
          <w:i w:val="0"/>
        </w:rPr>
        <w:t xml:space="preserve"> và </w:t>
      </w:r>
      <w:r>
        <w:rPr>
          <w:b w:val="0"/>
          <w:i/>
        </w:rPr>
        <w:t>Central Hudson.</w:t>
      </w:r>
    </w:p>
    <w:p>
      <w:pPr>
        <w:spacing w:after="80"/>
      </w:pPr>
      <w:r>
        <w:rPr>
          <w:b w:val="0"/>
          <w:i w:val="0"/>
        </w:rPr>
        <w:t xml:space="preserve">Sau khi xác định lợi ích hay mục tiêu của chính phủ, chúng ta phải đánh giá tính hiệu quả của biện pháp trong việc đạt được mục tiêu đó. </w:t>
      </w:r>
      <w:r>
        <w:rPr>
          <w:b w:val="0"/>
          <w:i/>
        </w:rPr>
        <w:t>AMI,</w:t>
      </w:r>
      <w:r>
        <w:rPr>
          <w:b w:val="0"/>
          <w:i w:val="0"/>
        </w:rPr>
        <w:t xml:space="preserve"> 760 F.3d tại 26; </w:t>
      </w:r>
      <w:r>
        <w:rPr>
          <w:b w:val="0"/>
          <w:i/>
        </w:rPr>
        <w:t>xem, ví dụ, Ibanez v. Fla. Dep't of Bus. &amp; Prof. Reg.,</w:t>
      </w:r>
      <w:r>
        <w:rPr>
          <w:b w:val="0"/>
          <w:i w:val="0"/>
        </w:rPr>
        <w:t xml:space="preserve"> 512 U.S. 136, 146, 114 S.Ct. 2084, 129 L.Ed.2d 118 (1994);</w:t>
      </w:r>
      <w:r>
        <w:rPr>
          <w:b w:val="0"/>
          <w:i/>
        </w:rPr>
        <w:t>Central Hudson,</w:t>
      </w:r>
      <w:r>
        <w:rPr>
          <w:b w:val="0"/>
          <w:i w:val="0"/>
        </w:rPr>
        <w:t xml:space="preserve"> 447 U.S. tại 564–66, 100 S.Ct. 2343. Mặc dù nghĩa vụ chứng minh thuộc về chính phủ, </w:t>
      </w:r>
      <w:r>
        <w:rPr>
          <w:b w:val="0"/>
          <w:i/>
        </w:rPr>
        <w:t>xem Ibanez,</w:t>
      </w:r>
      <w:r>
        <w:rPr>
          <w:b w:val="0"/>
          <w:i w:val="0"/>
        </w:rPr>
        <w:t xml:space="preserve"> 512 U.S. tại 146, 114 S.Ct. 2084, nhưng ở đây một lần nữa SEC chỉ đưa ra rất ít nội dung thực chất ngoài việc trích dẫn các phát biểu của hai Thượng nghị sĩ và các thành viên nhánh hành pháp, cùng một nghị quyết của Liên Hợp Quốc. Chính phủ khẳng định đây là vấn đề đối ngoại và đại diện cho "kiểu 'phán đoán giá trị dựa trên lẽ thường của đại diện nhân dân' mà Tòa án này không đòi hỏi bằng chứng chi tiết hơn". Appellee Br. 64 (trích dẫn </w:t>
      </w:r>
      <w:r>
        <w:rPr>
          <w:b w:val="0"/>
          <w:i/>
        </w:rPr>
        <w:t>Nat'l Ass'n of Mfrs. v. Taylor,</w:t>
      </w:r>
      <w:r>
        <w:rPr>
          <w:b w:val="0"/>
          <w:i w:val="0"/>
        </w:rPr>
        <w:t xml:space="preserve"> 582 F.3d 1, 16 (D.C.Cir.2009)). Như chính phủ lưu ý, trong lĩnh vực quan hệ đối ngoại, "các kết luận thường phải dựa trên phán đoán có hiểu biết thay vì bằng chứng cụ thể". </w:t>
      </w:r>
      <w:r>
        <w:rPr>
          <w:b w:val="0"/>
          <w:i/>
        </w:rPr>
        <w:t>Holder v. Humanitarian Law Project,</w:t>
      </w:r>
      <w:r>
        <w:rPr>
          <w:b w:val="0"/>
          <w:i w:val="0"/>
        </w:rPr>
        <w:t xml:space="preserve"> 561 U.S. 1, 34–35, 130 S.Ct. 2705, 177 L.Ed.2d 355 (2010).</w:t>
      </w:r>
    </w:p>
    <w:p>
      <w:pPr>
        <w:spacing w:after="80"/>
      </w:pPr>
      <w:r>
        <w:rPr>
          <w:b w:val="0"/>
          <w:i w:val="0"/>
        </w:rPr>
        <w:t xml:space="preserve">Nhưng trước những lỗ hổng chứng cứ như vậy, chúng tôi buộc phải suy đoán xem Quốc hội đã đưa ra những phán đoán gì khi soạn thảo quy định này. Điều rõ ràng nhất xuất phát từ chi phí tuân thủ, ước tính ban đầu là 3 tỷ đến 4 tỷ đô la và 207 triệu đến 609 triệu đô la mỗi năm sau đó, </w:t>
      </w:r>
      <w:r>
        <w:rPr>
          <w:b w:val="0"/>
          <w:i/>
        </w:rPr>
        <w:t>xem</w:t>
      </w:r>
      <w:r>
        <w:rPr>
          <w:b w:val="0"/>
          <w:i w:val="0"/>
        </w:rPr>
        <w:t xml:space="preserve"> 77 Fed.Reg. tại 56,334, cùng triển vọng rằng một số công ty do đó sẽ tẩy chay các nhà cung cấp khoáng sản có bất kỳ liên hệ nào với khu vực châu Phi này. Điều đó sẽ giảm bớt cuộc khủng hoảng nhân đạo trong khu vực như thế nào? Ý tưởng hẳn là cơ chế công bố bắt buộc sẽ làm giảm doanh thu của các nhóm vũ trang ở DRC và việc mất doanh thu của họ sẽ chấm dứt hoặc ít nhất là làm giảm bớt cuộc khủng hoảng nhân đạo ở đó. Nhưng có một vấn đề lớn với ý tưởng này—nó hoàn toàn chưa được chứng minh và chỉ dựa trên suy đoán thuần túy.</w:t>
      </w:r>
    </w:p>
    <w:p>
      <w:pPr>
        <w:spacing w:after="80"/>
      </w:pPr>
      <w:r>
        <w:rPr>
          <w:b w:val="0"/>
          <w:i w:val="0"/>
        </w:rPr>
        <w:t xml:space="preserve">Theo Tu chính án thứ nhất, trong các vụ án về ngôn luận thương mại, chính phủ không thể dựa vào "suy đoán hay phỏng đoán". </w:t>
      </w:r>
      <w:r>
        <w:rPr>
          <w:b w:val="0"/>
          <w:i/>
        </w:rPr>
        <w:t>Edenfield v. Fane,</w:t>
      </w:r>
      <w:r>
        <w:rPr>
          <w:b w:val="0"/>
          <w:i w:val="0"/>
        </w:rPr>
        <w:t xml:space="preserve"> 507 U.S. 761, 770, 113 S.Ct. 1792, 123 L.Ed.2d 543 (1993). Nhưng đó chính xác là điều chính phủ đang làm ở đây. Trước khi thông qua đạo luật, Quốc hội đã không tổ chức phiên điều trần nào về tác động có thể có của § 1502. SEC chỉ ra các phiên điều trần mà Quốc hội đã tổ chức về các dự luật trước đó liên quan đến xung đột ở DRC, nhưng những phiên điều trần đó không đề cập đến các quy định luật pháp đang là vấn đề trong vụ án này. Khi Quốc hội tổ chức điều trần sau khi § 1502 được ban hành, lời khai đi theo cả hai hướng—một số cho rằng quy định sẽ làm dịu xung đột, trong khi số khác cho rằng nó đã "gây tác động tiêu cực đáng kể đối với những người ngoài cuộc vô tội ở DRC". </w:t>
      </w:r>
      <w:r>
        <w:rPr>
          <w:b w:val="0"/>
          <w:i/>
        </w:rPr>
        <w:t>The Unintended Consequences of Dodd-Frank's</w:t>
      </w:r>
      <w:r>
        <w:rPr>
          <w:b w:val="0"/>
          <w:i w:val="0"/>
        </w:rPr>
        <w:t xml:space="preserve"> Conflict Minerals </w:t>
      </w:r>
      <w:r>
        <w:rPr>
          <w:b w:val="0"/>
          <w:i/>
        </w:rPr>
        <w:t>Provision: Hearing Before the Subcomm. on Monetary Policy and Trade of the H. Comm. on Financial Services,</w:t>
      </w:r>
      <w:r>
        <w:rPr>
          <w:b w:val="0"/>
          <w:i w:val="0"/>
        </w:rPr>
        <w:t xml:space="preserve"> 113th Cong. (ngày 21 tháng 5 năm 2013) (Phát biểu của Nghị sĩ Campbell).</w:t>
      </w:r>
    </w:p>
    <w:p>
      <w:pPr>
        <w:spacing w:after="80"/>
      </w:pPr>
      <w:r>
        <w:rPr>
          <w:b w:val="0"/>
          <w:i w:val="0"/>
        </w:rPr>
        <w:t xml:space="preserve">Các bằng chứng hậu kiểm khác càng làm dấy lên nghi ngờ liệu quy định về khoáng sản xung đột có làm dịu hay làm trầm trọng thêm vấn đề đã nêu hay không. Như NAM chỉ ra khi xét xử lại, luật về khoáng sản xung đột có thể đã phản tác dụng. Vì đạo luật này, và vì một số công ty ở Hoa Kỳ hiện đang tránh DRC, những người khai thác mỏ đang bị mất việc hoặc thấy ngay cả mức lương ít ỏi của họ cũng bị giảm đáng kể, do đó làm trầm trọng thêm cuộc khủng hoảng nhân đạo và đẩy họ vào các trại của phiến quân như là giải pháp cuối cùng. Appellants Supp. Br. 17; </w:t>
      </w:r>
      <w:r>
        <w:rPr>
          <w:b w:val="0"/>
          <w:i/>
        </w:rPr>
        <w:t>xem, ví dụ,</w:t>
      </w:r>
      <w:r>
        <w:rPr>
          <w:b w:val="0"/>
          <w:i w:val="0"/>
        </w:rPr>
        <w:t xml:space="preserve"> Sudarsan Raghavan, </w:t>
      </w:r>
      <w:r>
        <w:rPr>
          <w:b w:val="0"/>
          <w:i/>
        </w:rPr>
        <w:t>How a Well-Intentioned U.S. Law Left Congolese Miners Jobless,</w:t>
      </w:r>
      <w:r>
        <w:rPr>
          <w:b w:val="0"/>
          <w:i w:val="0"/>
        </w:rPr>
        <w:t xml:space="preserve"> WASH. POST, ngày 30 tháng 11 năm 2014; Lauren Wolfe, </w:t>
      </w:r>
      <w:r>
        <w:rPr>
          <w:b w:val="0"/>
          <w:i/>
        </w:rPr>
        <w:t>How Dodd-Frank is Failing Congo,</w:t>
      </w:r>
      <w:r>
        <w:rPr>
          <w:b w:val="0"/>
          <w:i w:val="0"/>
        </w:rPr>
        <w:t xml:space="preserve"> FOREIGN POL'Y, ngày 2 tháng 2 năm 2015.</w:t>
      </w:r>
    </w:p>
    <w:p>
      <w:pPr>
        <w:spacing w:after="80"/>
      </w:pPr>
      <w:r>
        <w:rPr>
          <w:b w:val="0"/>
          <w:i w:val="0"/>
        </w:rPr>
        <w:t xml:space="preserve">Ý kiến ban đầu của chúng tôi đã chỉ ra rằng SEC không thể định lượng được bất kỳ lợi ích nào của chính cơ chế công bố bắt buộc. </w:t>
      </w:r>
      <w:r>
        <w:rPr>
          <w:b w:val="0"/>
          <w:i/>
        </w:rPr>
        <w:t>NAM,</w:t>
      </w:r>
      <w:r>
        <w:rPr>
          <w:b w:val="0"/>
          <w:i w:val="0"/>
        </w:rPr>
        <w:t xml:space="preserve"> 748 F.3d tại 364. </w:t>
      </w:r>
      <w:r>
        <w:rPr>
          <w:b w:val="0"/>
          <w:i/>
        </w:rPr>
        <w:t>Xem</w:t>
      </w:r>
      <w:r>
        <w:rPr>
          <w:b w:val="0"/>
          <w:i w:val="0"/>
        </w:rPr>
        <w:t xml:space="preserve"> 77 Fed.Reg. tại 56,335 ("Đạo luật do đó nhằm đạt được những lợi ích xã hội cấp thiết, mà chúng tôi không thể định lượng ngay được với bất kỳ độ chính xác nào."). Văn phòng Trách nhiệm Chính phủ Hoa Kỳ (Government Accountability Office) đã tránh đề cập đến vấn đề này, mặc dù đạo luật về khoáng sản xung đột yêu cầu cơ quan này đánh giá tính hiệu quả của các công bố bắt buộc trong việc làm dịu các cuộc khủng hoảng nhân đạo. 15 U.S.C. § 78m(p)(1)(A)(ii) &amp; (E); </w:t>
      </w:r>
      <w:r>
        <w:rPr>
          <w:b w:val="0"/>
          <w:i/>
        </w:rPr>
        <w:t>xem</w:t>
      </w:r>
      <w:r>
        <w:rPr>
          <w:b w:val="0"/>
          <w:i w:val="0"/>
        </w:rPr>
        <w:t xml:space="preserve"> U.S. G.A.O., CONFLICT MINERALS: STAKEHOLDER OPTIONS FOR RESPONSIBLE SOURCING ARE EXPANDING, BUT MORE INFORMATION ON SMELTERS IS NEEDED 3 (ngày 26 tháng 6 năm 2014) ("[C]húng tôi vẫn chưa đề cập đến tính hiệu quả của quy định về khoáng sản xung đột của SEC như luật yêu cầu.").</w:t>
      </w:r>
    </w:p>
    <w:p>
      <w:pPr>
        <w:spacing w:after="80"/>
      </w:pPr>
      <w:r>
        <w:rPr>
          <w:b w:val="0"/>
          <w:i w:val="0"/>
        </w:rPr>
        <w:t>Đó không phải để nói rằng chúng tôi biết chắc chắn quy định về khoáng sản xung đột sẽ không giúp ích gì—các nguồn khác cho rằng quy định sẽ làm được điều đó. Nhưng đó là để nói rằng liệu § 1502 có hiệu quả hay không vẫn chưa được chứng minh ở mức độ mà Tu chính án thứ nhất yêu cầu để buộc phát ngôn.</w:t>
      </w:r>
    </w:p>
    <w:p>
      <w:pPr>
        <w:spacing w:after="80"/>
      </w:pPr>
      <w:r>
        <w:rPr>
          <w:b w:val="0"/>
          <w:i w:val="0"/>
        </w:rPr>
        <w:t xml:space="preserve">Tất cả những điều này đặt ra một vấn đề nghiêm trọng cho SEC bởi vì, như chúng tôi đã nói, chính phủ không thể dựa vào sự suy đoán hay phỏng đoán như vậy. </w:t>
      </w:r>
      <w:r>
        <w:rPr>
          <w:b w:val="0"/>
          <w:i/>
        </w:rPr>
        <w:t>Edenfield v. Fane,</w:t>
      </w:r>
      <w:r>
        <w:rPr>
          <w:b w:val="0"/>
          <w:i w:val="0"/>
        </w:rPr>
        <w:t xml:space="preserve"> 507 U.S. tại 770, 113 S.Ct. 1792. Thay vào đó, SEC có nghĩa vụ chứng minh rằng biện pháp mà mình thông qua sẽ "thực tế làm giảm bớt" những tổn hại mà mình đã nêu "ở mức độ đáng kể". </w:t>
      </w:r>
      <w:r>
        <w:rPr>
          <w:b w:val="0"/>
          <w:i/>
        </w:rPr>
        <w:t>Id.</w:t>
      </w:r>
      <w:r>
        <w:rPr>
          <w:b w:val="0"/>
          <w:i w:val="0"/>
        </w:rPr>
        <w:t xml:space="preserve"> tại 771, 113 S.Ct. 1792; </w:t>
      </w:r>
      <w:r>
        <w:rPr>
          <w:b w:val="0"/>
          <w:i/>
        </w:rPr>
        <w:t>xem, ví dụ, Ibanez,</w:t>
      </w:r>
      <w:r>
        <w:rPr>
          <w:b w:val="0"/>
          <w:i w:val="0"/>
        </w:rPr>
        <w:t xml:space="preserve"> 512 U.S. tại 146, 114 S.Ct. 2084; </w:t>
      </w:r>
      <w:r>
        <w:rPr>
          <w:b w:val="0"/>
          <w:i/>
        </w:rPr>
        <w:t>Turner Broad. Sys., Inc. v. FCC,</w:t>
      </w:r>
      <w:r>
        <w:rPr>
          <w:b w:val="0"/>
          <w:i w:val="0"/>
        </w:rPr>
        <w:t xml:space="preserve"> 512 U.S. 622, 664, 114 S.Ct. 2445, 129 L.Ed.2d 497 (1994) (ý kiến đa số); </w:t>
      </w:r>
      <w:r>
        <w:rPr>
          <w:b w:val="0"/>
          <w:i/>
        </w:rPr>
        <w:t>Pearson v. Shalala,</w:t>
      </w:r>
      <w:r>
        <w:rPr>
          <w:b w:val="0"/>
          <w:i w:val="0"/>
        </w:rPr>
        <w:t xml:space="preserve"> 164 F.3d 650, 659 (D.C.Cir.1999); </w:t>
      </w:r>
      <w:r>
        <w:rPr>
          <w:b w:val="0"/>
          <w:i/>
        </w:rPr>
        <w:t>Action for Children's Television v. FCC,</w:t>
      </w:r>
      <w:r>
        <w:rPr>
          <w:b w:val="0"/>
          <w:i w:val="0"/>
        </w:rPr>
        <w:t xml:space="preserve"> 58 F.3d 654, 665 (D.C.Cir.1995) (phiên họp toàn thể). SEC đã không đưa ra được sự chứng minh như vậy trong vụ án này và, như chúng tôi đã thảo luận, trong quá trình ban hành quy định SEC đã thừa nhận rằng mình không thể làm được điều đó.</w:t>
      </w:r>
    </w:p>
    <w:p>
      <w:pPr>
        <w:spacing w:after="80"/>
      </w:pPr>
      <w:r>
        <w:rPr>
          <w:b w:val="0"/>
          <w:i w:val="0"/>
        </w:rPr>
        <w:t xml:space="preserve">Điều này tự nó đã đánh đổ đạo luật và quy định của SEC. Nếu như thế vẫn chưa đủ, chúng tôi sẽ chuyển sang đánh giá một khía cạnh khác của </w:t>
      </w:r>
      <w:r>
        <w:rPr>
          <w:b w:val="0"/>
          <w:i/>
        </w:rPr>
        <w:t>AMI</w:t>
      </w:r>
      <w:r>
        <w:rPr>
          <w:b w:val="0"/>
          <w:i w:val="0"/>
        </w:rPr>
        <w:t xml:space="preserve">, một khía cạnh của ý kiến mà hai trong số các bản bổ sung lập luận khi xét xử lại (của SEC và NAM) tập trung vào—cụ thể là liệu các công bố bắt buộc ở đây có phải là "hoàn toàn mang tính thực tế và không gây tranh cãi" hay không, </w:t>
      </w:r>
      <w:r>
        <w:rPr>
          <w:b w:val="0"/>
          <w:i/>
        </w:rPr>
        <w:t>AMI,</w:t>
      </w:r>
      <w:r>
        <w:rPr>
          <w:b w:val="0"/>
          <w:i w:val="0"/>
        </w:rPr>
        <w:t xml:space="preserve"> 760 F.3d tại 26 (trích dẫn </w:t>
      </w:r>
      <w:r>
        <w:rPr>
          <w:b w:val="0"/>
          <w:i/>
        </w:rPr>
        <w:t>Zauderer,</w:t>
      </w:r>
      <w:r>
        <w:rPr>
          <w:b w:val="0"/>
          <w:i w:val="0"/>
        </w:rPr>
        <w:t xml:space="preserve"> 471 U.S. tại 651, 105 S.Ct. 2265). . . .</w:t>
      </w:r>
    </w:p>
    <w:p>
      <w:pPr>
        <w:spacing w:after="80"/>
      </w:pPr>
      <w:r>
        <w:rPr>
          <w:b w:val="0"/>
          <w:i w:val="0"/>
        </w:rPr>
        <w:t xml:space="preserve">Chúng tôi không thấy cách nào để đọc </w:t>
      </w:r>
      <w:r>
        <w:rPr>
          <w:b w:val="0"/>
          <w:i/>
        </w:rPr>
        <w:t>AMI</w:t>
      </w:r>
      <w:r>
        <w:rPr>
          <w:b w:val="0"/>
          <w:i w:val="0"/>
        </w:rPr>
        <w:t xml:space="preserve"> ngoài việc coi rằng—để trích dẫn </w:t>
      </w:r>
      <w:r>
        <w:rPr>
          <w:b w:val="0"/>
          <w:i/>
        </w:rPr>
        <w:t>AMI</w:t>
      </w:r>
      <w:r>
        <w:rPr>
          <w:b w:val="0"/>
          <w:i w:val="0"/>
        </w:rPr>
        <w:t>—</w:t>
      </w:r>
      <w:r>
        <w:rPr>
          <w:b w:val="0"/>
          <w:i/>
        </w:rPr>
        <w:t>Zauderer</w:t>
      </w:r>
      <w:r>
        <w:rPr>
          <w:b w:val="0"/>
          <w:i w:val="0"/>
        </w:rPr>
        <w:t xml:space="preserve"> “yêu cầu việc công bố phải là ‘thông tin thuần túy mang tính sự kiện và không gây tranh cãi’ về hàng hóa hoặc dịch vụ được chào bán.” </w:t>
      </w:r>
      <w:r>
        <w:rPr>
          <w:b w:val="0"/>
          <w:i/>
        </w:rPr>
        <w:t>AMI,</w:t>
      </w:r>
      <w:r>
        <w:rPr>
          <w:b w:val="0"/>
          <w:i w:val="0"/>
        </w:rPr>
        <w:t xml:space="preserve"> 760 F.3d at 27. Do đó, chúng tôi buộc phải tuân theo phán quyết đó. </w:t>
      </w:r>
      <w:r>
        <w:rPr>
          <w:b w:val="0"/>
          <w:i/>
        </w:rPr>
        <w:t>Xem LaShawn A. v. Barry,</w:t>
      </w:r>
      <w:r>
        <w:rPr>
          <w:b w:val="0"/>
          <w:i w:val="0"/>
        </w:rPr>
        <w:t xml:space="preserve"> 87 F.3d 1389, 1393 (D.C.Cir.1996) (en banc).</w:t>
      </w:r>
    </w:p>
    <w:p>
      <w:pPr>
        <w:spacing w:after="80"/>
      </w:pPr>
      <w:r>
        <w:rPr>
          <w:b w:val="0"/>
          <w:i w:val="0"/>
        </w:rPr>
        <w:t xml:space="preserve">Dù vậy, các bên can thiệp đúng khi cho rằng đa số trong </w:t>
      </w:r>
      <w:r>
        <w:rPr>
          <w:b w:val="0"/>
          <w:i/>
        </w:rPr>
        <w:t>AMI</w:t>
      </w:r>
      <w:r>
        <w:rPr>
          <w:b w:val="0"/>
          <w:i w:val="0"/>
        </w:rPr>
        <w:t xml:space="preserve"> “không hề cố gắng định nghĩa chính xác những thuật ngữ đó.” Intervenors Supp. Br. 9</w:t>
      </w:r>
      <w:r>
        <w:rPr>
          <w:b w:val="0"/>
          <w:i/>
        </w:rPr>
        <w:t>. . . .</w:t>
      </w:r>
    </w:p>
    <w:p>
      <w:pPr>
        <w:spacing w:after="80"/>
      </w:pPr>
      <w:r>
        <w:rPr>
          <w:b w:val="0"/>
          <w:i w:val="0"/>
        </w:rPr>
        <w:t xml:space="preserve">Một manh mối là “không gây tranh cãi,” với tư cách là một tiêu chuẩn pháp lý, hẳn phải có nghĩa khác với “thuần túy mang tính sự kiện.” Do đó, câu trong </w:t>
      </w:r>
      <w:r>
        <w:rPr>
          <w:b w:val="0"/>
          <w:i/>
        </w:rPr>
        <w:t>AMI</w:t>
      </w:r>
      <w:r>
        <w:rPr>
          <w:b w:val="0"/>
          <w:i w:val="0"/>
        </w:rPr>
        <w:t xml:space="preserve"> mà chúng tôi vừa trích dẫn, mô tả “gây tranh cãi theo nghĩa rằng [lời nói bị ép buộc] truyền đạt một thông điệp gây tranh cãi vì một lý do nào đó khác [chứ không phải] tranh chấp về tính chính xác sự kiện đơn thuần.” </w:t>
      </w:r>
      <w:r>
        <w:rPr>
          <w:b w:val="0"/>
          <w:i/>
        </w:rPr>
        <w:t>AMI,</w:t>
      </w:r>
      <w:r>
        <w:rPr>
          <w:b w:val="0"/>
          <w:i w:val="0"/>
        </w:rPr>
        <w:t xml:space="preserve"> 760 F.3d at 27. Có lẽ sự phân biệt là giữa sự kiện và ý kiến. Nhưng ranh giới đó thường bị mờ nhạt, và còn lâu mới rõ ràng rằng mọi ý kiến đều gây tranh cãi. Thuyết Tương đối Tổng quát của Einstein là sự kiện hay ý kiến, và liệu nó có nên bị coi là gây tranh cãi không? Nếu chính phủ yêu cầu dán nhãn lên tất cả động cơ đốt trong với nội dung “VIỆC SỬ DỤNG SẢN PHẨM NÀY GÓP PHẦN VÀO SỰ NÓNG LÊN TOÀN CẦU” thì đó là sự kiện hay ý kiến? Thật dễ dàng chuyển đổi nhiều phát biểu ý kiến thành khẳng định sự kiện chỉ bằng cách bỏ đi các từ “theo ý kiến của tôi” hoặc bỏ đi “theo ý kiến của nhiều nhà khoa học” hoặc bỏ đi “theo ý kiến của nhiều chuyên gia.” </w:t>
      </w:r>
      <w:r>
        <w:rPr>
          <w:b w:val="0"/>
          <w:i/>
        </w:rPr>
        <w:t>Cf. Omnicare, Inc. v. Laborers Dist. Council Constr. Indus. Pension Fund,</w:t>
      </w:r>
      <w:r>
        <w:rPr>
          <w:b w:val="0"/>
          <w:i w:val="0"/>
        </w:rPr>
        <w:t xml:space="preserve"> ___ U.S. ___, 135 S.Ct. 1318, 191 L.Ed.2d 253 (2015); Frederick Schauer, </w:t>
      </w:r>
      <w:r>
        <w:rPr>
          <w:b w:val="0"/>
          <w:i/>
        </w:rPr>
        <w:t>Facts and the First Amendment,</w:t>
      </w:r>
      <w:r>
        <w:rPr>
          <w:b w:val="0"/>
          <w:i w:val="0"/>
        </w:rPr>
        <w:t xml:space="preserve"> 57 UCLA L. REV. 897 (2010). Cũng có trường hợp những mệnh đề từng được coi là mang tính sự kiện và không gây tranh cãi lại hóa ra là điều gì đó hoàn toàn khác. Tòa án nên dùng khung thời gian nào để đánh giá điều này? Vào thời điểm ban hành đạo luật công bố? Vào thời điểm cơ quan ban hành quy định thực thi đạo luật công bố? Hay vào một thời điểm muộn hơn nào đó khi các công bố bị ép buộc không còn được coi là “thuần túy mang tính sự kiện” hoặc khi các công bố đã trở nên “gây tranh cãi”?</w:t>
      </w:r>
    </w:p>
    <w:p>
      <w:pPr>
        <w:spacing w:after="80"/>
      </w:pPr>
      <w:r>
        <w:rPr>
          <w:b w:val="0"/>
          <w:i w:val="0"/>
        </w:rPr>
        <w:t>* * *</w:t>
      </w:r>
    </w:p>
    <w:p>
      <w:pPr>
        <w:spacing w:after="80"/>
      </w:pPr>
      <w:r>
        <w:rPr>
          <w:b w:val="0"/>
          <w:i w:val="0"/>
        </w:rPr>
        <w:t xml:space="preserve">Trong phán quyết ban đầu của mình, chúng tôi đã tuyên bố rằng mô tả đang được bàn đến—liệu một sản phẩm là “không liên quan đến xung đột” hay “có liên quan đến xung đột”—khó có thể là “mang tính sự kiện và phi ý thức hệ.” </w:t>
      </w:r>
      <w:r>
        <w:rPr>
          <w:b w:val="0"/>
          <w:i/>
        </w:rPr>
        <w:t>NAM,</w:t>
      </w:r>
      <w:r>
        <w:rPr>
          <w:b w:val="0"/>
          <w:i w:val="0"/>
        </w:rPr>
        <w:t xml:space="preserve"> 748 F.3d at 371. Chúng tôi diễn đạt như sau: “Sản phẩm và khoáng sản không tham chiến trong các cuộc xung đột. Nhãn ‘[không] liên quan đến xung đột’ là một ẩn dụ truyền đạt trách nhiệm đạo đức đối với cuộc chiến ở Congo. Nó buộc một tổ chức phát hành phải nói với người tiêu dùng rằng sản phẩm của mình bị vấy bẩn về mặt đạo đức, ngay cả khi chúng chỉ gián tiếp tài trợ cho các nhóm vũ trang. Một tổ chức phát hành, kể cả một tổ chức phát hành lên án mạnh mẽ nhất những hành động tàn bạo của cuộc chiến ở Congo, có thể không đồng ý với đánh giá đó về trách nhiệm đạo đức của mình. Và nó có thể truyền đạt ‘thông điệp’ đó qua ‘sự im lặng.’ </w:t>
      </w:r>
      <w:r>
        <w:rPr>
          <w:b w:val="0"/>
          <w:i/>
        </w:rPr>
        <w:t>Xem Hurley,</w:t>
      </w:r>
      <w:r>
        <w:rPr>
          <w:b w:val="0"/>
          <w:i w:val="0"/>
        </w:rPr>
        <w:t xml:space="preserve"> 515 U.S. at 573, 115 S.Ct. 2338. Bằng cách buộc một tổ chức phát hành phải thú nhận máu trên tay mình, đạo luật can thiệp vào việc thực hiện quyền tự do ngôn luận theo Tu chính án thứ nhất. </w:t>
      </w:r>
      <w:r>
        <w:rPr>
          <w:b w:val="0"/>
          <w:i/>
        </w:rPr>
        <w:t>Xem id.</w:t>
      </w:r>
      <w:r>
        <w:rPr>
          <w:b w:val="0"/>
          <w:i w:val="0"/>
        </w:rPr>
        <w:t xml:space="preserve">” </w:t>
      </w:r>
      <w:r>
        <w:rPr>
          <w:b w:val="0"/>
          <w:i/>
        </w:rPr>
        <w:t>NAM,</w:t>
      </w:r>
      <w:r>
        <w:rPr>
          <w:b w:val="0"/>
          <w:i w:val="0"/>
        </w:rPr>
        <w:t xml:space="preserve"> 748 F.3d at 371.</w:t>
      </w:r>
    </w:p>
    <w:p>
      <w:pPr>
        <w:spacing w:after="80"/>
      </w:pPr>
      <w:r>
        <w:rPr>
          <w:b w:val="0"/>
          <w:i w:val="0"/>
        </w:rPr>
        <w:t>Chúng tôi không thấy lý do gì để thay đổi phân tích của mình về phương diện này. Và chúng tôi tiếp tục đồng ý với NAM rằng “[v]iệc yêu cầu một công ty công khai lên án chính mình chắc chắn là một cách ‘hiệu quả’ hơn để chính phủ bêu xấu và định hình hành vi so với việc chính phủ phải tự mình truyền đạt quan điểm của mình, nhưng điều đó khiến yêu cầu này mang tính xâm phạm hiến pháp nhiều hơn, chứ không phải ít hơn.” Appellants Reply Br. 27–28.</w:t>
      </w:r>
    </w:p>
    <w:p>
      <w:pPr>
        <w:spacing w:after="80"/>
      </w:pPr>
      <w:r>
        <w:rPr>
          <w:b w:val="0"/>
          <w:i w:val="0"/>
        </w:rPr>
        <w:t xml:space="preserve">Vì tất cả những lý do này, chúng tôi giữ nguyên phán quyết ban đầu của mình “rằng 15 U.S.C. § 78m(p)(1)(A)(ii) &amp; (E), và quy định cuối cùng của Ủy ban, 77 Fed.Reg. at 56,362–65, vi phạm Tu chính án thứ nhất trong phạm vi đạo luật và quy định yêu cầu các thực thể được điều chỉnh phải báo cáo với Ủy ban và tuyên bố trên trang web của họ rằng bất kỳ sản phẩm nào của họ ‘chưa được xác định là “không liên quan đến xung đột DRC.”’” </w:t>
      </w:r>
      <w:r>
        <w:rPr>
          <w:b w:val="0"/>
          <w:i/>
        </w:rPr>
        <w:t>NAM,</w:t>
      </w:r>
      <w:r>
        <w:rPr>
          <w:b w:val="0"/>
          <w:i w:val="0"/>
        </w:rPr>
        <w:t xml:space="preserve"> 748 F.3d at 373.</w:t>
      </w:r>
    </w:p>
    <w:p>
      <w:pPr>
        <w:spacing w:after="80"/>
      </w:pPr>
      <w:r>
        <w:rPr>
          <w:b w:val="0"/>
          <w:i/>
        </w:rPr>
        <w:t>Ban hành theo đó.</w:t>
      </w:r>
    </w:p>
    <w:p>
      <w:pPr>
        <w:spacing w:after="80"/>
      </w:pPr>
      <w:r>
        <w:rPr>
          <w:b w:val="0"/>
          <w:i w:val="0"/>
        </w:rPr>
        <w:t>SRINIVASAN, Thẩm phán Tòa phúc thẩm, phản đối:</w:t>
      </w:r>
    </w:p>
    <w:p>
      <w:pPr>
        <w:spacing w:after="80"/>
      </w:pPr>
      <w:r>
        <w:rPr>
          <w:b w:val="0"/>
          <w:i w:val="0"/>
        </w:rPr>
        <w:t xml:space="preserve">Các tổ chức phát hành chứng khoán phải thực hiện đủ loại công bố về sản phẩm của mình vì lợi ích của công chúng đầu tư. Không ai nghĩ rằng những nghĩa vụ công bố thông thường thuộc loại đó lại đặt ra vấn đề nghiêm trọng về Tu chính án thứ nhất. Ở đây cũng vậy, lẽ ra không nên có phản đối khả thi nào theo Tu chính án thứ nhất đối với yêu cầu buộc một tổ chức phát hành phải công bố quốc gia xuất xứ của nguyên liệu trong sản phẩm—bao gồm, chẳng hạn, liệu sản phẩm có chứa các khoáng sản cụ thể từ Cộng hòa Dân chủ Congo (DRC) hay một quốc gia láng giềng, nơi diễn ra một cuộc xung đột lâu dài được tài trợ một phần bằng việc buôn bán những khoáng sản đó. Một yêu cầu như vậy cung cấp cho nhà đầu tư và người tiêu dùng thông tin hữu ích về nguồn gốc địa lý của nguyên liệu đầu vào của sản phẩm. Thật vậy, tòa án của chúng ta, khi họp toàn thể, gần đây đã dựa vào “sự đồng thuận đã được kiểm chứng qua thời gian rằng người tiêu dùng muốn biết nguồn gốc địa lý của những thứ tiềm năng họ mua” để giữ nguyên yêu cầu buộc các công ty phải xác định quốc gia xuất xứ của sản phẩm thực phẩm. </w:t>
      </w:r>
      <w:r>
        <w:rPr>
          <w:b w:val="0"/>
          <w:i/>
        </w:rPr>
        <w:t>Am. Meat Inst. v. U.S. Dep't of Agric.,</w:t>
      </w:r>
      <w:r>
        <w:rPr>
          <w:b w:val="0"/>
          <w:i w:val="0"/>
        </w:rPr>
        <w:t xml:space="preserve"> 760 F.3d 18, 24 (D.C.Cir.2014) (lược bỏ dấu ngoặc kép nội bộ). Thật khó thấy có gì hoàn toàn khác biệt ở một loại luật “nguồn gốc địa lý” khác yêu cầu xác định các sản phẩm có khoáng sản đến từ DRC hoặc các quốc gia láng giềng.</w:t>
      </w:r>
    </w:p>
    <w:p>
      <w:pPr>
        <w:spacing w:after="80"/>
      </w:pPr>
      <w:r>
        <w:rPr>
          <w:b w:val="0"/>
          <w:i w:val="0"/>
        </w:rPr>
        <w:t xml:space="preserve">Nếu sản phẩm của một tổ chức phát hành chứa khoáng sản có nguồn gốc từ những quốc gia bị xung đột đó, Quy định về Khoáng sản Xung đột yêu cầu tổ chức phát hành phải xác định liệu sản phẩm có “không liên quan đến xung đột DRC” hay không, trong đó “không liên quan đến xung đột DRC” là một thuật ngữ chuyên môn được định nghĩa theo luật, biểu thị các sản phẩm không chứa “khoáng sản xung đột trực tiếp hoặc gián tiếp tài trợ hoặc mang lại lợi ích cho các nhóm vũ trang” ở DRC hoặc các quốc gia láng giềng. 15 U.S.C. § 78m(p)(1)(D). Nếu tổ chức phát hành, sau khi điều tra nguồn gốc khoáng sản của mình, không thể kết luận rằng một sản phẩm là “không liên quan đến xung đột DRC” theo định nghĩa của luật, thì nó phải nói rõ điều đó trong một báo cáo công bố rằng sản phẩm “chưa được xác định là ‘không liên quan đến xung đột DRC.’” Yêu cầu thực hiện công bố đó, xét theo phản ứng dự kiến của nhà đầu tư và người tiêu dùng, nhằm mục đích khuyên can các nhà sản xuất mua khoáng sản tài trợ cho các nhóm vũ trang ở khu vực DRC. Mục tiêu đó là duy nhất đối với luật chứng khoán này; nhưng cơ chế cơ bản—công bố thông tin mang tính sự kiện về một sản phẩm với dự liệu về phản ứng của người tiêu dùng—là điều thường thấy đối với các mệnh lệnh công bố của chính phủ. Nhiều luật công bố, bao gồm cả luật được giữ nguyên trong </w:t>
      </w:r>
      <w:r>
        <w:rPr>
          <w:b w:val="0"/>
          <w:i/>
        </w:rPr>
        <w:t>AMI</w:t>
      </w:r>
      <w:r>
        <w:rPr>
          <w:b w:val="0"/>
          <w:i w:val="0"/>
        </w:rPr>
        <w:t>, vận hành đúng theo cách đó.</w:t>
      </w:r>
    </w:p>
    <w:p>
      <w:pPr>
        <w:spacing w:after="80"/>
      </w:pPr>
      <w:r>
        <w:rPr>
          <w:b w:val="0"/>
          <w:i w:val="0"/>
        </w:rPr>
        <w:t xml:space="preserve">Các bên kháng cáo không đưa ra phản đối nào theo Tu chính án thứ nhất đối với nghĩa vụ tìm ra sản phẩm nào của họ không đủ điều kiện là “không liên quan đến xung đột DRC” theo nghĩa của định nghĩa trong luật. Họ cũng không thách thức nghĩa vụ liệt kê những sản phẩm đó trong một báo cáo cho nhà đầu tư. Các bên kháng cáo cũng có lẽ sẽ không có vấn đề gì với yêu cầu liệt kê các sản phẩm bằng cách lặp lại nguyên văn định nghĩa trong luật, </w:t>
      </w:r>
      <w:r>
        <w:rPr>
          <w:b w:val="0"/>
          <w:i/>
        </w:rPr>
        <w:t>tức là,</w:t>
      </w:r>
      <w:r>
        <w:rPr>
          <w:b w:val="0"/>
          <w:i w:val="0"/>
        </w:rPr>
        <w:t xml:space="preserve"> như những sản phẩm chưa được xác định là không chứa khoáng sản xung đột “trực tiếp hoặc gián tiếp tài trợ hoặc mang lại lợi ích cho các nhóm vũ trang” ở khu vực DRC. Ít nhất một số tổ chức phát hành trên thực tế đã thực hiện về cơ bản loại công bố đó, mà không có phản đối rõ ràng, theo lệnh tạm đình chỉ một phần của Quy định có hiệu lực kể từ phán quyết ban đầu của hội đồng xét xử chúng tôi. </w:t>
      </w:r>
      <w:r>
        <w:rPr>
          <w:b w:val="0"/>
          <w:i/>
        </w:rPr>
        <w:t>Xem</w:t>
      </w:r>
      <w:r>
        <w:rPr>
          <w:b w:val="0"/>
          <w:i w:val="0"/>
        </w:rPr>
        <w:t xml:space="preserve"> Exchange Act Rule 13p-1 và Form SD, Exchange Act Release No. 72,079 (May 2, 2014); </w:t>
      </w:r>
      <w:r>
        <w:rPr>
          <w:b w:val="0"/>
          <w:i/>
        </w:rPr>
        <w:t>e.g.,</w:t>
      </w:r>
      <w:r>
        <w:rPr>
          <w:b w:val="0"/>
          <w:i w:val="0"/>
        </w:rPr>
        <w:t xml:space="preserve"> Canon Inc., Conflict Minerals Report (Form SD Ex. 1.01) § 5 (May 29, 2015).</w:t>
      </w:r>
    </w:p>
    <w:p>
      <w:pPr>
        <w:spacing w:after="80"/>
      </w:pPr>
      <w:r>
        <w:rPr>
          <w:b w:val="0"/>
          <w:i w:val="0"/>
        </w:rPr>
        <w:t>Thay vào đó, thách thức của các bên kháng cáo có tính nhắm mục tiêu hơn: họ chỉ phản đối yêu cầu của Quy định buộc phải mô tả các sản phẩm được liệt kê bằng cụm từ sáo ngữ “chưa được xác định là ‘không liên quan đến xung đột DRC.’” Nhưng nếu không có vấn đề gì theo Tu chính án thứ nhất đối với nghĩa vụ xác định và liệt kê những sản phẩm đó, hoặc mô tả chúng bằng cách trích dẫn định nghĩa trong luật, thì còn lâu mới rõ rằng việc sử dụng một cụm từ viết tắt được quy định cho định nghĩa đó—thay cho chính định nghĩa kỹ thuật—lại sẽ thay đổi đáng kể phép tính hiến pháp.</w:t>
      </w:r>
    </w:p>
    <w:p>
      <w:pPr>
        <w:spacing w:after="80"/>
      </w:pPr>
      <w:r>
        <w:rPr>
          <w:b w:val="0"/>
          <w:i w:val="0"/>
        </w:rPr>
        <w:t>Có lẽ ai đó có thể phản đối rằng ý nghĩa của mô tả viết tắt “không liên quan đến xung đột DRC” sẽ không nhất thiết được người đọc biết đến. Nhưng mô tả đó nằm giữa một loạt các công bố bắt buộc về các biện pháp được thực hiện để xác định nguồn gốc khoáng sản có xuất xứ từ DRC hoặc các quốc gia láng giềng. Vậy nên ý nghĩa của “không liên quan đến xung đột DRC” dường như khá rõ ràng trong ngữ cảnh. Và ngay cả nếu không như vậy, một nhà đầu tư hay người tiêu dùng lần đầu gặp thuật ngữ đó cũng sẽ dễ dàng biết được rằng nó mang một ý nghĩa cụ thể được luật quy định.</w:t>
      </w:r>
    </w:p>
    <w:p>
      <w:pPr>
        <w:spacing w:after="80"/>
      </w:pPr>
      <w:r>
        <w:rPr>
          <w:b w:val="0"/>
          <w:i w:val="0"/>
        </w:rPr>
        <w:t xml:space="preserve">Nhưng đó chưa phải là tất cả. Để loại bỏ mọi khả năng gây nhầm lẫn, nghĩa vụ công bố của Quy định cho phép tổ chức phát hành giải thích thêm về cụm từ sáo ngữ được quy định theo bất kỳ cách nào họ thấy phù hợp. Vậy nên, chẳng hạn, tổ chức phát hành có thể nói rằng các sản phẩm được liệt kê “chưa được xác định là ‘không liên quan đến xung đột DRC,’ </w:t>
      </w:r>
      <w:r>
        <w:rPr>
          <w:b w:val="0"/>
          <w:i/>
        </w:rPr>
        <w:t>đây là cụm từ mà chúng tôi buộc phải sử dụng theo luật chứng khoán liên bang để mô tả các sản phẩm khi chúng tôi không thể xác định rằng chúng không chứa khoáng sản trực tiếp hoặc gián tiếp tài trợ hoặc mang lại lợi ích cho các nhóm vũ trang ở DRC hoặc một quốc gia láng giềng.</w:t>
      </w:r>
      <w:r>
        <w:rPr>
          <w:b w:val="0"/>
          <w:i w:val="0"/>
        </w:rPr>
        <w:t>” Đến lúc đó, dường như không có gì có thể bị coi là gây nhầm lẫn hay đánh lừa về nội dung của công bố bắt buộc của Quy định.</w:t>
      </w:r>
    </w:p>
    <w:p>
      <w:pPr>
        <w:spacing w:after="80"/>
      </w:pPr>
      <w:r>
        <w:rPr>
          <w:b w:val="0"/>
          <w:i w:val="0"/>
        </w:rPr>
        <w:t xml:space="preserve">Tu chính án thứ nhất, theo các phán quyết của Tòa án Tối cao, không đặt ra rào cản nào đối với nghĩa vụ công bố của Quy định. Tòa án đã nhấn mạnh rằng “việc mở rộng bảo vệ của Tu chính án thứ nhất cho ngôn luận thương mại được biện minh chủ yếu bởi giá trị đối với người tiêu dùng của thông tin mà ngôn luận đó cung cấp.” </w:t>
      </w:r>
      <w:r>
        <w:rPr>
          <w:b w:val="0"/>
          <w:i/>
        </w:rPr>
        <w:t>Zauderer v. Office of Disciplinary Counsel,</w:t>
      </w:r>
      <w:r>
        <w:rPr>
          <w:b w:val="0"/>
          <w:i w:val="0"/>
        </w:rPr>
        <w:t xml:space="preserve"> 471 U.S. 626, 651, 105 S.Ct. 2265, 85 L.Ed.2d 652 (1985). Tương ứng, khi chính phủ yêu cầu công bố thông tin trung thực, mang tính sự kiện về một sản phẩm cho người tiêu dùng, thì lợi ích theo Tu chính án thứ nhất của một công ty trong việc giữ kín thông tin đó khỏi người tiêu dùng là “tối thiểu.” </w:t>
      </w:r>
      <w:r>
        <w:rPr>
          <w:b w:val="0"/>
          <w:i/>
        </w:rPr>
        <w:t>Id.</w:t>
      </w:r>
      <w:r>
        <w:rPr>
          <w:b w:val="0"/>
          <w:i w:val="0"/>
        </w:rPr>
        <w:t xml:space="preserve"> Đó là lý do tại sao vô số mệnh lệnh công bố trong lĩnh vực thương mại—quốc gia xuất xứ của sản phẩm và nguyên liệu, số lượng calo và thông tin dinh dưỡng, các nghĩa vụ báo cáo mở rộng theo luật chứng khoán, v.v.—không đặt ra vấn đề nghiêm trọng nào về Tu chính án thứ nhất.</w:t>
      </w:r>
    </w:p>
    <w:p>
      <w:pPr>
        <w:spacing w:after="80"/>
      </w:pPr>
      <w:r>
        <w:rPr>
          <w:b w:val="0"/>
          <w:i w:val="0"/>
        </w:rPr>
        <w:t xml:space="preserve">Vấn đề cốt lõi là thế này: trong bối cảnh phát ngôn thương mại, việc buộc phải công bố thông tin trung thực, có tính thực tế về một sản phẩm cho người tiêu dùng sẽ nhận được sự đánh giá thuận lợi. Sự đánh giá đó mang hình thức của tiêu chuẩn dễ dãi (permissive standard) do Tòa án Tối cao đặt ra trong </w:t>
      </w:r>
      <w:r>
        <w:rPr>
          <w:b w:val="0"/>
          <w:i/>
        </w:rPr>
        <w:t>Zauderer.</w:t>
      </w:r>
      <w:r>
        <w:rPr>
          <w:b w:val="0"/>
          <w:i w:val="0"/>
        </w:rPr>
        <w:t xml:space="preserve"> Tôi sẽ áp dụng cách tiếp cận đó ở đây. Giống như hàng loạt yêu cầu không gây tranh cãi về việc công bố thông tin thực tế cho người tiêu dùng trong lĩnh vực thương mại, cụm từ mô tả "not been found to be 'DRC conflict free'" truyền đạt thông tin trung thực, có tính thực tế về một sản phẩm cho các nhà đầu tư và người tiêu dùng: nó cho họ biết rằng một sản phẩm chưa được xác nhận là không chứa khoáng sản có nguồn gốc từ DRC hoặc các quốc gia lân cận có thể tài trợ cho các nhóm vũ trang.</w:t>
      </w:r>
    </w:p>
    <w:p>
      <w:pPr>
        <w:spacing w:after="80"/>
      </w:pPr>
      <w:r>
        <w:rPr>
          <w:b w:val="0"/>
          <w:i w:val="0"/>
        </w:rPr>
        <w:t xml:space="preserve">Các bên kháng cáo (appellants) thách thức cụm từ được quy định cho một sản phẩm như vậy—"not been found to be 'DRC conflict free'"—với lý do rằng nó dường như đóng dấu lên các tổ chức phát hành (issuers) một "chữ cái đỏ" (scarlet letter). Appellant Br. 52. Việc các bên kháng cáo viện dẫn "chữ cái đỏ" là không phù hợp. Nếu họ muốn ám chỉ rằng các tổ chức phát hành thích tránh nhãn "not found to be 'DRC conflict free'" vì nó mời gọi sự soi xét của công chúng, thì điều tương tự cũng đúng với đủ loại yêu cầu hoàn toàn được phép về việc công bố thông tin thực tế cho người tiêu dùng (chẳng hạn như số lượng calo cao hay giá trị dinh dưỡng thấp). Khi một đạo luật buộc phải công bố loại "thông tin thực tế cụ thể" đó về sản phẩm của một công ty, Tòa án Tối cao đã nói rằng, công ty chỉ có lợi ích được công nhận "tối thiểu" trong việc giữ kín thông tin trước công chúng. </w:t>
      </w:r>
      <w:r>
        <w:rPr>
          <w:b w:val="0"/>
          <w:i/>
        </w:rPr>
        <w:t>Zauderer,</w:t>
      </w:r>
      <w:r>
        <w:rPr>
          <w:b w:val="0"/>
          <w:i w:val="0"/>
        </w:rPr>
        <w:t xml:space="preserve"> 471 U.S. at 651, 105 S.Ct. 2265. Ngược lại, chữ "A" đỏ gắn trên váy của Hester Prynne truyền đạt thông tin cá nhân mà cô có lợi ích mạnh mẽ và rõ ràng trong việc giữ kín trước công chúng. Theo nghĩa đó, việc yêu cầu một công ty công bố thông tin sản phẩm trên thị trường thương mại không giống như yêu cầu Hester Prynne "show [her] scarlet letter in the [town] marketplace." Nathaniel Hawthorne, The Scarlet Letter 63 (Laird &amp; Lee 1892).</w:t>
      </w:r>
    </w:p>
    <w:p>
      <w:pPr>
        <w:spacing w:after="80"/>
      </w:pPr>
      <w:r>
        <w:rPr>
          <w:b w:val="0"/>
          <w:i w:val="0"/>
        </w:rPr>
        <w:t xml:space="preserve">Do đó, tôi cho rằng sự đối xử ưu ái thường được dành cho các công bố thông tin thực tế bị bắt buộc trong lĩnh vực thương mại cũng áp dụng cho Quy tắc Khoáng sản Xung đột (Conflict Minerals Rule). Nghĩa vụ sử dụng thuật ngữ "not been found to be 'DRC conflict free'" nên được xem xét theo tiêu chuẩn </w:t>
      </w:r>
      <w:r>
        <w:rPr>
          <w:b w:val="0"/>
          <w:i/>
        </w:rPr>
        <w:t>Zauderer</w:t>
      </w:r>
      <w:r>
        <w:rPr>
          <w:b w:val="0"/>
          <w:i w:val="0"/>
        </w:rPr>
        <w:t xml:space="preserve"> nới lỏng, mà nó đáp ứng được. Ngay cả theo tiêu chuẩn ít dễ dãi hơn đối với các hạn chế phát ngôn thương mại được thiết lập trong </w:t>
      </w:r>
      <w:r>
        <w:rPr>
          <w:b w:val="0"/>
          <w:i/>
        </w:rPr>
        <w:t>Central Hudson Gas &amp; Electric Corp. v. Public Service Commission,</w:t>
      </w:r>
      <w:r>
        <w:rPr>
          <w:b w:val="0"/>
          <w:i w:val="0"/>
        </w:rPr>
        <w:t xml:space="preserve"> 447 U.S. 557, 100 S.Ct. 2343, 65 L.Ed.2d 341 (1980), tôi vẫn cho rằng Quy tắc này tồn tại được. Bởi vì tôi kết luận rằng Quy tắc Khoáng sản Xung đột không vi phạm Tu chính án thứ nhất (First Amendment), tôi kính cẩn không đồng ý với quyết định trái ngược mà các đồng nghiệp của tôi đưa ra.</w:t>
      </w:r>
    </w:p>
    <w:p>
      <w:pPr>
        <w:pStyle w:val="Heading5"/>
      </w:pPr>
      <w:r>
        <w:rPr>
          <w:rFonts w:ascii="Calibri" w:hAnsi="Calibri"/>
          <w:b/>
          <w:i/>
          <w:sz w:val="22"/>
        </w:rPr>
        <w:t>Bình luận và Câu hỏi</w:t>
      </w:r>
    </w:p>
    <w:p>
      <w:pPr>
        <w:spacing w:after="80"/>
      </w:pPr>
      <w:r>
        <w:rPr>
          <w:b w:val="0"/>
          <w:i w:val="0"/>
        </w:rPr>
        <w:t>1. Vụ kiện tụng không phải là một thất bại hoàn toàn đối với Ủy ban (Commission). Ý kiến ban đầu đã nhất trí bác bỏ nhiều thách thức khác nhau đối với Quy tắc theo Đạo luật Thủ tục Hành chính (Administrative Procedure Act). Cụ thể, tòa án nhận thấy rằng phân tích chi phí - lợi ích mà Ủy ban sử dụng liên quan đến việc thông qua Quy tắc 13p-1 là thỏa đáng. Như hội đồng xét xử (panel) lập luận:</w:t>
      </w:r>
    </w:p>
    <w:p>
      <w:pPr>
        <w:spacing w:after="80"/>
      </w:pPr>
      <w:r>
        <w:rPr>
          <w:b w:val="0"/>
          <w:i w:val="0"/>
        </w:rPr>
        <w:t xml:space="preserve">[W]e find it difficult to see what the Commission could have done better. The Commission determined that Congress intended the rule to achieve "compelling social benefits," </w:t>
      </w:r>
      <w:r>
        <w:rPr>
          <w:b w:val="0"/>
          <w:i/>
        </w:rPr>
        <w:t>id.</w:t>
      </w:r>
      <w:r>
        <w:rPr>
          <w:b w:val="0"/>
          <w:i w:val="0"/>
        </w:rPr>
        <w:t xml:space="preserve"> at 56,350, but it was "unable to readily quantify" those benefits because it lacked data about the rule's effects. </w:t>
      </w:r>
      <w:r>
        <w:rPr>
          <w:b w:val="0"/>
          <w:i/>
        </w:rPr>
        <w:t>Id.</w:t>
      </w:r>
      <w:r>
        <w:rPr>
          <w:b w:val="0"/>
          <w:i w:val="0"/>
        </w:rPr>
        <w:t xml:space="preserve"> That determination was reasonable. An agency is not required "to measure the immeasurable," and need not conduct a "rigorous, quantitative economic analysis" unless the statute explicitly directs it to do so. </w:t>
      </w:r>
      <w:r>
        <w:rPr>
          <w:b w:val="0"/>
          <w:i/>
        </w:rPr>
        <w:t>Inv. Co. Inst. v. Commodity Futures Trading Comm'n,</w:t>
      </w:r>
      <w:r>
        <w:rPr>
          <w:b w:val="0"/>
          <w:i w:val="0"/>
        </w:rPr>
        <w:t xml:space="preserve"> 720 F.3d 370, 379 (D.C.Cir.2013) (internal quotation marks omitted); </w:t>
      </w:r>
      <w:r>
        <w:rPr>
          <w:b w:val="0"/>
          <w:i/>
        </w:rPr>
        <w:t>see Chamber of Commerce,</w:t>
      </w:r>
      <w:r>
        <w:rPr>
          <w:b w:val="0"/>
          <w:i w:val="0"/>
        </w:rPr>
        <w:t xml:space="preserve"> 412 F.3d at 142. Here, the rule's benefits would occur half-a-world away in the midst of an opaque conflict about which little reliable information exists, and concern a subject about which the Commission has no particular expertise. Even if one could estimate how many lives are saved or rapes prevented as a direct result of the final rule, doing so would be pointless because the costs of the rule—measured in dollars—would create an apples-to-bricks comparison.</w:t>
      </w:r>
    </w:p>
    <w:p>
      <w:pPr>
        <w:spacing w:after="80"/>
      </w:pPr>
      <w:r>
        <w:rPr>
          <w:b w:val="0"/>
          <w:i w:val="0"/>
        </w:rPr>
        <w:t>Các quy tắc khác đã bị vô hiệu hóa trên cơ sở phân tích chi phí - lợi ích không thỏa đáng (</w:t>
      </w:r>
      <w:r>
        <w:rPr>
          <w:b w:val="0"/>
          <w:i/>
        </w:rPr>
        <w:t>xem Business Roundtable v. SEC</w:t>
      </w:r>
      <w:r>
        <w:rPr>
          <w:b w:val="0"/>
          <w:i w:val="0"/>
        </w:rPr>
        <w:t xml:space="preserve"> , 647 F.3d 1144 (DC Cir. 2011)). Phân tích này gợi ý rằng hoặc là Ủy ban đang làm tốt hơn trong việc phân tích chi phí - lợi ích, hoặc là tòa án đang áp đặt một tiêu chuẩn ít khắt khe hơn. Bạn nghĩ khả năng nào cao hơn?</w:t>
      </w:r>
    </w:p>
    <w:p>
      <w:pPr>
        <w:spacing w:after="80"/>
      </w:pPr>
      <w:r>
        <w:rPr>
          <w:b w:val="0"/>
          <w:i w:val="0"/>
        </w:rPr>
        <w:t>2. Thảo luận về những hàm ý của yêu cầu công bố khoáng sản xung đột. Các công ty có nên bị buộc phải thực hiện loại công bố này không? Việc SEC thực hiện yêu cầu này có phù hợp không? Điều này có gợi ý một sự thay đổi đáng kể trong sứ mệnh quản lý của SEC không?</w:t>
      </w:r>
    </w:p>
    <w:p>
      <w:pPr>
        <w:spacing w:after="80"/>
      </w:pPr>
      <w:r>
        <w:rPr>
          <w:b w:val="0"/>
          <w:i w:val="0"/>
        </w:rPr>
        <w:t xml:space="preserve">3. Đa số (majority) nhận thấy rằng cụm từ bị thách thức liên quan đến phát ngôn thương mại. Đa số lẽ ra có thể chọn áp dụng tiêu chuẩn "nới lỏng" trong </w:t>
      </w:r>
      <w:r>
        <w:rPr>
          <w:b w:val="0"/>
          <w:i/>
        </w:rPr>
        <w:t>Zauderer</w:t>
      </w:r>
      <w:r>
        <w:rPr>
          <w:b w:val="0"/>
          <w:i w:val="0"/>
        </w:rPr>
        <w:t xml:space="preserve"> hoặc tiêu chuẩn trung gian trong </w:t>
      </w:r>
      <w:r>
        <w:rPr>
          <w:b w:val="0"/>
          <w:i/>
        </w:rPr>
        <w:t>Central Hudson</w:t>
      </w:r>
      <w:r>
        <w:rPr>
          <w:b w:val="0"/>
          <w:i w:val="0"/>
        </w:rPr>
        <w:t xml:space="preserve"> . Thay vào đó, ý kiến xác định rằng công bố bắt buộc trong trường hợp này không đáp ứng cả hai tiêu chuẩn. Cơ sở cho xác định này là gì? Bạn có đồng ý không?</w:t>
      </w:r>
    </w:p>
    <w:p>
      <w:pPr>
        <w:spacing w:after="80"/>
      </w:pPr>
      <w:r>
        <w:rPr>
          <w:b w:val="0"/>
          <w:i w:val="0"/>
        </w:rPr>
        <w:t>4. Điều này có thể có những hàm ý gì đối với các lĩnh vực khác của luật chứng khoán liên bang? Trong chừng mực mà công bố bắt buộc phải được hỗ trợ bởi một lợi ích chính phủ không mang tính suy đoán, bạn có thể lập luận rằng các quy định khác có thể bị thách thức theo Tu chính án thứ nhất không?</w:t>
      </w:r>
    </w:p>
    <w:p>
      <w:pPr>
        <w:spacing w:after="80"/>
      </w:pPr>
      <w:r>
        <w:rPr>
          <w:b w:val="0"/>
          <w:i w:val="0"/>
        </w:rPr>
        <w:t>5. Trong ý kiến bất đồng (dissent), Thẩm phán Srinivasan xem việc công bố là "thông tin thực tế trung thực" về một sản phẩm. Mặt khác, ông lưu ý rằng các bên kháng cáo mô tả việc công bố như một "chữ cái đỏ." Điều này gợi ý rằng hai bên trong vụ kiện nhìn nhận việc công bố rất khác nhau. Bạn nghĩ gì về sự khác biệt trong quan điểm này? Nó có giải thích được kết quả của vụ án không?</w:t>
      </w:r>
    </w:p>
    <w:p>
      <w:pPr>
        <w:spacing w:after="80"/>
      </w:pPr>
      <w:r>
        <w:rPr>
          <w:b w:val="0"/>
          <w:i w:val="0"/>
        </w:rPr>
        <w:t>6. Ai đã bổ nhiệm các thẩm phán trong hội đồng xét xử này? Điều này có quan trọng khi xem xét kết quả của quyết định không?</w:t>
      </w:r>
    </w:p>
    <w:p>
      <w:pPr>
        <w:spacing w:after="80"/>
      </w:pPr>
      <w:r>
        <w:rPr>
          <w:b w:val="0"/>
          <w:i w:val="0"/>
        </w:rPr>
        <w:t xml:space="preserve">7. Dodd Frank cũng chỉ thị cho SEC soạn thảo các quy tắc yêu cầu "các công ty khai thác tài nguyên" (resource extraction companies) công bố các khoản thanh toán cho chính phủ để đổi lấy quyền phát triển các nhượng quyền dầu, khí đốt hoặc khoáng sản. 15 U.S.C. § 78m(q)(2)(A). Thượng nghị sĩ Lugar mô tả quy định này là giải quyết vấn đề "tiền dầu dự định cho những mục đích nghèo khó của một quốc gia lại rơi vào túi của người giàu hoặc bị lãng phí vào các dự án phô trương thay vì đầu tư sinh lợi." 156 Cong. Rec. S3816 (May 17, 2010). Để phân tích về quy tắc mà Ủy ban đã thông qua (và bị tòa án bác bỏ), xem </w:t>
      </w:r>
      <w:r>
        <w:rPr>
          <w:b w:val="0"/>
          <w:i/>
        </w:rPr>
        <w:t>American Petroleum Institute v. SEC</w:t>
      </w:r>
      <w:r>
        <w:rPr>
          <w:b w:val="0"/>
          <w:i w:val="0"/>
        </w:rPr>
        <w:t xml:space="preserve"> , 953 F.Supp.2d 5 (D DC 2013).</w:t>
      </w:r>
    </w:p>
    <w:p>
      <w:pPr>
        <w:spacing w:after="80"/>
      </w:pPr>
      <w:r>
        <w:rPr>
          <w:b w:val="0"/>
          <w:i w:val="0"/>
        </w:rPr>
        <w:t>—————</w:t>
      </w:r>
    </w:p>
    <w:p>
      <w:pPr>
        <w:spacing w:after="80"/>
      </w:pPr>
      <w:r>
        <w:rPr>
          <w:b w:val="0"/>
          <w:i w:val="0"/>
        </w:rPr>
        <w:t>Dù giá trị của việc công bố khoáng sản xung đột là gì đi nữa, nhiệm vụ này đã thực sự mở rộng nghĩa vụ của SEC vượt ra ngoài ranh giới truyền thống của nó. Cơ quan này được giao trách nhiệm công bố thông tin chủ yếu mang lại lợi ích cho công chúng thay vì các cổ đông. Không phải ai cũng đồng ý với sự thay đổi này.</w:t>
      </w:r>
    </w:p>
    <w:p>
      <w:pPr>
        <w:pStyle w:val="Heading4"/>
      </w:pPr>
      <w:r>
        <w:rPr>
          <w:rFonts w:ascii="Calibri" w:hAnsi="Calibri"/>
          <w:b/>
          <w:i w:val="0"/>
          <w:sz w:val="23"/>
        </w:rPr>
        <w:t xml:space="preserve">Celia R. Taylor, </w:t>
      </w:r>
      <w:r>
        <w:rPr>
          <w:rFonts w:ascii="Calibri" w:hAnsi="Calibri"/>
          <w:b/>
          <w:i/>
          <w:sz w:val="23"/>
        </w:rPr>
        <w:t>Drowning in Disclosure:</w:t>
      </w:r>
      <w:r>
        <w:br/>
      </w:r>
      <w:r>
        <w:rPr>
          <w:rFonts w:ascii="Calibri" w:hAnsi="Calibri"/>
          <w:b/>
          <w:i/>
          <w:sz w:val="23"/>
        </w:rPr>
        <w:t xml:space="preserve"> The Overburdening of the Securities &amp; Exchange Commission</w:t>
      </w:r>
    </w:p>
    <w:p>
      <w:pPr>
        <w:spacing w:after="80"/>
      </w:pPr>
      <w:r>
        <w:rPr>
          <w:b w:val="0"/>
          <w:i w:val="0"/>
        </w:rPr>
        <w:t>8 Va. L. &amp; Bus. Rev. 85 (Winter 2014)</w:t>
      </w:r>
    </w:p>
    <w:p>
      <w:pPr>
        <w:spacing w:after="80"/>
      </w:pPr>
      <w:r>
        <w:rPr>
          <w:b w:val="0"/>
          <w:i w:val="0"/>
        </w:rPr>
        <w:t>II. SEC như một bãi rác thông tin công bố</w:t>
      </w:r>
    </w:p>
    <w:p>
      <w:pPr>
        <w:spacing w:after="80"/>
      </w:pPr>
      <w:r>
        <w:rPr>
          <w:b w:val="0"/>
          <w:i w:val="0"/>
        </w:rPr>
        <w:t>D. Tại sao những loại thông tin công bố này lại đổ dồn về SEC?</w:t>
      </w:r>
    </w:p>
    <w:p>
      <w:pPr>
        <w:spacing w:after="80"/>
      </w:pPr>
      <w:r>
        <w:rPr>
          <w:b w:val="0"/>
          <w:i w:val="0"/>
        </w:rPr>
        <w:t>Các điều khoản về khoáng sản xung đột và ngành khai thác tài nguyên chỉ là hai ví dụ về việc Quốc hội giao trách nhiệm cho SEC soạn thảo các quy định về công bố thông tin liên quan đến các vấn đề chính trị hoặc xã hội, thay vì quy định về thị trường hay bảo vệ nhà đầu tư. Với việc các điều khoản này ít nhất là khó hòa nhập vào khuôn khổ pháp luật chứng khoán, thật đáng để xem xét tại sao ban đầu chúng lại nằm ở đó. Một lời giải thích đơn giản có thể là do các nhà lập pháp theo thói quen mặc định giao cho SEC khi phân quyền công bố thông tin, và do nhận thức không hoàn toàn sai lầm rằng quản lý công bố thông tin là một trong những thế mạnh của SEC. Kết quả không phải lúc nào cũng tồi—nhiều vấn đề công bố thông tin thực sự thuộc thẩm quyền của SEC. Tuy nhiên, tính chất mặc định của quá trình ra quyết định lại là vấn đề. Cũng giống như các cơ quan khi ban hành quy định phải tuân theo các quy trình chi tiết, việc phân quyền ban hành quy định cũng cần phải là kết quả của quá trình ra quyết định cẩn thận.</w:t>
      </w:r>
    </w:p>
    <w:p>
      <w:pPr>
        <w:spacing w:after="80"/>
      </w:pPr>
      <w:r>
        <w:rPr>
          <w:b w:val="0"/>
          <w:i w:val="0"/>
        </w:rPr>
        <w:t>Lý tưởng nhất, các điều khoản công bố thông tin và vị trí của chúng trong khuôn khổ pháp lý nên là đối tượng của sự cân nhắc kỹ lưỡng. Giả sử một vấn đề đã được xác định và được cho là xứng đáng để trở thành đối tượng của một yêu cầu công bố thông tin. Bước tiếp theo mà những người muốn áp đặt nghĩa vụ công bố thông tin nên thực hiện là phân tích lựa chọn thể chế một cách cẩn thận. Lý thuyết lựa chọn thể chế khẳng định rằng khi hoạch định chính sách công hay các quy định, điều quan trọng không chỉ là mục tiêu cuối cùng, mà còn là cơ chế đạt được mục tiêu đó. Do đó, điều then chốt là phải xem xét thể chế nào sẽ được giao nhiệm vụ theo đuổi mục tiêu đó. Để đưa ra quyết định đó cần so sánh các thể chế hiện có và đánh giá điểm mạnh, điểm yếu của chúng đối với nhiệm vụ trước mắt. Các yếu tố trong quá trình ra quyết định có thể bao gồm, trong số những yếu tố khác, chuyên môn tương đối, khả năng phối hợp, sự bị chi phối, tính trách nhiệm giải trình và nguồn tài chính.</w:t>
      </w:r>
    </w:p>
    <w:p>
      <w:pPr>
        <w:spacing w:after="80"/>
      </w:pPr>
      <w:r>
        <w:rPr>
          <w:b w:val="0"/>
          <w:i w:val="0"/>
        </w:rPr>
        <w:t>Với suy nghĩ đó, tiếp theo hãy xem xét làm thế nào quy định công bố thông tin về khoáng sản xung đột lại rơi vào địa hạt của SEC. Mục 1502 của Dodd-Frank không phải là nỗ lực đầu tiên của các nhà lập pháp nhằm quy định về khoáng sản xung đột, nhưng những nỗ lực trước đó đều không thành công vì Quốc hội thiếu ý chí chính trị để giải quyết vấn đề này. Dân biểu Jim McDermott (D-WA.) đã cố gắng trong nhiều năm để thông qua một dự luật độc lập quy định về khoáng sản xung đột, và vào ngày 19 tháng 11 năm 2009, đã giới thiệu Đạo luật Thương mại Khoáng sản Xung đột tại Hạ viện. Tương tự, vào ngày 23 tháng 4 năm 2009, các Thượng nghị sĩ Sam Brownback (R-KS), Dick Durbin (D-IL) và Russ Feingold (D-WI) đã giới thiệu Đạo luật Khoáng sản Xung đột Congo năm 2009 nhằm "yêu cầu công bố thông tin hàng năm cho Ủy ban Chứng khoán và Giao dịch về các hoạt động liên quan đến columbite-tantalite, cassiterite và wolframite cho Cộng hòa Dân chủ Congo." Cả hai nỗ lực lập pháp này cuối cùng đều không thành công vì không có đủ sự ủng hộ từ các chính trị gia đồng nghiệp.</w:t>
      </w:r>
    </w:p>
    <w:p>
      <w:pPr>
        <w:spacing w:after="80"/>
      </w:pPr>
      <w:r>
        <w:rPr>
          <w:b w:val="0"/>
          <w:i w:val="0"/>
        </w:rPr>
        <w:t>Việc gấp rút thông qua Dodd-Frank, cùng với độ dài và độ phức tạp của các điều khoản, đã cho phép Thượng nghị sĩ Brownback lén đưa điều khoản về khoáng sản xung đột vào Đạo luật mà ít ai để ý. . . .</w:t>
      </w:r>
    </w:p>
    <w:p>
      <w:pPr>
        <w:spacing w:after="80"/>
      </w:pPr>
      <w:r>
        <w:rPr>
          <w:b w:val="0"/>
          <w:i w:val="0"/>
        </w:rPr>
        <w:t>Dù tôi thấy khó hiểu khi mục 1502 hoàn toàn nằm ngoài phạm vi của Đạo luật Dodd-Frank, đạo luật đó được thông qua do khủng hoảng tài chính nhằm tăng cường sự ổn định cho hệ thống tài chính. Mục 1502 không làm gì để "cải cách quy định tài chính, bảo vệ người tiêu dùng và nhà đầu tư, nâng cao hiểu biết của Liên bang về các vấn đề bảo hiểm, hay quy định thị trường phái sinh phi tập trung," vốn là mục đích đã nêu của Đạo luật Dodd-Frank. Mục 1502 không làm gì để giải quyết nguyên nhân của cuộc khủng hoảng tài chính.</w:t>
      </w:r>
    </w:p>
    <w:p>
      <w:pPr>
        <w:spacing w:after="80"/>
      </w:pPr>
      <w:r>
        <w:rPr>
          <w:b w:val="0"/>
          <w:i w:val="0"/>
        </w:rPr>
        <w:t>Ngoài ra, mục 1502 sẽ khiến SEC phải ban hành quy định. Đây là một vấn đề phức tạp nằm ngoài lĩnh vực chuyên môn thông thường của SEC. Sứ mệnh của SEC là bảo vệ nhà đầu tư; duy trì thị trường công bằng, có trật tự và hiệu quả; và tạo điều kiện thuận lợi cho việc huy động vốn. Mục này không bảo vệ nhà đầu tư hay cung cấp thông tin về tình hình tài chính của các công ty. Vậy nên việc xây dựng đạo luật có ý định tốt này—và tôi sẽ nói rằng đó là một đạo luật có ý định tốt—có vẻ khá bất thường. Và tác động của nó đối với các công ty được dự đoán là rất lớn. Chúng tôi đã nghe từ nhiều công ty và hiệp hội thương mại bày tỏ lo ngại về chi phí và quy mô của điều khoản này. Bây giờ không phải là lúc đặt thêm gánh nặng lên các công ty Mỹ.</w:t>
      </w:r>
    </w:p>
    <w:p>
      <w:pPr>
        <w:spacing w:after="80"/>
      </w:pPr>
      <w:r>
        <w:rPr>
          <w:b w:val="0"/>
          <w:i w:val="0"/>
        </w:rPr>
        <w:t>Tôi không thể tin nổi rằng Quốc hội lại thông qua một mệnh lệnh áp đặt lên các doanh nghiệp mà Hiệp hội Các nhà Sản xuất Quốc gia ước tính lên tới từ 9 tỷ đến 16 tỷ đô la. Dù điều khoản này chỉ áp dụng cho các công ty niêm yết trên SEC, sự thật là nó sẽ ảnh hưởng đến các công ty không niêm yết trên SEC và các doanh nghiệp nhỏ trên khắp đất nước này. Các thành viên Quốc hội không phải là những người duy nhất bị bất ngờ bởi việc đưa điều khoản về khoáng sản xung đột vào và trách nhiệm ban hành quy định kéo theo được giao cho SEC. Chủ tịch khi đó là Mary Shapiro đã thừa nhận rằng Ủy ban thiếu chuyên môn về khai thác khoáng sản xung đột và các vấn đề công bố thông tin mà đạo luật yêu cầu. Nói rõ ra, SEC không muốn trách nhiệm soạn thảo quy định công bố thông tin về khoáng sản xung đột và biết rằng mình không phải là lựa chọn tốt nhất để đảm nhận trách nhiệm đó—nhưng tất nhiên, phải làm vậy khi đối mặt với mệnh lệnh của Quốc hội. Vị trí cuối cùng của quy định công bố thông tin về khoáng sản xung đột trong SEC hoàn toàn không phải là kết quả của một lựa chọn thể chế hợp lý và chu đáo.</w:t>
      </w:r>
    </w:p>
    <w:p>
      <w:pPr>
        <w:spacing w:after="80"/>
      </w:pPr>
      <w:r>
        <w:rPr>
          <w:b w:val="0"/>
          <w:i w:val="0"/>
        </w:rPr>
        <w:t>Có vẻ như việc đưa các mục 1502 và 1504 vào Dodd-Frank và việc phân quyền ban hành quy định kéo theo cho SEC là kết quả của sự thiếu chú ý từ phía nhiều nhà lập pháp và từ một thiên kiến có cơ sở từ phía những thành viên Quốc hội có để ý. Thiên kiến đó khiến họ mặc định chọn SEC vì nó được coi là cơ quan được lựa chọn khi có liên quan đến các vấn đề công bố thông tin. Dù giao cho SEC quản lý công bố thông tin là hoàn toàn hợp lý trong nhiều tình huống, nó không phải lúc nào cũng là cơ quan phù hợp nhất với nhiệm vụ. Như sẽ được thảo luận dưới đây, có những thể chế khác có thể xử lý tốt hơn một số vấn đề công bố thông tin nhất định. Đã đến lúc ngừng phản xạ ném công bố thông tin cho SEC. Thay vào đó, chúng ta nên xem xét các phương án phân bổ khác cho những thể chế phù hợp hơn với công việc.</w:t>
      </w:r>
    </w:p>
    <w:p>
      <w:pPr>
        <w:spacing w:after="80"/>
      </w:pPr>
      <w:r>
        <w:rPr>
          <w:b w:val="0"/>
          <w:i w:val="0"/>
        </w:rPr>
        <w:t>III. Công bố thông tin có thể được xử lý bởi một thực thể khác</w:t>
      </w:r>
    </w:p>
    <w:p>
      <w:pPr>
        <w:spacing w:after="80"/>
      </w:pPr>
      <w:r>
        <w:rPr>
          <w:b w:val="0"/>
          <w:i w:val="0"/>
        </w:rPr>
        <w:t>Nếu chúng ta muốn ngừng làm SEC quá tải với trách nhiệm về các quy định công bố thông tin, thì phải có sự thay đổi nào đó. Hoặc là lượng thông tin công bố được yêu cầu (một ý tưởng sẽ được khám phá dưới đây) phải được giảm bớt, hoặc trách nhiệm về các yêu cầu đó phải được phân bổ tốt hơn (hoặc kết hợp cả hai). Dù chủ đề về mức độ công bố thông tin "đúng đắn" là một chủ đề quan trọng và hữu ích, trước tiên chúng ta phải xem xét liệu SEC có nhất thiết phải là bãi rác công bố thông tin hay không. Dù SEC thường là cơ quan mặc định xử lý công bố thông tin, sự cân nhắc kỹ lưỡng hơn cho thấy có những cơ quan và thể chế khác có vị trí tốt hơn để xử lý các quy định công bố thông tin hiện đang được giao cho SEC. Hãy xem xét các ví dụ về các điều khoản khoáng sản xung đột và ngành khai thác tài nguyên.</w:t>
      </w:r>
    </w:p>
    <w:p>
      <w:pPr>
        <w:spacing w:after="80"/>
      </w:pPr>
      <w:r>
        <w:rPr>
          <w:b w:val="0"/>
          <w:i w:val="0"/>
        </w:rPr>
        <w:t>A. Khoáng sản xung đột</w:t>
      </w:r>
    </w:p>
    <w:p>
      <w:pPr>
        <w:spacing w:after="80"/>
      </w:pPr>
      <w:r>
        <w:rPr>
          <w:b w:val="0"/>
          <w:i w:val="0"/>
        </w:rPr>
        <w:t>Như đã thảo luận ở trên, có sự đồng thuận rộng rãi rằng công bố thông tin về khoáng sản xung đột ít liên quan đến sứ mệnh cốt lõi của SEC và lại nằm dưới thẩm quyền của nó phần lớn do sự thiếu chú ý và thiên kiến thể chế. Khi công bố thông tin về khoáng sản xung đột được xem xét như một phần của Đạo luật Thương mại Khoáng sản Xung đột ("CMTA"), thay vì như một phần của Dodd-Frank, việc công bố thông tin sẽ được quy định thông qua Cơ quan Hải quan và Bảo vệ Biên giới Hoa Kỳ ("Customs"). Dù CMTA đã chết tại ủy ban, các điều khoản của nó vẫn đáng lưu ý. CMTA sẽ tạo ra một cơ chế kiểm toán cho các cơ sở chế biến thiếc, tantalum và tungsten, một phương tiện để xác định và dán nhãn các lô hàng có khả năng chứa khoáng sản xung đột, và giao cho Customs trách nhiệm cấm các lô hàng từ các cơ sở chưa được kiểm toán, bắt đầu hai năm sau khi đạo luật được ban hành.</w:t>
      </w:r>
    </w:p>
    <w:p>
      <w:pPr>
        <w:spacing w:after="80"/>
      </w:pPr>
      <w:r>
        <w:rPr>
          <w:b w:val="0"/>
          <w:i w:val="0"/>
        </w:rPr>
        <w:t>Giao cho Customs nhiệm vụ giám sát công bố thông tin về khoáng sản xung đột là một sự phù hợp tốt hơn nhiều so với giao trách nhiệm đó cho SEC. Một trong những mục tiêu đã nêu của Customs là "[đ]ảm bảo dòng chảy hiệu quả của thương mại và đi lại hợp pháp qua biên giới Hoa Kỳ." Để đạt được mục tiêu này, Customs "đóng vai trò trung tâm trong việc ngăn chặn hàng hóa không an toàn hoặc bất hợp pháp xâm nhập vào Hoa Kỳ." Các nhiệm vụ chính của Customs bao gồm xử lý các lô hàng, xác định các lô hàng không được nhập khẩu theo quy định thương mại, và tịch thu các lô hàng bất hợp pháp—những chức năng khiến nó rất phù hợp để giám sát việc nhập khẩu các sản phẩm chứa khoáng sản xung đột. Việc duy trì thương mại hợp pháp không chỉ là mục tiêu đã nêu và chức năng quan trọng của Customs nói chung, mà cơ quan này còn có kinh nghiệm quy định việc nhập khẩu các tài nguyên xung đột khác. Đây là cơ quan chịu trách nhiệm thực thi Quy trình Kimberley, một sáng kiến chung của chính phủ, ngành kim cương và xã hội dân sự nhằm ngăn chặn dòng chảy kim cương xung đột. Với tư cách là cơ quan chịu trách nhiệm, Customs phải giám sát tất cả các nhà bán lẻ kim cương của Hoa Kỳ để đảm bảo rằng họ mua kim cương từ các nhà sản xuất có đầy đủ giấy tờ hợp lệ và hàng hóa của họ được mua qua các kênh hợp pháp. Customs xem xét tất cả tài liệu nhập khẩu kim cương thô, đánh dấu các lô hàng kim cương thô để xem xét, và nhập thông tin của mỗi lô hàng vào hệ thống máy tính. Những quy trình này có thể được điều chỉnh để áp dụng cho khoáng sản xung đột và sẽ cho phép Customs tận dụng việc học hỏi thể chế đã có sẵn thay vì mở rộng mệnh lệnh của SEC để bao trùm một vấn đề mà cơ quan này thiếu kiến thức để đối mặt hoặc thiếu năng lực để xử lý hiệu quả.</w:t>
      </w:r>
    </w:p>
    <w:p>
      <w:pPr>
        <w:spacing w:after="80"/>
      </w:pPr>
      <w:r>
        <w:rPr>
          <w:b w:val="0"/>
          <w:i w:val="0"/>
        </w:rPr>
        <w:t>* * *</w:t>
      </w:r>
    </w:p>
    <w:p>
      <w:pPr>
        <w:pStyle w:val="Heading5"/>
      </w:pPr>
      <w:r>
        <w:rPr>
          <w:rFonts w:ascii="Calibri" w:hAnsi="Calibri"/>
          <w:b/>
          <w:i/>
          <w:sz w:val="22"/>
        </w:rPr>
        <w:t>Bình luận và Câu hỏi</w:t>
      </w:r>
    </w:p>
    <w:p>
      <w:pPr>
        <w:spacing w:after="80"/>
      </w:pPr>
      <w:r>
        <w:rPr>
          <w:b w:val="0"/>
          <w:i w:val="0"/>
        </w:rPr>
        <w:t>1. Bài viết cho thấy rằng thẩm quyền công bố thông tin được trao cho SEC về khoáng sản xung đột (conflict minerals) không phải là một phần của quyết định chính sách quan trọng nhằm mở rộng sứ mệnh của cơ quan này. Thay vào đó, SEC có được thẩm quyền này gần như là do tình cờ.</w:t>
      </w:r>
    </w:p>
    <w:p>
      <w:pPr>
        <w:spacing w:after="80"/>
      </w:pPr>
      <w:r>
        <w:rPr>
          <w:b w:val="0"/>
          <w:i w:val="0"/>
        </w:rPr>
        <w:t>2. Một số điểm mạnh và điểm yếu của việc để Hải quan (Customs) giải quyết các vấn đề mà Quốc hội đặt ra liên quan đến khoáng sản xung đột là gì?</w:t>
      </w:r>
    </w:p>
    <w:p>
      <w:pPr>
        <w:spacing w:after="80"/>
      </w:pPr>
      <w:r>
        <w:rPr>
          <w:b w:val="0"/>
          <w:i w:val="0"/>
        </w:rPr>
        <w:t xml:space="preserve">3. Nếu SEC được hỏi liệu cơ quan này có muốn có thẩm quyền đó không, bạn nghĩ câu trả lời sẽ là gì? Một chủ tịch SEC không còn tại nhiệm khi điều khoản này được thông qua đã mô tả các nghĩa vụ này là “hướng nhiều hơn đến việc gây áp lực xã hội lên các công ty để thay đổi hành vi, thay vì công bố thông tin tài chính chủ yếu phục vụ cho các quyết định đầu tư.” Mary Jo White, Chủ tịch SEC, </w:t>
      </w:r>
      <w:r>
        <w:rPr>
          <w:b w:val="0"/>
          <w:i/>
        </w:rPr>
        <w:t>Tầm quan trọng của Tính độc lập</w:t>
      </w:r>
      <w:r>
        <w:rPr>
          <w:b w:val="0"/>
          <w:i w:val="0"/>
        </w:rPr>
        <w:t xml:space="preserve"> , Bài giảng thường niên lần thứ 14 về Luật Chứng khoán Doanh nghiệp và Tài chính AA Sommer, Jr., Trường Luật Fordham (ngày 3 tháng 10 năm 2013). Bà tiếp tục nói rằng, “với tư cách là Chủ tịch SEC, tôi phải đặt câu hỏi, như một vấn đề chính sách, về việc sử dụng luật chứng khoán liên bang và quyền công bố thông tin bắt buộc của SEC để đạt được những mục tiêu này.”</w:t>
      </w:r>
    </w:p>
    <w:p>
      <w:pPr>
        <w:spacing w:after="80"/>
      </w:pPr>
      <w:r>
        <w:rPr>
          <w:b w:val="0"/>
          <w:i w:val="0"/>
        </w:rPr>
        <w:t>4. Bạn nghĩ gì về lập luận rằng SEC thiếu chuyên môn cho loại công bố thông tin này? SEC có chuyên môn về tất cả các lĩnh vực công bố thông tin thuộc thẩm quyền của mình không? Ở những nơi không có, cơ quan này bù đắp bằng cách nào?</w:t>
      </w:r>
    </w:p>
    <w:p>
      <w:pPr>
        <w:spacing w:after="80"/>
      </w:pPr>
      <w:r>
        <w:rPr>
          <w:b w:val="0"/>
          <w:i w:val="0"/>
        </w:rPr>
        <w:t>5. SEC có nên đi theo con đường này không? Tại sao có thể xảy ra trường hợp Quốc hội sẽ lặp lại trải nghiệm khoáng sản xung đột vào một thời điểm nào đó trong tương lai bằng cách bắt buộc công bố thông tin về các vấn đề trách nhiệm xã hội khác? Áp lực cho việc công bố thông tin như vậy đến từ đâu?</w:t>
      </w:r>
    </w:p>
    <w:p>
      <w:pPr>
        <w:pStyle w:val="Heading2"/>
      </w:pPr>
      <w:r>
        <w:rPr>
          <w:rFonts w:ascii="Calibri" w:hAnsi="Calibri"/>
          <w:b/>
          <w:i w:val="0"/>
          <w:sz w:val="32"/>
        </w:rPr>
        <w:t>V. Tiếp cận Thông tin Bình đẳng</w:t>
      </w:r>
    </w:p>
    <w:p>
      <w:pPr>
        <w:spacing w:after="80"/>
      </w:pPr>
      <w:r>
        <w:rPr>
          <w:b w:val="0"/>
          <w:i w:val="0"/>
        </w:rPr>
        <w:t>Trong khi các báo cáo định kỳ và tài liệu ủy quyền (proxy material) vẫn là nguồn thông tin quan trọng cho các nhà đầu tư và cổ đông, các công ty ngày càng dựa vào các phương thức thông báo thị trường về những diễn biến quan trọng một cách không chính thức và ít bị quản lý hơn, bao gồm thông cáo báo chí, thảo luận với các nhà phân tích và Internet. Tuy nhiên, những phương thức công bố thông tin này không chịu sự quản lý rõ ràng của SEC.</w:t>
      </w:r>
    </w:p>
    <w:p>
      <w:pPr>
        <w:spacing w:after="80"/>
      </w:pPr>
      <w:r>
        <w:rPr>
          <w:b w:val="0"/>
          <w:i w:val="0"/>
        </w:rPr>
        <w:t xml:space="preserve">Một mối lo ngại có thể phát sinh với loại công bố thông tin không chính thức này là việc phổ biến có chọn lọc cho các cổ đông hoặc chuyên gia thị trường cụ thể. Với thông tin đó, người nhận có lợi thế về thông tin mà họ có thể sử dụng để mua hoặc bán cổ phiếu. Có thời điểm, việc công bố thông tin có chọn lọc được cho là vi phạm các quy định cấm giao dịch nội gián (insider trading). Tuy nhiên, trong </w:t>
      </w:r>
      <w:r>
        <w:rPr>
          <w:b w:val="0"/>
          <w:i/>
        </w:rPr>
        <w:t>SEC v. Dirks</w:t>
      </w:r>
      <w:r>
        <w:rPr>
          <w:b w:val="0"/>
          <w:i w:val="0"/>
        </w:rPr>
        <w:t xml:space="preserve"> , 463 U.S. 646 (1983), Tòa án Tối cao về cơ bản đã phán quyết rằng việc một người nội bộ công ty công bố có chọn lọc thông tin trọng yếu cho một nhà phân tích không phải là giao dịch nội gián nếu không có một loại lợi ích tài chính nào đó cho người nội bộ. Vụ án này có thể được coi là đã hợp thức hóa thực tiễn công bố thông tin có chọn lọc.</w:t>
      </w:r>
    </w:p>
    <w:p>
      <w:pPr>
        <w:spacing w:after="80"/>
      </w:pPr>
      <w:r>
        <w:rPr>
          <w:b w:val="0"/>
          <w:i w:val="0"/>
        </w:rPr>
        <w:t>SEC đã giải quyết mối lo ngại đó thông qua việc ban hành Regulation FD, một nỗ lực xây dựng quy định gây nhiều tranh cãi. Regulation FD về cơ bản cấm việc công bố thông tin có chọn lọc một cách cố ý cho những người có khả năng sử dụng thông tin đó cho mục đích giao dịch. Lệnh cấm đối với việc công bố thông tin có chọn lọc một cách cố ý có vẻ như là một yêu cầu hợp lý, nhưng nó cũng có khả năng làm giảm lượng thông tin sẵn có cho thị trường, tùy thuộc một phần vào cách điều khoản này được thực thi.</w:t>
      </w:r>
    </w:p>
    <w:p>
      <w:pPr>
        <w:pStyle w:val="Heading4"/>
      </w:pPr>
      <w:r>
        <w:rPr>
          <w:rFonts w:ascii="Calibri" w:hAnsi="Calibri"/>
          <w:b/>
          <w:i w:val="0"/>
          <w:sz w:val="23"/>
        </w:rPr>
        <w:t>In re Office Depot</w:t>
      </w:r>
    </w:p>
    <w:p>
      <w:pPr>
        <w:spacing w:after="80"/>
      </w:pPr>
      <w:r>
        <w:rPr>
          <w:b w:val="0"/>
          <w:i w:val="0"/>
        </w:rPr>
        <w:t>Exchange Act Release No. 63152 (thủ tục hành chính ngày 21 tháng 10 năm 2010)</w:t>
      </w:r>
    </w:p>
    <w:p>
      <w:pPr>
        <w:spacing w:after="80"/>
      </w:pPr>
      <w:r>
        <w:rPr>
          <w:b w:val="0"/>
          <w:i w:val="0"/>
        </w:rPr>
        <w:t>LỆNH KHỞI TỐ THỦ TỤC ĐÌNH CHỈ VÀ NGĂN CẤM THEO MỤC 21C CỦA LUẬT GIAO DỊCH CHỨNG KHOÁN NĂM 1934, ĐƯA RA CÁC PHÁT HIỆN VÀ BAN HÀNH LỆNH ĐÌNH CHỈ VÀ NGĂN CẤM</w:t>
      </w:r>
    </w:p>
    <w:p>
      <w:pPr>
        <w:spacing w:after="80"/>
      </w:pPr>
      <w:r>
        <w:rPr>
          <w:b w:val="0"/>
          <w:i w:val="0"/>
        </w:rPr>
        <w:t>I.</w:t>
      </w:r>
    </w:p>
    <w:p>
      <w:pPr>
        <w:spacing w:after="80"/>
      </w:pPr>
      <w:r>
        <w:rPr>
          <w:b w:val="0"/>
          <w:i w:val="0"/>
        </w:rPr>
        <w:t>Ủy ban Giao dịch Chứng khoán (“Ủy ban”) xét thấy là thích hợp rằng các thủ tục đình chỉ và ngăn cấm được, và theo đây được, khởi tố theo Mục 21C của Luật Giao dịch Chứng khoán năm 1934 (“Luật Giao dịch”), đối với Office Depot, Inc. (“Bị đơn”).</w:t>
      </w:r>
    </w:p>
    <w:p>
      <w:pPr>
        <w:spacing w:after="80"/>
      </w:pPr>
      <w:r>
        <w:rPr>
          <w:b w:val="0"/>
          <w:i w:val="0"/>
        </w:rPr>
        <w:t>II.</w:t>
      </w:r>
    </w:p>
    <w:p>
      <w:pPr>
        <w:spacing w:after="80"/>
      </w:pPr>
      <w:r>
        <w:rPr>
          <w:b w:val="0"/>
          <w:i w:val="0"/>
        </w:rPr>
        <w:t>Để chuẩn bị cho việc khởi tố các thủ tục tố tụng này, Bị đơn đã đệ trình một Đề nghị Dàn xếp ("Đề nghị") mà Ủy ban đã quyết định chấp nhận. Chỉ nhằm mục đích của các thủ tục tố tụng này và bất kỳ thủ tục tố tụng nào khác do Ủy ban hoặc thay mặt Ủy ban khởi xướng, hoặc mà Ủy ban là một bên tham gia, và không thừa nhận cũng không phủ nhận các phát hiện trong đây, ngoại trừ thẩm quyền của Ủy ban đối với Bị đơn và đối tượng của các thủ tục tố tụng này, những điều được thừa nhận, Bị đơn đồng ý với việc ban hành Lệnh này Khởi tố Thủ tục Đình chỉ và Ngăn chặn Theo Mục 21C của Đạo luật Giao dịch Chứng khoán năm 1934, Đưa ra Phát hiện, và Ban hành Lệnh Đình chỉ và Ngăn chặn ("Lệnh"), như được nêu dưới đây.</w:t>
      </w:r>
    </w:p>
    <w:p>
      <w:pPr>
        <w:spacing w:after="80"/>
      </w:pPr>
      <w:r>
        <w:rPr>
          <w:b w:val="0"/>
          <w:i w:val="0"/>
        </w:rPr>
        <w:t>III.</w:t>
      </w:r>
    </w:p>
    <w:p>
      <w:pPr>
        <w:spacing w:after="80"/>
      </w:pPr>
      <w:r>
        <w:rPr>
          <w:b w:val="0"/>
          <w:i w:val="0"/>
        </w:rPr>
        <w:t>Trên cơ sở Lệnh này và Đề nghị của Bị đơn, Ủy ban phát hiện rằng:</w:t>
      </w:r>
    </w:p>
    <w:p>
      <w:pPr>
        <w:spacing w:after="80"/>
      </w:pPr>
      <w:r>
        <w:rPr>
          <w:b w:val="0"/>
          <w:i w:val="0"/>
        </w:rPr>
        <w:t>Tóm tắt</w:t>
      </w:r>
    </w:p>
    <w:p>
      <w:pPr>
        <w:spacing w:after="80"/>
      </w:pPr>
      <w:r>
        <w:rPr>
          <w:b w:val="0"/>
          <w:i w:val="0"/>
        </w:rPr>
        <w:t>1. Office Depot đã vi phạm Quy định FD vào năm 2007 bằng cách chọn lọc truyền đạt cho các nhà phân tích rằng công ty sẽ không đạt được ước tính thu nhập hàng quý của các nhà phân tích đối với Office Depot. Sau một cuộc thảo luận giữa Giám đốc Điều hành ("CEO") và Giám đốc Tài chính ("CFO") lúc bấy giờ của công ty, Office Depot đã thực hiện các cuộc gọi riêng với từng nhà phân tích vào cuối quý hai năm 2007. Công ty không trực tiếp nói với các nhà phân tích rằng công ty sẽ không đạt được kỳ vọng của họ; thay vào đó, thông điệp này được truyền đạt qua việc đề cập đến các tuyên bố công khai gần đây của các công ty tương đương về tác động của nền kinh tế suy thoái đối với thu nhập của họ, và nhắc lại các tuyên bố công khai mang tính cảnh báo trước đó của Office Depot. Các nhà phân tích đã nhanh chóng hạ thấp ước tính của họ cho kỳ này. CFO đã hỗ trợ chuẩn bị các điểm nói chuyện cho các cuộc gọi. CFO và CEO đã biết về việc các ước tính đang giảm xuống trong khi công ty thực hiện các cuộc gọi, và họ đã khuyến khích hoàn thành các cuộc gọi. Công ty cũng tiếp tục thực hiện các cuộc gọi mặc dù CFO đã được thông báo về mối lo ngại của một số nhà phân tích về, trong số những điều khác, việc thiếu công bố công khai. Sáu ngày sau khi các cuộc gọi bắt đầu, Office Depot đã nộp Mẫu 8-K thông báo cho thị trường, trong số những điều khác, rằng doanh số và thu nhập của công ty sẽ bị ảnh hưởng tiêu cực do nền kinh tế tiếp tục yếu kém. Trước Mẫu 8-K đó, giá cổ phiếu của Office Depot đã giảm đáng kể với khối lượng giao dịch tăng lên.</w:t>
      </w:r>
    </w:p>
    <w:p>
      <w:pPr>
        <w:spacing w:after="80"/>
      </w:pPr>
      <w:r>
        <w:rPr>
          <w:b w:val="0"/>
          <w:i w:val="0"/>
        </w:rPr>
        <w:t>* * *</w:t>
      </w:r>
    </w:p>
    <w:p>
      <w:pPr>
        <w:spacing w:after="80"/>
      </w:pPr>
      <w:r>
        <w:rPr>
          <w:b w:val="0"/>
          <w:i w:val="0"/>
        </w:rPr>
        <w:t>Bị đơn</w:t>
      </w:r>
    </w:p>
    <w:p>
      <w:pPr>
        <w:spacing w:after="80"/>
      </w:pPr>
      <w:r>
        <w:rPr>
          <w:b w:val="0"/>
          <w:i w:val="0"/>
        </w:rPr>
        <w:t>3. Office Depot, một công ty Delaware có trụ sở tại Boca Raton, Florida, là một nhà cung cấp sản phẩm văn phòng. Cổ phiếu phổ thông của Office Depot được đăng ký với Ủy ban theo Mục 12(b) của Đạo luật Giao dịch và được giao dịch trên Sở Giao dịch Chứng khoán New York.</w:t>
      </w:r>
    </w:p>
    <w:p>
      <w:pPr>
        <w:spacing w:after="80"/>
      </w:pPr>
      <w:r>
        <w:rPr>
          <w:b w:val="0"/>
          <w:i w:val="0"/>
        </w:rPr>
        <w:t>Bối cảnh</w:t>
      </w:r>
    </w:p>
    <w:p>
      <w:pPr>
        <w:spacing w:after="80"/>
      </w:pPr>
      <w:r>
        <w:rPr>
          <w:b w:val="0"/>
          <w:i w:val="0"/>
        </w:rPr>
        <w:t>A. Vi phạm Quy định FD</w:t>
      </w:r>
    </w:p>
    <w:p>
      <w:pPr>
        <w:spacing w:after="80"/>
      </w:pPr>
      <w:r>
        <w:rPr>
          <w:b w:val="0"/>
          <w:i w:val="0"/>
        </w:rPr>
        <w:t>4. Office Depot, theo chính sách công ty, đã không đưa ra hướng dẫn cụ thể về thu nhập hàng quý trong khoảng thời gian liên quan. Vào cuối năm 2006 và đầu năm 2007, CEO và CFO tin rằng mức tăng trưởng thu nhập trên mỗi cổ phiếu ("EPS") đáng kể mà công ty đạt được trong năm 2005 và đầu năm 2006 là không bền vững và bắt đầu điều chỉnh kỳ vọng của các nhà phân tích. Vào tháng 2 năm 2007, trong một cuộc gọi hội nghị về thu nhập được phát sóng công khai, CEO và CFO đã mô tả mô hình kinh doanh của Office Depot, vốn dự kiến mức tăng trưởng EPS từ mức trung bình đến cao trong khoảng mười mấy phần trăm trong dài hạn. Trong một cuộc gọi hội nghị công khai khác vào cuối tháng 4 năm 2007, công ty đã cảnh báo các nhà đầu tư rằng các phân khúc kinh doanh lớn nhất của mình đang đối mặt với sự suy yếu về nhu cầu tiếp tục kéo dài sang quý hai. Ngay sau khi các nhà phân tích công bố ước tính EPS cho Office Depot vào cuối tháng 4 (khi hầu hết các nhà phân tích hạ thấp ước tính của họ cho Office Depot), công ty đã nhắc lại tại một hội nghị nhà đầu tư công khai vào đầu tháng 5 rằng mô hình kinh doanh của mình chỉ dự kiến mức tăng trưởng EPS từ trung bình đến cao trong khoảng mười mấy phần trăm trong dài hạn và rằng công ty đang đối mặt với môi trường nhu cầu suy yếu.</w:t>
      </w:r>
    </w:p>
    <w:p>
      <w:pPr>
        <w:spacing w:after="80"/>
      </w:pPr>
      <w:r>
        <w:rPr>
          <w:b w:val="0"/>
          <w:i w:val="0"/>
        </w:rPr>
        <w:t>5. Vào ngày 31 tháng 5 năm 2007, CEO đã cảnh báo ban giám đốc và ủy ban điều hành của Office Depot rằng công ty có khả năng sẽ không đạt được ước tính EPS đồng thuận của các nhà phân tích là $0.48 cho quý hai và rằng ban lãnh đạo cấp cao đang thảo luận về một chiến lược truyền đạt trước để tránh gây bất ngờ hoàn toàn cho thị trường.</w:t>
      </w:r>
    </w:p>
    <w:p>
      <w:pPr>
        <w:spacing w:after="80"/>
      </w:pPr>
      <w:r>
        <w:rPr>
          <w:b w:val="0"/>
          <w:i w:val="0"/>
        </w:rPr>
        <w:t>6. Office Depot không có chính sách hoặc thủ tục Quy định FD bằng văn bản vào thời điểm đó. Công ty cũng chưa từng thực hiện bất kỳ khóa đào tạo chính thức nào về Quy định FD trước tháng 6 năm 2007, mặc dù tổng cố vấn của công ty thỉnh thoảng đã phân phối hướng dẫn và cập nhật về Quy định FD.</w:t>
      </w:r>
    </w:p>
    <w:p>
      <w:pPr>
        <w:spacing w:after="80"/>
      </w:pPr>
      <w:r>
        <w:rPr>
          <w:b w:val="0"/>
          <w:i w:val="0"/>
        </w:rPr>
        <w:t>Việc Office Depot Tiết lộ Chọn lọc cho các Nhà phân tích</w:t>
      </w:r>
    </w:p>
    <w:p>
      <w:pPr>
        <w:spacing w:after="80"/>
      </w:pPr>
      <w:r>
        <w:rPr>
          <w:b w:val="0"/>
          <w:i w:val="0"/>
        </w:rPr>
        <w:t>7. Vào đầu tháng 6 năm 2007, để phản hồi thông báo ngày 31 tháng 5 năm 2007 của CEO gửi ban giám đốc, CFO đã chỉ thị cho giám đốc quan hệ nhà đầu tư và người giám sát trực tiếp của ông chuẩn bị một bản thảo thông cáo báo chí để bà xem xét, xem trước một số thông tin thu nhập quý hai trong trường hợp công ty sau này quyết định phát hành một thông cáo. Đến giữa tháng 6 năm 2007, một số ước tính nội bộ sơ bộ của công ty dự báo EPS lên tới $0.44 cho quý này. CFO và CEO không thoải mái với việc phát hành thông cáo báo chí vì các ước tính nội bộ của công ty vẫn chưa hoàn chỉnh vào thời điểm này.</w:t>
      </w:r>
    </w:p>
    <w:p>
      <w:pPr>
        <w:spacing w:after="80"/>
      </w:pPr>
      <w:r>
        <w:rPr>
          <w:b w:val="0"/>
          <w:i w:val="0"/>
        </w:rPr>
        <w:t>8. Vào ngày 20 tháng 6 năm 2007, mười ngày trước khi kết thúc quý hai năm 2007 của Office Depot, CEO và CFO, cả hai đều có kinh nghiệm về quan hệ nhà đầu tư, đã thảo luận về cách khuyến khích các nhà phân tích xem xét lại phân tích của họ về công ty. CEO, trong nỗ lực khiến các nhà phân tích hạ thấp ước tính của họ, đã đề xuất với CFO rằng công ty nên nói chuyện với các nhà phân tích và giới thiệu cho họ các thông báo thu nhập gần đây của hai công ty tương đương đã công bố kết quả gần đây bị ảnh hưởng bởi nền kinh tế đang chậm lại. CEO còn đề nghị Office Depot chỉ ra trong các cuộc gọi những gì công ty đã nói với thị trường vào tháng 4 và tháng 5 năm 2007. CEO và CFO cùng nhau quyết định áp dụng cách tiếp cận này. CEO tin rằng nếu các nhà phân tích nhìn lại Office Depot theo góc độ đó, họ sẽ đi đến quan điểm rằng ước tính của họ quá cao và có khả năng sẽ hạ thấp chúng.</w:t>
      </w:r>
    </w:p>
    <w:p>
      <w:pPr>
        <w:spacing w:after="80"/>
      </w:pPr>
      <w:r>
        <w:rPr>
          <w:b w:val="0"/>
          <w:i w:val="0"/>
        </w:rPr>
        <w:t>9. CFO, giám đốc quan hệ nhà đầu tư, và người giám sát trực tiếp của giám đốc đã soạn thảo các điểm nói chuyện, một phần dựa trên gợi ý của CEO, để dùng làm hướng dẫn cho các cuộc gọi với nhà phân tích. CEO không được yêu cầu xem xét các điểm nói chuyện và đã không làm vậy. Các điểm nói chuyện đã được thống nhất được nêu dưới đây.</w:t>
      </w:r>
    </w:p>
    <w:p>
      <w:pPr>
        <w:spacing w:after="80"/>
        <w:ind w:left="360"/>
      </w:pPr>
      <w:r>
        <w:t xml:space="preserve">• </w:t>
      </w:r>
      <w:r>
        <w:rPr>
          <w:b w:val="0"/>
          <w:i w:val="0"/>
        </w:rPr>
        <w:t>Lâu rồi chưa nói chuyện, chỉ muốn liên lạc chút thôi.</w:t>
      </w:r>
    </w:p>
    <w:p>
      <w:pPr>
        <w:spacing w:after="80"/>
        <w:ind w:left="360"/>
      </w:pPr>
      <w:r>
        <w:t xml:space="preserve">• </w:t>
      </w:r>
      <w:r>
        <w:rPr>
          <w:b w:val="0"/>
          <w:i w:val="0"/>
        </w:rPr>
        <w:t>Vào đầu quý, chúng tôi đã nói về một số khó khăn mà chúng tôi phải đối mặt trong quý này, bao gồm nền kinh tế suy yếu, đặc biệt là ở phân khúc khách hàng nhỏ.</w:t>
      </w:r>
    </w:p>
    <w:p>
      <w:pPr>
        <w:spacing w:after="80"/>
        <w:ind w:left="360"/>
      </w:pPr>
      <w:r>
        <w:t xml:space="preserve">• </w:t>
      </w:r>
      <w:r>
        <w:rPr>
          <w:b w:val="0"/>
          <w:i w:val="0"/>
        </w:rPr>
        <w:t>Tôi nghĩ bản công bố thu nhập mà chúng ta đã thấy từ những công ty như [Company A], [Company B], và [Company C] khá thú vị.</w:t>
      </w:r>
    </w:p>
    <w:p>
      <w:pPr>
        <w:spacing w:after="80"/>
        <w:ind w:left="360"/>
      </w:pPr>
      <w:r>
        <w:t xml:space="preserve">• </w:t>
      </w:r>
      <w:r>
        <w:rPr>
          <w:b w:val="0"/>
          <w:i w:val="0"/>
        </w:rPr>
        <w:t>Trên cơ sở so sánh tuần tự, doanh số so sánh nội địa của [Company A] và [Company B] đã giảm đáng kể so với các quý trước.</w:t>
      </w:r>
    </w:p>
    <w:p>
      <w:pPr>
        <w:spacing w:after="80"/>
        <w:ind w:left="360"/>
      </w:pPr>
      <w:r>
        <w:t xml:space="preserve">• </w:t>
      </w:r>
      <w:r>
        <w:rPr>
          <w:b w:val="0"/>
          <w:i w:val="0"/>
        </w:rPr>
        <w:t>[Company C] đã đề cập đến điều kiện kinh tế như một lý do cho sự tăng trưởng chậm lại của họ.</w:t>
      </w:r>
    </w:p>
    <w:p>
      <w:pPr>
        <w:spacing w:after="80"/>
        <w:ind w:left="360"/>
      </w:pPr>
      <w:r>
        <w:t xml:space="preserve">• </w:t>
      </w:r>
      <w:r>
        <w:rPr>
          <w:b w:val="0"/>
          <w:i w:val="0"/>
        </w:rPr>
        <w:t>Một số người đã chỉ ra rằng điều kiện sẽ tốt hơn trong nửa cuối năm—tuy nhiên ai mà biết được?</w:t>
      </w:r>
    </w:p>
    <w:p>
      <w:pPr>
        <w:spacing w:after="80"/>
        <w:ind w:left="360"/>
      </w:pPr>
      <w:r>
        <w:t xml:space="preserve">• </w:t>
      </w:r>
      <w:r>
        <w:rPr>
          <w:b w:val="0"/>
          <w:i w:val="0"/>
        </w:rPr>
        <w:t>Xin nhắc bạn rằng mô hình kinh tế dự tính điều kiện kinh tế ổn định—tức là mức tăng trưởng ở mức trung bình mười mấy phần trăm</w:t>
      </w:r>
    </w:p>
    <w:p>
      <w:pPr>
        <w:spacing w:after="80"/>
      </w:pPr>
      <w:r>
        <w:rPr>
          <w:b w:val="0"/>
          <w:i w:val="0"/>
        </w:rPr>
        <w:t>10. Vào thứ Sáu, ngày 22 tháng 6 năm 2007, và thứ Hai tiếp theo, ngày 25 tháng 6 năm 2007, giám đốc quan hệ nhà đầu tư đã nói chuyện riêng với tất cả 18 nhà phân tích theo dõi Office Depot và truyền đạt cho họ thông tin trong các điểm nói chuyện. Office Depot không thường xuyên thực hiện các cuộc gọi kiểu này với tất cả 18 nhà phân tích theo dõi công ty. Tin về những cuộc gọi này nhanh chóng lan truyền giữa các nhà phân tích, một số người trong đó tin rằng Office Depot đang "nói giảm" ước tính thu nhập của các nhà phân tích.</w:t>
      </w:r>
    </w:p>
    <w:p>
      <w:pPr>
        <w:spacing w:after="80"/>
      </w:pPr>
      <w:r>
        <w:rPr>
          <w:b w:val="0"/>
          <w:i w:val="0"/>
        </w:rPr>
        <w:t>11. CFO và CEO đã liên lạc với giám đốc quan hệ nhà đầu tư trong và sau các cuộc gọi. Vào thứ Bảy, ngày 23 tháng 6 năm 2007, CFO đã gửi email các ước tính đã điều chỉnh của nhà phân tích cho CEO và thông báo rằng giám đốc quan hệ nhà đầu tư đã nói chuyện với hầu hết các nhà phân tích của công ty và hai người đã giảm ước tính của họ. CEO phản hồi tích cực và khuyến khích tiếp tục các cuộc gọi để thêm nhiều nhà phân tích hạ thấp ước tính của họ. Vào thứ Hai, ngày 25 tháng 6 năm 2007, CFO hỏi người giám sát trực tiếp của giám đốc quan hệ nhà đầu tư liệu giám đốc quan hệ nhà đầu tư đã liên hệ với một nhà phân tích cụ thể có ước tính EPS cao nhất và chưa được điều chỉnh chưa. Cũng vào thứ Hai, CEO đã yêu cầu và nhận được bản cập nhật, cho thấy ước tính đồng thuận của các nhà phân tích vẫn là $0.46. Với sự biết của CFO, CEO sau đó đã nhận xét với giám đốc quan hệ nhà đầu tư rằng họ vẫn cần trò chuyện với thêm vài nhà phân tích nữa.</w:t>
      </w:r>
    </w:p>
    <w:p>
      <w:pPr>
        <w:spacing w:after="80"/>
      </w:pPr>
      <w:r>
        <w:rPr>
          <w:b w:val="0"/>
          <w:i w:val="0"/>
        </w:rPr>
        <w:t>12. Các cuộc gọi của Office Depot đã ảnh hưởng đến nhiều nhà phân tích khiến họ điều chỉnh và hạ thấp dự báo quý hai năm 2007 của mình. Đến cuối ngày thứ hai của các cuộc gọi, mười lăm trong số mười tám nhà phân tích đã hạ thấp ước tính của họ, đưa ước tính đồng thuận giảm từ $0.48 xuống $0.45.</w:t>
      </w:r>
    </w:p>
    <w:p>
      <w:pPr>
        <w:spacing w:after="80"/>
      </w:pPr>
      <w:r>
        <w:rPr>
          <w:b w:val="0"/>
          <w:i w:val="0"/>
        </w:rPr>
        <w:t>Phản ứng của Nhà phân tích và Nhà đầu tư đối với các Cuộc gọi và các Cuộc gọi đến Nhà đầu tư Tổ chức</w:t>
      </w:r>
    </w:p>
    <w:p>
      <w:pPr>
        <w:spacing w:after="80"/>
      </w:pPr>
      <w:r>
        <w:rPr>
          <w:b w:val="0"/>
          <w:i w:val="0"/>
        </w:rPr>
        <w:t>13. Trong một cuộc gọi vào thứ Sáu, ngày 22 tháng 6 năm 2007, một nhà phân tích đã bày tỏ lo ngại với giám đốc quan hệ nhà đầu tư về việc thiếu thông cáo báo chí. Cùng ngày hôm đó, giám đốc quan hệ nhà đầu tư đã truyền đạt mối lo ngại này cho CFO và rằng một nhà phân tích khác đang thông báo cho khách hàng của mình rằng ông dự đoán thu nhập của Office Depot sẽ giảm dựa trên cuộc gọi của mình.</w:t>
      </w:r>
    </w:p>
    <w:p>
      <w:pPr>
        <w:spacing w:after="80"/>
      </w:pPr>
      <w:r>
        <w:rPr>
          <w:b w:val="0"/>
          <w:i w:val="0"/>
        </w:rPr>
        <w:t>14. Vào thứ Hai, ngày 25 tháng 6 năm 2007, giám đốc quan hệ nhà đầu tư đã thông báo cho CFO rằng một nhà phân tích khác nói với ông rằng ông ngạc nhiên vì thiếu thông cáo báo chí và chỉ ra rằng một số khách hàng của ông cũng ngạc nhiên. Ngoài ra, vào tối muộn thứ Hai, CFO đã chỉ thị cho giám đốc quan hệ nhà đầu tư gọi cho hai mươi nhà đầu tư tổ chức hàng đầu của công ty và truyền đạt cùng các điểm nói chuyện cho họ, điều mà ông đã làm vào ngày hôm sau.</w:t>
      </w:r>
    </w:p>
    <w:p>
      <w:pPr>
        <w:spacing w:after="80"/>
      </w:pPr>
      <w:r>
        <w:rPr>
          <w:b w:val="0"/>
          <w:i w:val="0"/>
        </w:rPr>
        <w:t>Office Depot Nộp Mẫu 8-K</w:t>
      </w:r>
    </w:p>
    <w:p>
      <w:pPr>
        <w:spacing w:after="80"/>
      </w:pPr>
      <w:r>
        <w:rPr>
          <w:b w:val="0"/>
          <w:i w:val="0"/>
        </w:rPr>
        <w:t>15. Sau khi thị trường đóng cửa vào Thứ Năm, ngày 28 tháng 6 năm 2007, sáu ngày sau khi các cuộc gọi đến các nhà phân tích bắt đầu, Office Depot đã nộp Mẫu 8-K công bố công khai, trong đó có thông tin rằng lợi nhuận của công ty sẽ bị "ảnh hưởng tiêu cực do điều kiện kinh tế tiếp tục suy yếu."</w:t>
      </w:r>
    </w:p>
    <w:p>
      <w:pPr>
        <w:spacing w:after="80"/>
      </w:pPr>
      <w:r>
        <w:rPr>
          <w:b w:val="0"/>
          <w:i w:val="0"/>
        </w:rPr>
        <w:t>Phản ứng của thị trường</w:t>
      </w:r>
    </w:p>
    <w:p>
      <w:pPr>
        <w:spacing w:after="80"/>
      </w:pPr>
      <w:r>
        <w:rPr>
          <w:b w:val="0"/>
          <w:i w:val="0"/>
        </w:rPr>
        <w:t>16. Từ Thứ Sáu, ngày 22 tháng 6 năm 2007 (ngày Office Depot bắt đầu gọi cho các nhà phân tích) đến ngày 28 tháng 6 năm 2007 (ngày đóng cửa thị trường cuối cùng trước khi Office Depot nộp Mẫu 8-K), cổ phiếu của công ty đã giảm 7,7%. Vào ngày đầu tiên của các cuộc gọi, cổ phiếu Office Depot đóng cửa ở mức 33,49 đô la một cổ phiếu. Đây là mức giảm 2,8% so với giá đóng cửa trước đó, với khối lượng giao dịch gần 7,5 triệu cổ phiếu, gấp hai lần rưỡi khối lượng trung bình của phần còn lại trong tuần đó. Vào ngày thứ hai của các cuộc gọi, cổ phiếu tiếp tục giảm 3,5% xuống còn 32,32 đô la một cổ phiếu với khối lượng giao dịch 7 triệu cổ phiếu.</w:t>
      </w:r>
    </w:p>
    <w:p>
      <w:pPr>
        <w:spacing w:after="80"/>
      </w:pPr>
      <w:r>
        <w:rPr>
          <w:b w:val="0"/>
          <w:i w:val="0"/>
        </w:rPr>
        <w:t>* * *</w:t>
      </w:r>
    </w:p>
    <w:p>
      <w:pPr>
        <w:spacing w:after="80"/>
      </w:pPr>
      <w:r>
        <w:rPr>
          <w:b w:val="0"/>
          <w:i w:val="0"/>
        </w:rPr>
        <w:t>Các vi phạm</w:t>
      </w:r>
    </w:p>
    <w:p>
      <w:pPr>
        <w:spacing w:after="80"/>
      </w:pPr>
      <w:r>
        <w:rPr>
          <w:b w:val="0"/>
          <w:i/>
        </w:rPr>
        <w:t>Vi phạm Quy định FD và Mục 13(a) của Đạo luật Giao dịch Chứng khoán</w:t>
      </w:r>
    </w:p>
    <w:p>
      <w:pPr>
        <w:spacing w:after="80"/>
      </w:pPr>
      <w:r>
        <w:rPr>
          <w:b w:val="0"/>
          <w:i w:val="0"/>
        </w:rPr>
        <w:t>22. Quy định FD cấm các tổ chức phát hành hoặc những người hành động thay mặt họ tiết lộ thông tin trọng yếu chưa công khai cho các nhà phân tích chứng khoán, nhà đầu tư tổ chức hoặc những người được liệt kê khác mà không công bố thông tin đó cho công chúng. Xem tổng quát Quy định FD, Quy tắc 100; Quy tắc cuối cùng: Tiết lộ có chọn lọc và Giao dịch nội gián, Exchange Act Rel. No. 43154, 65 Fed. Reg. 51,716 (ngày 15 tháng 8 năm 2000) ("Văn bản ban hành"). Khi việc tiết lộ có chọn lọc thông tin trọng yếu chưa công khai là "cố ý", tổ chức phát hành phải công bố công khai đồng thời với việc tiết lộ có chọn lọc. Quy định FD, Quy tắc 100(a)(1). Cố ý có nghĩa là "khi người thực hiện việc tiết lộ biết, hoặc cẩu thả trong việc không biết, rằng thông tin mà họ đang truyền đạt vừa là trọng yếu vừa chưa công khai." Quy định FD, Quy tắc 101(a). Khi việc tiết lộ có chọn lọc là "không cố ý", Quy định FD yêu cầu tổ chức phát hành phải công bố công khai thông tin đó ngay sau khi một quan chức cấp cao của tổ chức phát hành biết về việc tiết lộ không cố ý. Quy tắc 100(a)(2) &amp; 101(d). Quy định FD định nghĩa "ngay" có nghĩa là "sớm nhất có thể trong thực tế (nhưng trong mọi trường hợp không muộn hơn thời điểm muộn hơn giữa 24 giờ hoặc thời điểm bắt đầu giao dịch ngày hôm sau trên Sở Giao dịch Chứng khoán New York)." Quy tắc 101(d).</w:t>
      </w:r>
    </w:p>
    <w:p>
      <w:pPr>
        <w:spacing w:after="80"/>
      </w:pPr>
      <w:r>
        <w:rPr>
          <w:b w:val="0"/>
          <w:i w:val="0"/>
        </w:rPr>
        <w:t>23. Việc tổ chức phát hành không thực hiện công bố công khai theo yêu cầu của Quy định FD cấu thành hành vi vi phạm cả Quy định FD và Mục 13(a) của Đạo luật Giao dịch Chứng khoán. Xem Văn bản ban hành, 65 Fed. Reg. tại 51,726.</w:t>
      </w:r>
    </w:p>
    <w:p>
      <w:pPr>
        <w:spacing w:after="80"/>
      </w:pPr>
      <w:r>
        <w:rPr>
          <w:b w:val="0"/>
          <w:i w:val="0"/>
        </w:rPr>
        <w:t>24. Ủy ban đã ban hành Quy định FD xuất phát từ lo ngại rằng các tổ chức phát hành đang "tiết lộ thông tin chưa công khai quan trọng, chẳng hạn như cảnh báo trước về kết quả lợi nhuận, cho các nhà phân tích chứng khoán hoặc một số nhà đầu tư tổ chức được chọn hoặc cả hai, trước khi công bố đầy đủ thông tin tương tự cho công chúng." Id. tại 51,716. Ủy ban đã giải thích trong Văn bản ban hành:</w:t>
      </w:r>
    </w:p>
    <w:p>
      <w:pPr>
        <w:spacing w:after="80"/>
      </w:pPr>
      <w:r>
        <w:rPr>
          <w:b w:val="0"/>
          <w:i w:val="0"/>
        </w:rPr>
        <w:t>Khi một quan chức của tổ chức phát hành tham gia vào cuộc thảo luận riêng với một nhà phân tích đang tìm kiếm hướng dẫn về ước tính lợi nhuận, người đó đối mặt với mức độ rủi ro cao theo Quy định FD. Nếu quan chức của tổ chức phát hành truyền đạt có chọn lọc cho nhà phân tích thông tin chưa công khai rằng lợi nhuận dự kiến của công ty sẽ cao hơn, thấp hơn, hoặc thậm chí bằng với những gì các nhà phân tích đã dự báo, tổ chức phát hành có khả năng đã vi phạm Quy định FD. Điều này đúng cho dù thông tin về lợi nhuận được truyền đạt rõ ràng hay thông qua "hướng dẫn" gián tiếp, mà ý nghĩa của nó là rõ ràng dù được ngụ ý.</w:t>
      </w:r>
    </w:p>
    <w:p>
      <w:pPr>
        <w:spacing w:after="80"/>
      </w:pPr>
      <w:r>
        <w:rPr>
          <w:b w:val="0"/>
          <w:i w:val="0"/>
        </w:rPr>
        <w:t>Id. tại 51,721.</w:t>
      </w:r>
    </w:p>
    <w:p>
      <w:pPr>
        <w:spacing w:after="80"/>
      </w:pPr>
      <w:r>
        <w:rPr>
          <w:b w:val="0"/>
          <w:i w:val="0"/>
        </w:rPr>
        <w:t>25. Hơn nữa, Phòng Tài chính Doanh nghiệp đã tuyên bố trong các giải thích của mình về Quy định FD rằng "việc xác nhận lợi nhuận hàng quý dự kiến được thực hiện gần cuối quý có thể truyền đạt thông tin về cách tổ chức phát hành thực sự đã hoạt động. Về khía cạnh đó, suy luận mà một nhà đầu tư hợp lý có thể rút ra từ sự xác nhận như vậy có thể khác biệt đáng kể so với suy luận mà họ có thể đã rút ra từ dự báo ban đầu vào đầu quý." Phòng Tài chính Doanh nghiệp: Sổ tay Giải thích qua Điện thoại được Công bố Công khai, Quy định FD, Mục 1 (bổ sung lần 4, tháng 5 năm 2001) ("Giải thích qua Điện thoại"). (Vào ngày 14 tháng 8 năm 2009, các Giải thích qua Điện thoại liên quan đến Quy định FD đã được chuyển sang định dạng Giải thích về Tuân thủ &amp; Công bố.)</w:t>
      </w:r>
    </w:p>
    <w:p>
      <w:pPr>
        <w:spacing w:after="80"/>
      </w:pPr>
      <w:r>
        <w:rPr>
          <w:b w:val="0"/>
          <w:i w:val="0"/>
        </w:rPr>
        <w:t>26. Do hậu quả của hành vi được mô tả ở trên, Office Depot đã vi phạm Quy định FD và Mục 13(a) của Đạo luật Giao dịch Chứng khoán.</w:t>
      </w:r>
    </w:p>
    <w:p>
      <w:pPr>
        <w:spacing w:after="80"/>
      </w:pPr>
      <w:r>
        <w:rPr>
          <w:b w:val="0"/>
          <w:i w:val="0"/>
        </w:rPr>
        <w:t>* * *</w:t>
      </w:r>
    </w:p>
    <w:p>
      <w:pPr>
        <w:spacing w:after="80"/>
      </w:pPr>
      <w:r>
        <w:rPr>
          <w:b w:val="0"/>
          <w:i w:val="0"/>
        </w:rPr>
        <w:t>Nỗ lực khắc phục</w:t>
      </w:r>
    </w:p>
    <w:p>
      <w:pPr>
        <w:spacing w:after="80"/>
      </w:pPr>
      <w:r>
        <w:rPr>
          <w:b w:val="0"/>
          <w:i w:val="0"/>
        </w:rPr>
        <w:t>Khi quyết định chấp nhận Đề nghị, Ủy ban đã xem xét các hành động khắc phục được Bị đơn thực hiện kịp thời và sự hợp tác dành cho nhân viên Ủy ban.</w:t>
      </w:r>
    </w:p>
    <w:p>
      <w:pPr>
        <w:spacing w:after="80"/>
      </w:pPr>
      <w:r>
        <w:rPr>
          <w:b w:val="0"/>
          <w:i w:val="0"/>
        </w:rPr>
        <w:t>IV.</w:t>
      </w:r>
    </w:p>
    <w:p>
      <w:pPr>
        <w:spacing w:after="80"/>
      </w:pPr>
      <w:r>
        <w:rPr>
          <w:b w:val="0"/>
          <w:i w:val="0"/>
        </w:rPr>
        <w:t>Trước những điều đã trình bày ở trên, Ủy ban (Commission) xét thấy phù hợp để áp đặt các biện pháp chế tài đã được đồng ý trong Đề nghị của Bị đơn (Respondent's Offer).</w:t>
      </w:r>
    </w:p>
    <w:p>
      <w:pPr>
        <w:spacing w:after="80"/>
      </w:pPr>
      <w:r>
        <w:rPr>
          <w:b w:val="0"/>
          <w:i w:val="0"/>
        </w:rPr>
        <w:t>Theo đó, nay RA LỆNH rằng theo Mục 21C của Luật Giao dịch Chứng khoán (Exchange Act), Bị đơn Office Depot phải chấm dứt việc thực hiện hoặc gây ra bất kỳ hành vi vi phạm nào cũng như mọi hành vi vi phạm trong tương lai đối với các Mục 13(a), 13(b)(2)(A) và 13(b)(2)(B) của Luật Giao dịch Chứng khoán và các Quy tắc 12b-20, 13a-1 và 13a-13 ban hành kèm theo, cùng với Quy định FD (Regulation FD).</w:t>
      </w:r>
    </w:p>
    <w:p>
      <w:pPr>
        <w:spacing w:after="80"/>
      </w:pPr>
      <w:r>
        <w:rPr>
          <w:b w:val="0"/>
          <w:i w:val="0"/>
        </w:rPr>
        <w:t>Thay mặt Ủy ban.</w:t>
      </w:r>
    </w:p>
    <w:p>
      <w:pPr>
        <w:pStyle w:val="Heading5"/>
      </w:pPr>
      <w:r>
        <w:rPr>
          <w:rFonts w:ascii="Calibri" w:hAnsi="Calibri"/>
          <w:b/>
          <w:i/>
          <w:sz w:val="22"/>
        </w:rPr>
        <w:t>Bình luận và Câu hỏi</w:t>
      </w:r>
    </w:p>
    <w:p>
      <w:pPr>
        <w:spacing w:after="80"/>
      </w:pPr>
      <w:r>
        <w:rPr>
          <w:b w:val="0"/>
          <w:i w:val="0"/>
        </w:rPr>
        <w:t>1. Loại thông tin nào thường dễ bị tiết lộ có chọn lọc? Chẳng hạn, quy định này có áp dụng cho thông tin được tiết lộ có chọn lọc về sức khỏe của CEO không?</w:t>
      </w:r>
    </w:p>
    <w:p>
      <w:pPr>
        <w:spacing w:after="80"/>
      </w:pPr>
      <w:r>
        <w:rPr>
          <w:b w:val="0"/>
          <w:i w:val="0"/>
        </w:rPr>
        <w:t>2. Chính xác thì Công ty trong trường hợp này đã làm sai điều gì? SEC đã khởi kiện. Liệu các nhà đầu tư bị thiệt hại cũng có thể duy trì một khiếu nại không?</w:t>
      </w:r>
    </w:p>
    <w:p>
      <w:pPr>
        <w:spacing w:after="80"/>
      </w:pPr>
      <w:r>
        <w:rPr>
          <w:b w:val="0"/>
          <w:i w:val="0"/>
        </w:rPr>
        <w:t>3. Quy định này có thể tác động thế nào đến quản trị công ty (corporate governance)? Chẳng hạn, đôi khi các công ty có thể muốn thảo luận về các gói thù lao với các cổ đông chủ chốt trước khi công bố chúng trong bản tuyên bố ủy quyền (proxy statement). Liệu kiểu thảo luận này có làm phát sinh nghĩa vụ theo Quy định FD không?</w:t>
      </w:r>
    </w:p>
    <w:p>
      <w:pPr>
        <w:spacing w:after="80"/>
      </w:pPr>
      <w:r>
        <w:rPr>
          <w:b w:val="0"/>
          <w:i w:val="0"/>
        </w:rPr>
        <w:t xml:space="preserve">4. Làm thế nào một công ty có thể thảo luận những vấn đề này với các nhóm đối tượng chủ chốt (như các nhà đầu tư lớn) mà không làm phát sinh nghĩa vụ phải tiết lộ thông tin ra thị trường? Liệu một cam kết bằng lời nói từ phía cổ đông về việc giữ bí mật thông tin có đủ không? Có lẽ một phần câu trả lời có thể được tìm thấy trong </w:t>
      </w:r>
      <w:r>
        <w:rPr>
          <w:b w:val="0"/>
          <w:i/>
        </w:rPr>
        <w:t>SEC v. Cuban</w:t>
      </w:r>
      <w:r>
        <w:rPr>
          <w:b w:val="0"/>
          <w:i w:val="0"/>
        </w:rPr>
        <w:t xml:space="preserve"> , 620 F.3d 551 (5th Cir. 2010).</w:t>
      </w:r>
    </w:p>
    <w:p>
      <w:pPr>
        <w:spacing w:after="80"/>
      </w:pPr>
      <w:r>
        <w:rPr>
          <w:b w:val="0"/>
          <w:i w:val="0"/>
        </w:rPr>
        <w:t xml:space="preserve">5. Khi SEC thông qua quy định này, một số nhà phê bình lập luận rằng nó sẽ dẫn đến sự sụt giảm lượng thông tin được công bố. Điều đó sẽ xảy ra như thế nào? Liệu đó có phải là kết quả dễ xảy ra từ yêu cầu này không? </w:t>
      </w:r>
      <w:r>
        <w:rPr>
          <w:b w:val="0"/>
          <w:i/>
        </w:rPr>
        <w:t>Xem</w:t>
      </w:r>
      <w:r>
        <w:rPr>
          <w:b w:val="0"/>
          <w:i w:val="0"/>
        </w:rPr>
        <w:t xml:space="preserve"> Jill E. Fisch &amp; Hillary A. Sale, </w:t>
      </w:r>
      <w:r>
        <w:rPr>
          <w:b w:val="0"/>
          <w:i/>
        </w:rPr>
        <w:t>The Securities Analyst as Agent: Rethinking the Regulation of Analysts</w:t>
      </w:r>
      <w:r>
        <w:rPr>
          <w:b w:val="0"/>
          <w:i w:val="0"/>
        </w:rPr>
        <w:t xml:space="preserve"> , 88 Iowa L. Rev. 1035, 1067 (2003) (lưu ý rằng "nghiên cứu ban đầu cho thấy những tác động tiêu cực được cho là của Quy định FD đối với dòng chảy thông tin và mức độ biến động có thể đã bị phóng đại.").</w:t>
      </w:r>
    </w:p>
    <w:p>
      <w:pPr>
        <w:spacing w:after="80"/>
      </w:pPr>
      <w:r>
        <w:rPr>
          <w:b w:val="0"/>
          <w:i w:val="0"/>
        </w:rPr>
        <w:t>—————</w:t>
      </w:r>
    </w:p>
    <w:p>
      <w:pPr>
        <w:spacing w:after="80"/>
      </w:pPr>
      <w:r>
        <w:rPr>
          <w:b w:val="0"/>
          <w:i w:val="0"/>
        </w:rPr>
        <w:t xml:space="preserve">Việc công bố công khai có thể diễn ra như thế nào? SEC đã làm rõ rằng việc nộp một báo cáo hiện hành theo mẫu 8-K sẽ là đủ. </w:t>
      </w:r>
      <w:r>
        <w:rPr>
          <w:b w:val="0"/>
          <w:i/>
        </w:rPr>
        <w:t>Xem</w:t>
      </w:r>
      <w:r>
        <w:rPr>
          <w:b w:val="0"/>
          <w:i w:val="0"/>
        </w:rPr>
        <w:t xml:space="preserve"> Quy tắc 101(e), 17 CFR § 243.101(e). Tuy nhiên, ngoài ra, một công ty có thể phổ biến thông tin "thông qua một phương thức khác (hoặc kết hợp các phương thức) công bố được thiết kế hợp lý để cung cấp sự phân phối rộng rãi, không loại trừ, thông tin đến công chúng." </w:t>
      </w:r>
      <w:r>
        <w:rPr>
          <w:b w:val="0"/>
          <w:i/>
        </w:rPr>
        <w:t>Sđd.</w:t>
      </w:r>
      <w:r>
        <w:rPr>
          <w:b w:val="0"/>
          <w:i w:val="0"/>
        </w:rPr>
        <w:t xml:space="preserve"> Điều này có thể có nghĩa là gì? Liệu nó có bao gồm việc công bố qua mạng xã hội không?</w:t>
      </w:r>
    </w:p>
    <w:p>
      <w:pPr>
        <w:pStyle w:val="Heading4"/>
      </w:pPr>
      <w:r>
        <w:rPr>
          <w:rFonts w:ascii="Calibri" w:hAnsi="Calibri"/>
          <w:b/>
          <w:i w:val="0"/>
          <w:sz w:val="23"/>
        </w:rPr>
        <w:t>Báo cáo Điều tra theo Mục 21(A) của</w:t>
      </w:r>
      <w:r>
        <w:br/>
      </w:r>
      <w:r>
        <w:rPr>
          <w:rFonts w:ascii="Calibri" w:hAnsi="Calibri"/>
          <w:b/>
          <w:i w:val="0"/>
          <w:sz w:val="23"/>
        </w:rPr>
        <w:t xml:space="preserve"> Luật Giao dịch Chứng khoán năm 1934: Netflix, Inc. và Reed Hastings</w:t>
      </w:r>
    </w:p>
    <w:p>
      <w:pPr>
        <w:spacing w:after="80"/>
      </w:pPr>
      <w:r>
        <w:rPr>
          <w:b w:val="0"/>
          <w:i w:val="0"/>
        </w:rPr>
        <w:t>Bản phát hành Luật Giao dịch (Exchange Act Release) số 69279 (ngày 2 tháng 4 năm 2013)</w:t>
      </w:r>
    </w:p>
    <w:p>
      <w:pPr>
        <w:spacing w:after="80"/>
      </w:pPr>
      <w:r>
        <w:rPr>
          <w:b/>
          <w:i w:val="0"/>
        </w:rPr>
        <w:t>III. Các sự kiện</w:t>
      </w:r>
    </w:p>
    <w:p>
      <w:pPr>
        <w:spacing w:after="80"/>
      </w:pPr>
      <w:r>
        <w:rPr>
          <w:b w:val="0"/>
          <w:i w:val="0"/>
        </w:rPr>
        <w:t>Netflix là một dịch vụ giải trí trực tuyến cung cấp phim và chương trình truyền hình cho người đăng ký bằng cách phát trực tuyến (streaming) nội dung qua internet và phân phối đĩa DVD qua đường bưu điện. Trong hai năm qua, Netflix tuyên bố rằng họ ngày càng tập trung vào việc mở rộng mảng kinh doanh phát trực tuyến qua internet.</w:t>
      </w:r>
    </w:p>
    <w:p>
      <w:pPr>
        <w:spacing w:after="80"/>
      </w:pPr>
      <w:r>
        <w:rPr>
          <w:b w:val="0"/>
          <w:i w:val="0"/>
        </w:rPr>
        <w:t>Vào ngày 4 tháng 1 năm 2012, Netflix đã thông báo qua một thông cáo báo chí rằng họ đã phát trực tuyến hai tỷ giờ nội dung trong quý 4 năm 2011. Netflix cũng đưa chỉ số hai tỷ giờ phát trực tuyến này vào đoạn mở đầu của lá thư gửi cổ đông ngày 25 tháng 1 năm 2012, do Hastings ký tên, kèm theo kết quả tài chính hàng quý của Netflix trong báo cáo thu nhập, một bản sao cũng được nộp trên EDGAR dưới dạng Báo cáo hiện hành theo Mẫu 8-K. Trong cuộc gọi hội nghị về thu nhập cuối năm 2011 và quý 4 năm 2011 của Netflix vào ngày 25 tháng 1 năm 2012, Hastings được hỏi tại sao chỉ số phát trực tuyến này lại có ý nghĩa (vì doanh thu của Netflix đến từ phí thuê bao cố định, không dựa trên số giờ nội dung được xem). Hastings giải thích rằng phát trực tuyến là "một thước đo mức độ gắn kết và quy mô, thể hiện qua việc khách hàng chấp nhận và sử dụng dịch vụ của chúng tôi... Nó [hai tỷ giờ phát trực tuyến trong một quý] là một cột mốc tuyệt vời mà chúng tôi đã đạt được. Và như tôi đã nói, nó cho thấy dịch vụ đang được chấp nhận và sử dụng rộng rãi." Ông cũng nói rằng mặc dù ông không nghĩ Netflix sẽ thường xuyên báo cáo số giờ nội dung phát trực tuyến, Netflix sẽ cập nhật chỉ số này "theo từng cột mốc."</w:t>
      </w:r>
    </w:p>
    <w:p>
      <w:pPr>
        <w:spacing w:after="80"/>
      </w:pPr>
      <w:r>
        <w:rPr>
          <w:b w:val="0"/>
          <w:i w:val="0"/>
        </w:rPr>
        <w:t>Trong một bài đăng đầu tháng 6 trên blog chính thức của Netflix, Netflix đã nhắc đến một cách ngắn gọn việc mọi người "thưởng thức gần một tỷ giờ phim và chương trình truyền hình từ Netflix mỗi tháng." Bài blog mang tính kỹ thuật, thông báo về một mạng phân phối nội dung mới dành cho các Nhà cung cấp dịch vụ Internet, và không có thêm chi tiết nào về chỉ số phát trực tuyến. Ngoài ra, Netflix không đưa ra bất kỳ thông báo cột mốc nào về số giờ phát trực tuyến trong khoảng thời gian từ ngày 25 tháng 1 năm 2012 đến đầu tháng 7 năm 2012.</w:t>
      </w:r>
    </w:p>
    <w:p>
      <w:pPr>
        <w:spacing w:after="80"/>
      </w:pPr>
      <w:r>
        <w:rPr>
          <w:b w:val="0"/>
          <w:i w:val="0"/>
        </w:rPr>
        <w:t>Vào ngày 3 tháng 7 năm 2012, ngay trước 11:00 giờ sáng theo giờ miền Đông, Hastings đã đăng thông điệp sau trên trang Facebook cá nhân của mình:</w:t>
      </w:r>
    </w:p>
    <w:p>
      <w:pPr>
        <w:spacing w:after="80"/>
      </w:pPr>
      <w:r>
        <w:rPr>
          <w:b w:val="0"/>
          <w:i w:val="0"/>
        </w:rPr>
        <w:t>Chúc mừng Ted Sarados và đội ngũ cấp phép nội dung tuyệt vời của anh ấy. Lượng xem hàng tháng của Netflix đã vượt 1 tỷ giờ lần đầu tiên trong lịch sử vào tháng 6. Khi House of Cards và Arrested Development ra mắt, chúng ta sẽ phá vỡ những kỷ lục này. Tiếp tục tiến lên, Ted, chúng ta cần nhiều hơn nữa!</w:t>
      </w:r>
    </w:p>
    <w:p>
      <w:pPr>
        <w:spacing w:after="80"/>
      </w:pPr>
      <w:r>
        <w:rPr>
          <w:b w:val="0"/>
          <w:i w:val="0"/>
        </w:rPr>
        <w:t>Thông báo này thể hiện mức tăng gần 50% số giờ phát trực tuyến so với thông báo ngày 25 tháng 1 năm 2012 của Netflix rằng họ đã phát trực tuyến 2 tỷ giờ trong quý ba tháng trước đó.</w:t>
      </w:r>
    </w:p>
    <w:p>
      <w:pPr>
        <w:spacing w:after="80"/>
      </w:pPr>
      <w:r>
        <w:rPr>
          <w:b w:val="0"/>
          <w:i w:val="0"/>
        </w:rPr>
        <w:t>Trước khi đăng bài, Hastings không nhận được ý kiến đóng góp từ giám đốc tài chính, bộ phận pháp lý hay bộ phận quan hệ nhà đầu tư của Netflix. Netflix đã không nộp hoặc cung cấp cho Ủy ban một Báo cáo hiện hành theo Mẫu 8-K, không phát hành thông cáo báo chí qua các kênh phân phối tiêu chuẩn của mình, cũng không công bố cột mốc phát trực tuyến này theo cách nào khác. Cũng trong ngày 3 tháng 7 năm 2012, sau bài đăng trên Facebook, Netflix đã phát hành một thông cáo báo chí công bố ngày phát hành báo cáo thu nhập quý 2 năm 2012 nhưng không đề cập đến bài đăng Facebook của Hastings. Cổ phiếu Netflix tiếp tục đà tăng bắt đầu từ khi thị trường mở cửa ngày 3 tháng 7, tăng từ $70.45 tại thời điểm Hastings đăng bài trên Facebook lên $81.72 vào lúc đóng cửa ngày giao dịch tiếp theo.</w:t>
      </w:r>
    </w:p>
    <w:p>
      <w:pPr>
        <w:spacing w:after="80"/>
      </w:pPr>
      <w:r>
        <w:rPr>
          <w:b w:val="0"/>
          <w:i w:val="0"/>
        </w:rPr>
        <w:t>Thông báo về cột mốc phát trực tuyến đã đến với thị trường chứng khoán một cách dần dần. Bài đăng được một blog chuyên về công nghệ đưa tin khoảng một giờ sau đó và bởi một số ít hãng tin trong vòng hai giờ. Khoảng một giờ sau khi đăng bài, Netflix đã gửi nó cho một số phóng viên, nhưng không phân phối nó đến danh sách gửi thư rộng hơn thường được dùng cho các thông cáo báo chí của công ty. Sau khi thị trường đóng cửa sớm lúc 1:00 giờ chiều, một số bài báo trên báo chí tài chính chính thống đã đưa tin về câu chuyện này. Các nhà phân tích nghiên cứu cũng viết về cột mốc phát trực tuyến này, mô tả chỉ số này như một thước đo tích cực về mức độ gắn kết của khách hàng, cho thấy sự giảm tốc độ mất khách hàng của Netflix, hay còn gọi là "churn" (tỷ lệ rời bỏ), và có thể gợi ý rằng số lượng thuê bao hàng quý sẽ ở mức cao nhất trong dự báo.</w:t>
      </w:r>
    </w:p>
    <w:p>
      <w:pPr>
        <w:spacing w:after="80"/>
      </w:pPr>
      <w:r>
        <w:rPr>
          <w:b w:val="0"/>
          <w:i w:val="0"/>
        </w:rPr>
        <w:t>Các thành viên Facebook có thể đăng ký theo dõi trang Facebook của Hastings, trang này có hơn 200,000 người đăng ký tại thời điểm đăng bài, bao gồm các nhà phân tích nghiên cứu cổ phiếu thuộc các công ty môi giới đã đăng ký, cổ đông, phóng viên và blogger. Cả Hastings lẫn Netflix trước đây đều chưa từng dùng trang Facebook của Hastings để công bố các chỉ số của công ty. Họ cũng chưa từng thực hiện bất kỳ bước nào để cho công chúng đầu tư biết rằng trang Facebook cá nhân của Hastings có thể được dùng làm phương tiện truyền đạt thông tin về Netflix. Thay vào đó, Netflix luôn hướng công chúng đến trang Facebook, Twitter và blog của chính mình cũng như trang web của chính mình để biết thông tin về Netflix. Vào đầu tháng 12 năm 2012, Hastings đã tuyên bố công khai rằng "chúng tôi [Netflix] hiện không dùng Facebook và các phương tiện truyền thông xã hội khác để cung cấp thông tin quan trọng cho nhà đầu tư; chúng tôi thường đưa thông tin đó ra qua các lá thư gửi nhà đầu tư, thông cáo báo chí và hồ sơ nộp SEC rất chi tiết của mình."</w:t>
      </w:r>
    </w:p>
    <w:p>
      <w:pPr>
        <w:spacing w:after="80"/>
      </w:pPr>
      <w:r>
        <w:rPr>
          <w:b/>
          <w:i w:val="0"/>
        </w:rPr>
        <w:t>IV. Thảo luận</w:t>
      </w:r>
    </w:p>
    <w:p>
      <w:pPr>
        <w:spacing w:after="80"/>
      </w:pPr>
      <w:r>
        <w:rPr>
          <w:b w:val="0"/>
          <w:i w:val="0"/>
        </w:rPr>
        <w:t>Một câu hỏi cơ bản được đặt ra trong quá trình điều tra của nhân viên là việc áp dụng Quy định FD và Hướng dẫn năm 2008 đối với các công bố của tổ chức phát hành thông qua những hình thức truyền thông đang thay đổi nhanh chóng, bao gồm cả các kênh truyền thông xã hội. Chúng tôi không muốn cản trở nội dung, hình thức hay diễn đàn của bất kỳ công bố nào như vậy, và chúng tôi lưu tâm đến việc đặt thêm gánh nặng tuân thủ lên các tổ chức phát hành. Thực tế, chúng tôi khuyến khích các công ty tìm kiếm những hình thức truyền thông mới để kết nối tốt hơn với cổ đông. Chúng tôi cũng nhắc nhở các tổ chức phát hành rằng việc phân tích liệu Quy định FD có bị vi phạm hay không luôn là phân tích dựa trên sự kiện và hoàn cảnh cụ thể của từng trường hợp.</w:t>
      </w:r>
    </w:p>
    <w:p>
      <w:pPr>
        <w:spacing w:after="80"/>
      </w:pPr>
      <w:r>
        <w:rPr>
          <w:b w:val="0"/>
          <w:i w:val="0"/>
        </w:rPr>
        <w:t>Chúng tôi nhân dịp này làm rõ và nhấn mạnh hai điểm. Thứ nhất, các công bố của tổ chức phát hành qua các kênh truyền thông xã hội đòi hỏi phải phân tích Quy định FD một cách cẩn thận tương đương với các công bố qua những kênh truyền thống hơn. Thứ hai, các nguyên tắc được nêu trong Hướng dẫn năm 2008 — và cụ thể là quan điểm rằng công chúng đầu tư cần được cảnh báo về những kênh phân phối mà một công ty sẽ dùng để truyền đạt thông tin quan trọng — áp dụng với hiệu lực tương đương đối với các công bố của công ty thực hiện qua các kênh truyền thông xã hội.</w:t>
      </w:r>
    </w:p>
    <w:p>
      <w:pPr>
        <w:spacing w:after="80"/>
      </w:pPr>
      <w:r>
        <w:rPr>
          <w:b/>
          <w:i w:val="0"/>
        </w:rPr>
        <w:t>A. Các công bố kích hoạt Quy định FD</w:t>
      </w:r>
    </w:p>
    <w:p>
      <w:pPr>
        <w:spacing w:after="80"/>
      </w:pPr>
      <w:r>
        <w:rPr>
          <w:b w:val="0"/>
          <w:i w:val="0"/>
        </w:rPr>
        <w:t xml:space="preserve">Quy định FD được áp dụng khi một tổ chức phát hành công bố thông tin quan trọng, chưa công khai cho một số đối tượng được liệt kê cụ thể, bao gồm cổ đông và các chuyên gia chứng khoán. Quy định này cấm công bố có chọn lọc "[m]ỗi khi một tổ chức phát hành, hoặc bất kỳ người nào hành động thay mặt tổ chức đó, công bố bất kỳ thông tin quan trọng chưa công khai nào liên quan đến tổ chức phát hành đó </w:t>
      </w:r>
      <w:r>
        <w:rPr>
          <w:b w:val="0"/>
          <w:i/>
        </w:rPr>
        <w:t>cho bất kỳ người nào</w:t>
      </w:r>
      <w:r>
        <w:rPr>
          <w:b w:val="0"/>
          <w:i w:val="0"/>
        </w:rPr>
        <w:t xml:space="preserve"> được mô tả trong đoạn (b)(1) của mục này." Mặc dù Văn bản Ban hành Quy định FD nhấn mạnh những lo ngại đặc biệt của Ủy ban về việc công bố có chọn lọc thông tin cho các nhà phân tích hoặc nhà đầu tư được ưu ái, việc xác định các đối tượng được liệt kê trong Quy định FD mang tính bao quát, và lệnh cấm không dựa trên ý định hay động cơ thiên vị. Quy định này cũng không gợi ý rằng việc công bố thông tin quan trọng, chưa công khai cho một nhóm rộng hơn bao gồm cả người được liệt kê lẫn người không được liệt kê nhưng vẫn chưa đạt đến mức công bố công khai sẽ loại bỏ khả năng áp dụng Quy định FD. Ngược lại, quy định nêu rõ rằng việc công bố công khai thông tin quan trọng, chưa công khai phải được thực hiện theo cách tuân thủ Quy định FD mỗi khi thông tin đó được công bố cho bất kỳ nhóm nào bao gồm một hoặc nhiều người được liệt kê.</w:t>
      </w:r>
    </w:p>
    <w:p>
      <w:pPr>
        <w:spacing w:after="80"/>
      </w:pPr>
      <w:r>
        <w:rPr>
          <w:b w:val="0"/>
          <w:i w:val="0"/>
        </w:rPr>
        <w:t>Theo đó, chúng tôi nhấn mạnh với các tổ chức phát hành rằng mọi công bố cho các nhóm bao gồm một người được liệt kê đều cần được phân tích để đảm bảo tuân thủ Quy định FD. Cụ thể, nếu một tổ chức phát hành công bố thông tin cho một người được liệt kê, bao gồm cả việc công bố cho một nhóm người nhận rộng hơn qua một kênh truyền thông xã hội, tổ chức phát hành phải xem xét liệu công bố đó có liên quan đến Quy định FD hay không. Điều này bao gồm việc xác định liệu công bố đó có chứa thông tin quan trọng, chưa công khai hay không. Hơn nữa, nếu tổ chức phát hành chọn không nộp Mẫu 8-K, tổ chức phát hành sẽ cần xem xét liệu thông tin đó có được truyền đạt theo cách "được thiết kế hợp lý để phân phối rộng rãi, không loại trừ, thông tin đến công chúng" hay không.</w:t>
      </w:r>
    </w:p>
    <w:p>
      <w:pPr>
        <w:spacing w:after="80"/>
      </w:pPr>
      <w:r>
        <w:rPr>
          <w:b/>
          <w:i w:val="0"/>
        </w:rPr>
        <w:t>B. Phân phối thông tin rộng rãi, không loại trừ đến công chúng</w:t>
      </w:r>
    </w:p>
    <w:p>
      <w:pPr>
        <w:spacing w:after="80"/>
      </w:pPr>
      <w:r>
        <w:rPr>
          <w:b w:val="0"/>
          <w:i w:val="0"/>
        </w:rPr>
        <w:t>Hướng dẫn năm 2008 của chúng tôi chủ yếu hướng đến việc sử dụng các trang web của công ty để công bố thông tin quan trọng, chưa công khai. Giống như các trang web, các trang truyền thông xã hội của công ty được chính tổ chức phát hành tạo ra, điền nội dung và cập nhật. Hơn nữa, Hướng dẫn năm 2008 đã xác định cụ thể các công nghệ "đẩy" (push), như thông báo qua email và nguồn cấp RSS, cùng các công cụ truyền thông "tương tác", như blog, có thể cho phép truyền đạt thông tin điện tử tự động đến người đăng ký. Các kênh truyền thông xã hội đang phát triển ngày nay là sự mở rộng của những khái niệm này, theo đó thông tin có thể được truyền đạt đến những người có quyền truy cập. Vì vậy, Hướng dẫn năm 2008 tiếp tục cung cấp một khuôn khổ phù hợp để áp dụng Quy định FD cho các kênh phân phối truyền thông xã hội đang phát triển.</w:t>
      </w:r>
    </w:p>
    <w:p>
      <w:pPr>
        <w:spacing w:after="80"/>
      </w:pPr>
      <w:r>
        <w:rPr>
          <w:b w:val="0"/>
          <w:i w:val="0"/>
        </w:rPr>
        <w:t>Cụ thể, trước khả năng giao tiếp trực tiếp và tức thời từ tổ chức phát hành đến nhà đầu tư hiện nay nhờ các kênh truyền thông xã hội như Facebook và Twitter, chúng tôi kỳ vọng các tổ chức phát hành sẽ xem xét một cách nghiêm ngặt các yếu tố cho thấy liệu một kênh cụ thể có phải là “kênh phân phối được công nhận” (recognized channel of distribution) để giao tiếp với nhà đầu tư của mình hay không. Chúng tôi nhấn mạnh với các tổ chức phát hành rằng những bước được thực hiện để thông báo cho thị trường biết công ty dự định sử dụng những hình thức giao tiếp nào để phổ biến thông tin trọng yếu, chưa công khai (material, non-public information), bao gồm các kênh truyền thông xã hội có thể được sử dụng và các loại thông tin có thể được công bố qua những kênh này, là yếu tố then chốt đối với việc công bố thông tin một cách công bằng và hiệu quả. Nếu không có thông báo như vậy, công chúng đầu tư sẽ buộc phải bám theo một vũ trụ các kênh công bố tiềm năng đang thay đổi và mở rộng không ngừng – một nhiệm vụ gần như bất khả thi.</w:t>
      </w:r>
    </w:p>
    <w:p>
      <w:pPr>
        <w:spacing w:after="80"/>
      </w:pPr>
      <w:r>
        <w:rPr>
          <w:b w:val="0"/>
          <w:i w:val="0"/>
        </w:rPr>
        <w:t>Việc cung cấp thông báo phù hợp cho nhà đầu tư về những kênh cụ thể mà công ty sẽ sử dụng để phổ biến thông tin trọng yếu, chưa công khai là một giải pháp hợp lý và thiết thực. Người ta không kỳ vọng rằng bước này sẽ hạn chế các kênh giao tiếp mà công ty có thể sử dụng sau khi đã thông báo phù hợp, cũng như không hạn chế cơ hội để công ty và nhà đầu tư hưởng lợi từ đổi mới công nghệ và những thay đổi trong thực tiễn truyền thông. Hướng dẫn năm 2008 (2008 Guidance) khuyến khích các tổ chức phát hành cân nhắc việc đưa vào báo cáo định kỳ và thông cáo báo chí địa chỉ trang web của công ty cùng các công bố rằng công ty thường xuyên đăng thông tin quan trọng trên trang web đó. Tương tự, việc công bố trên trang web của công ty để xác định rõ những kênh truyền thông xã hội cụ thể mà công ty dự định sử dụng để phổ biến thông tin trọng yếu, chưa công khai sẽ cho nhà đầu tư và thị trường cơ hội thực hiện những bước cần thiết để có thể tiếp nhận các công bố quan trọng – ví dụ: đăng ký theo dõi, tham gia, đăng ký tài khoản, hoặc xem xét kênh cụ thể đó. Đây là một số, nhưng chắc chắn không phải tất cả, các phương pháp mà một công ty có thể sử dụng với gánh nặng tối thiểu, để cho phép các kênh truyền thông xã hội đang phát triển của công ty được dùng làm kênh phân phối được công nhận, tuân thủ Quy định FD (Regulation FD) và Hướng dẫn năm 2008.</w:t>
      </w:r>
    </w:p>
    <w:p>
      <w:pPr>
        <w:spacing w:after="80"/>
      </w:pPr>
      <w:r>
        <w:rPr>
          <w:b w:val="0"/>
          <w:i w:val="0"/>
        </w:rPr>
        <w:t>Mặc dù mỗi trường hợp phải được đánh giá dựa trên các tình tiết riêng của nó, việc công bố thông tin trọng yếu, chưa công khai trên trang truyền thông xã hội cá nhân của một cá nhân là cán bộ công ty, mà không có thông báo trước cho nhà đầu tư rằng trang đó có thể được sử dụng cho mục đích này, khó có thể đủ điều kiện là một phương pháp “được thiết kế hợp lý để cung cấp sự phân phối rộng rãi, không loại trừ, thông tin đến công chúng” theo nghĩa của Quy định FD. Điều này đúng ngay cả khi cá nhân đó có số lượng lớn người đăng ký, bạn bè, hoặc các liên hệ truyền thông xã hội khác, đến mức thông tin có khả năng tiếp cận được đối tượng rộng hơn theo thời gian. Các trang truyền thông xã hội cá nhân của những cá nhân làm việc cho một công ty đại chúng thông thường sẽ không được giả định là kênh mà công ty sẽ công bố thông tin doanh nghiệp trọng yếu. Nếu không có thông báo đầy đủ rằng một trang như vậy có thể được sử dụng cho mục đích này, nhà đầu tư sẽ không có cơ hội truy cập thông tin này hoặc, trong một số trường hợp, sẽ không biết về cơ hội đó, cùng lúc với các nhà đầu tư khác.</w:t>
      </w:r>
    </w:p>
    <w:p>
      <w:pPr>
        <w:spacing w:after="80"/>
      </w:pPr>
      <w:r>
        <w:rPr>
          <w:b/>
          <w:i w:val="0"/>
        </w:rPr>
        <w:t>V. Kết luận</w:t>
      </w:r>
    </w:p>
    <w:p>
      <w:pPr>
        <w:spacing w:after="80"/>
      </w:pPr>
      <w:r>
        <w:rPr>
          <w:b w:val="0"/>
          <w:i w:val="0"/>
        </w:rPr>
        <w:t>Đã có sự gia tăng nhanh chóng các kênh truyền thông xã hội dùng cho giao tiếp doanh nghiệp kể từ khi Ủy ban (Commission) ban hành Hướng dẫn năm 2008. Ngày càng nhiều công ty đại chúng sử dụng truyền thông xã hội để giao tiếp với cổ đông và công chúng đầu tư. Chúng tôi đánh giá cao giá trị và mức độ phổ biến của các kênh truyền thông xã hội trong giao tiếp thị trường đương đại, và Ủy ban ủng hộ các công ty đang tìm kiếm những cách thức mới để giao tiếp và tương tác với cổ đông và thị trường. Báo cáo này không nhằm mục đích cản trở giao tiếp doanh nghiệp thông qua các kênh truyền thông xã hội đang phát triển. Ngược lại, chúng tôi muốn nhắc nhở các tổ chức phát hành rằng việc công bố cho những người được liệt kê trong Quy định FD, ngay cả khi được thực hiện qua các kênh truyền thông xã hội đang phát triển, vẫn phải được phân tích để đảm bảo tuân thủ Quy định FD. Hơn nữa, chúng tôi nhấn mạnh rằng Hướng dẫn năm 2008 của Ủy ban, dù phần lớn tập trung vào việc sử dụng trang web, cũng áp dụng tương tự cho các kênh truyền thông xã hội hiện tại và đang phát triển dùng cho giao tiếp doanh nghiệp. Hướng dẫn năm 2008 giải thích rằng các tổ chức phát hành phải thực hiện các bước đủ để cảnh báo nhà đầu tư và thị trường về những kênh mà họ sẽ sử dụng để phổ biến thông tin trọng yếu, chưa công khai. Chúng tôi tin rằng việc tuân thủ hướng dẫn này sẽ giúp, với gánh nặng tối thiểu, đảm bảo tuân thủ Quy định FD và sự vận hành công bằng, hiệu quả của thị trường.</w:t>
      </w:r>
    </w:p>
    <w:p>
      <w:pPr>
        <w:pStyle w:val="Heading5"/>
      </w:pPr>
      <w:r>
        <w:rPr>
          <w:rFonts w:ascii="Calibri" w:hAnsi="Calibri"/>
          <w:b/>
          <w:i/>
          <w:sz w:val="22"/>
        </w:rPr>
        <w:t>Bình luận và Câu hỏi</w:t>
      </w:r>
    </w:p>
    <w:p>
      <w:pPr>
        <w:spacing w:after="80"/>
      </w:pPr>
      <w:r>
        <w:rPr>
          <w:b w:val="0"/>
          <w:i w:val="0"/>
        </w:rPr>
        <w:t xml:space="preserve">1. </w:t>
      </w:r>
      <w:r>
        <w:rPr>
          <w:b w:val="0"/>
          <w:i/>
        </w:rPr>
        <w:t>In re Netflix</w:t>
      </w:r>
      <w:r>
        <w:rPr>
          <w:b w:val="0"/>
          <w:i w:val="0"/>
        </w:rPr>
        <w:t xml:space="preserve"> là một Báo cáo được nộp theo Mục 21(a) của Đạo luật Giao dịch Chứng khoán (Exchange Act). 15 U.S.C. § 78u(a). Những loại báo cáo này hiếm khi được Ủy ban ban hành (từ năm 1996 đến năm 2014, Ủy ban đã ban hành 14 báo cáo loại này). Quy định này cho phép SEC “công bố thông tin” tiết lộ kết quả của bất kỳ cuộc điều tra nào. Các báo cáo này không phải là sự thừa nhận của các bên liên quan. Mục đích của những báo cáo này là gì? Bạn nghĩ tại sao một báo cáo lại được ban hành trong trường hợp này?</w:t>
      </w:r>
    </w:p>
    <w:p>
      <w:pPr>
        <w:spacing w:after="80"/>
      </w:pPr>
      <w:r>
        <w:rPr>
          <w:b w:val="0"/>
          <w:i w:val="0"/>
        </w:rPr>
        <w:t>2. Dựa trên trường hợp này, bạn sẽ đưa ra lời khuyên gì cho các công ty đang tìm cách hoàn thành nghĩa vụ của mình theo Quy định FD thông qua việc sử dụng truyền thông xã hội? Việc công bố liên quan diễn ra trên trang Facebook cá nhân của CEO thay vì trên một trang tương tự do Netflix vận hành có quan trọng đến mức nào trong trường hợp này?</w:t>
      </w:r>
    </w:p>
    <w:p>
      <w:pPr>
        <w:spacing w:after="80"/>
      </w:pPr>
      <w:r>
        <w:rPr>
          <w:b w:val="0"/>
          <w:i w:val="0"/>
        </w:rPr>
        <w:t>3. Netflix sau đó đã đăng trên trang web của công ty mình một chính sách công bố qua truyền thông xã hội. Chính sách này thông báo cho nhà đầu tư rằng công ty sử dụng “truyền thông xã hội để giao tiếp với người đăng ký và công chúng về công ty, dịch vụ của chúng tôi và các vấn đề khác, và rằng nhà đầu tư được khuyến khích . . . xem xét thông tin chúng tôi đăng trên các kênh truyền thông xã hội [được liệt kê] tại Hoa Kỳ . . . Các kênh được liệt kê bao gồm Facebook, Twitter, Trang YouTube Quan hệ Nhà đầu tư của Netflix, và trang Facebook của CEO.” Nếu chính sách này đã có hiệu lực từ trước, liệu SEC có ban hành Báo cáo theo Mục 21(a) trong trường hợp này không?</w:t>
      </w:r>
    </w:p>
    <w:p>
      <w:pPr>
        <w:spacing w:after="80"/>
      </w:pPr>
      <w:r>
        <w:rPr>
          <w:b w:val="0"/>
          <w:i w:val="0"/>
        </w:rPr>
        <w:t>4. Một số hạn chế khác có thể do truyền thông xã hội áp đặt là gì? Liệu phân tích có thay đổi tùy theo việc truyền thông xã hội áp dụng có liên quan đến công nghệ đẩy (push technology) hay không? Còn về giới hạn số ký tự trên Twitter thì sao? SEC đã chỉ ra trong các bối cảnh khác rằng khi việc công bố diễn ra trên một nền tảng “có những hạn chế về mặt công nghệ đối với số ký tự hoặc lượng văn bản,” tổ chức phát hành không phải đưa vào một số dòng chú thích bắt buộc nhất định mà có thể đưa vào một siêu liên kết (hyperlink) dẫn đến ngôn ngữ liên quan. Liệu thẩm quyền tương tự có sẵn đối với việc công bố theo Quy định FD hay không?</w:t>
      </w:r>
    </w:p>
    <w:p>
      <w:pPr>
        <w:spacing w:after="80"/>
      </w:pPr>
      <w:r>
        <w:rPr>
          <w:b w:val="0"/>
          <w:i w:val="0"/>
        </w:rPr>
        <w:t>5. SEC đã đưa ra quan điểm rằng việc phát sóng đồng thời một cuộc họp cổ đông hoặc hội nghị nhà phân tích có thể cấu thành việc công bố công khai theo Quy định FD miễn là nhà đầu tư được thông báo đầy đủ về hội nghị/cuộc gọi và phương thức truy cập nó. Như Ủy ban đã lưu ý:</w:t>
      </w:r>
    </w:p>
    <w:p>
      <w:pPr>
        <w:spacing w:after="80"/>
      </w:pPr>
      <w:r>
        <w:rPr>
          <w:b w:val="0"/>
          <w:i w:val="0"/>
        </w:rPr>
        <w:t>Đầu tiên, phát hành một thông cáo báo chí, được phân phối qua các kênh thông thường, chứa thông tin; Thứ hai, cung cấp thông báo đầy đủ, bằng thông cáo báo chí và/hoặc đăng trên trang web, về một cuộc gọi hội nghị đã được lên lịch để thảo luận về kết quả đã công bố, cho nhà đầu tư cả thời gian và ngày của cuộc gọi hội nghị, cùng hướng dẫn về cách truy cập cuộc gọi; và Thứ ba, tổ chức cuộc gọi hội nghị theo cách mở, cho phép nhà đầu tư lắng nghe qua phương tiện điện thoại hoặc qua phát trực tuyến (webcasting) trên Internet.</w:t>
      </w:r>
    </w:p>
    <w:p>
      <w:pPr>
        <w:spacing w:after="80"/>
      </w:pPr>
      <w:r>
        <w:rPr>
          <w:b w:val="0"/>
          <w:i w:val="0"/>
        </w:rPr>
        <w:t>Exchange Act Release No. 43154 (Aug. 21, 2000). Tuy nhiên, lưu ý rằng cách tiếp cận này thực tế không yêu cầu bất kỳ ai phải tham dự cuộc gọi hội nghị. Nói cách khác, công ty có thể thực hiện công bố chọn lọc miễn là có cơ hội để người khác tham gia. Bạn nghĩ gì về điều này? Có nên có thêm các yêu cầu như nghĩa vụ của công ty phải đăng bản phát sóng lên Internet trong một khoảng thời gian xác định nào đó không?</w:t>
      </w:r>
    </w:p>
    <w:p>
      <w:pPr>
        <w:spacing w:after="80"/>
      </w:pPr>
      <w:r>
        <w:rPr>
          <w:b w:val="0"/>
          <w:i w:val="0"/>
        </w:rPr>
        <w:t>1 . [4] Loại chính sách quản trị này đôi khi được gọi là chính sách “kiểu Pfizer” (Pfizer-style) (vì Pfizer, Inc. là đơn vị tiên phong sử dụng nó) hoặc chính sách “đa số cộng thêm” (plurality plus). Xem City of Westland Police &amp; Fire Retirement Sys. v. Axcelis Tech., Inc., 2009 Del. Ch. LEXIS 173, 2009 WL 3086537, at *2 n.11 (Del. Ch. Sep. 28, 2009). Chính sách “đa số cộng thêm” của Axcelis được thông qua bằng nghị quyết của Hội đồng quản trị, khác với việc được thông qua như một điều lệ (by-law) hoặc như một phần của giấy chứng nhận thành lập (certificate of incorporation).</w:t>
      </w:r>
    </w:p>
    <w:p>
      <w:pPr>
        <w:spacing w:after="80"/>
      </w:pPr>
      <w:r>
        <w:rPr>
          <w:b w:val="0"/>
          <w:i w:val="0"/>
        </w:rPr>
        <w:t>1 . Chỉ dẫn 2 quy định rằng công ty phải hoặc đăng Điều lệ (Charter) trên trang web của mình hoặc đưa một bản sao vào phần phụ lục của bản tuyên bố ủy quyền/thông tin (proxy/information statement) ít nhất một lần mỗi ba năm.</w:t>
      </w:r>
    </w:p>
    <w:p>
      <w:pPr>
        <w:spacing w:after="80"/>
      </w:pPr>
      <w:r>
        <w:rPr>
          <w:b w:val="0"/>
          <w:i w:val="0"/>
        </w:rPr>
        <w:t>2 . Bản quyền © 2007 Catholic University Law Review. Được tái bản với sự cho phép.</w:t>
      </w:r>
    </w:p>
    <w:p>
      <w:pPr>
        <w:spacing w:after="80"/>
      </w:pPr>
      <w:r>
        <w:rPr>
          <w:b w:val="0"/>
          <w:i w:val="0"/>
        </w:rPr>
        <w:t>3 . Bản quyền © 2007 Wake Forest Law Review. Được tái bản với sự cho phép.</w:t>
      </w:r>
    </w:p>
    <w:p>
      <w:pPr>
        <w:pStyle w:val="Heading1"/>
      </w:pPr>
      <w:r>
        <w:rPr>
          <w:rFonts w:ascii="Calibri" w:hAnsi="Calibri"/>
          <w:b/>
          <w:i w:val="0"/>
          <w:sz w:val="40"/>
        </w:rPr>
        <w:t>Chương 10</w:t>
      </w:r>
    </w:p>
    <w:p>
      <w:pPr>
        <w:pStyle w:val="Heading1"/>
      </w:pPr>
      <w:r>
        <w:rPr>
          <w:rFonts w:ascii="Calibri" w:hAnsi="Calibri"/>
          <w:b/>
          <w:i w:val="0"/>
          <w:sz w:val="40"/>
        </w:rPr>
        <w:t>Kiện tụng phái sinh của cổ đông</w:t>
      </w:r>
    </w:p>
    <w:p>
      <w:pPr>
        <w:spacing w:after="80"/>
      </w:pPr>
      <w:r>
        <w:rPr>
          <w:b w:val="0"/>
          <w:i w:val="0"/>
        </w:rPr>
        <w:t>Cổ đông có thể làm gì nếu họ tin rằng các giám đốc hoặc viên chức của công ty đã có hành vi sai trái, trốn tránh trách nhiệm, hoặc gây tổn hại cho công ty theo cách khác? Câu trả lời thông thường là cổ đông có thể bán cổ phần của mình (“Bước đi phố Wall”), bỏ phiếu để thay thế giám đốc, hoặc kiện những người được ủy thác của công ty có trách nhiệm để buộc họ thực thi nghĩa vụ của mình. Tuy nhiên, chúng ta đã thấy rằng, nếu không có bằng chứng về gian lận hoặc giao dịch tự lợi, tòa án hiếm khi xác định những người được ủy thác của công ty phải chịu trách nhiệm về việc vi phạm nghĩa vụ pháp lý của họ. Luật của Delaware, nơi hầu hết các công ty đại chúng lớn đều đăng ký thành lập, mang lại sự bảo vệ pháp lý rộng rãi cho các giám đốc miễn là họ hành động thiện chí và theo cách mà họ tin là vì lợi ích tốt nhất của công ty. Tuy nhiên, đôi khi cổ đông cố gắng khắc phục những hành vi sai trái bị cáo buộc thông qua kiện tụng. Ví dụ, vào năm 2002 và 2003, cổ đông của hàng chục công ty đại chúng đã đệ đơn kiện sau khi những tiết lộ về gian lận tài chính nghiêm trọng cũng phơi bày những thất bại nghiêm trọng của hệ thống quản trị công ty. Ngoài việc kiện đòi bồi thường thiệt hại, các nhà đầu tư nguyên đơn cũng có thể yêu cầu biện pháp khẩn cấp, cải cách cơ cấu hoặc thông lệ quản trị của công ty, và thanh toán phí và chi phí luật sư của họ.</w:t>
      </w:r>
    </w:p>
    <w:p>
      <w:pPr>
        <w:spacing w:after="80"/>
      </w:pPr>
      <w:r>
        <w:rPr>
          <w:b w:val="0"/>
          <w:i w:val="0"/>
        </w:rPr>
        <w:t>Trong khi việc một người được ủy thác của công ty sao nhãng nghĩa vụ của mình thường làm phát sinh một hoặc nhiều nguyên nhân khởi kiện thuộc về công ty chứ không phải cổ đông của nó, luật công ty (ban đầu được phát triển bởi các tòa án thực thi quyền công bằng của họ) cho phép một hoặc nhiều cổ đông của công ty duy trì một vụ kiện phái sinh để thực thi các khiếu nại của công ty. Cổ đông có tư cách khởi kiện thay mặt cho công ty “vì lợi ích của công lý” — nghĩa là, để buộc giám đốc và viên chức chịu trách nhiệm về việc vi phạm nghĩa vụ pháp lý của họ đối với công ty. Tuy nhiên, các nhà lập pháp và tòa án đã áp đặt những hạn chế nghiêm ngặt đối với kiện tụng phái sinh của cổ đông. Tại sao? Một mối lo ngại là cổ đông sẽ đưa ra khiếu nại chống lại giám đốc và viên chức về những tổn thất do các lực lượng thị trường hoặc các yếu tố bên ngoài khác. Ngoài ra, theo những người chỉ trích các vụ kiện của cổ đông, luật sư của nguyên đơn sẽ theo đuổi những khiếu nại không có căn cứ để đạt được các thỏa thuận dàn xếp có lợi cho luật sư nhưng không có lợi cho công ty hoặc cổ đông. Bởi vì các công ty thường chọn tránh tham gia vào kiện tụng kéo dài, tốn kém bằng cách đề nghị dàn xếp các khiếu nại, ngay cả những khiếu nại yếu, các giám đốc và viên chức công ty có thể trở thành mục tiêu của các vụ kiện tống tiền.</w:t>
      </w:r>
    </w:p>
    <w:p>
      <w:pPr>
        <w:spacing w:after="80"/>
      </w:pPr>
      <w:r>
        <w:rPr>
          <w:b w:val="0"/>
          <w:i w:val="0"/>
        </w:rPr>
        <w:t xml:space="preserve">Tuy nhiên, mức độ phơi nhiễm thực tế của giám đốc đối với trách nhiệm pháp lý từ những khiếu nại như vậy là khá hạn chế. Quy tắc phán đoán kinh doanh bảo vệ giám đốc khỏi nhiều khiếu nại về vi phạm nghĩa vụ ủy thác. Hơn nữa, như đã thảo luận trong Chương 4, các công ty thường có thể hạn chế trách nhiệm tài chính của giám đốc một cách tiềm năng bằng cách đưa các điều khoản miễn trừ vào điều lệ thành lập của họ. Nhớ lại rằng Delaware đã thêm Mục 102(b)(7) vào Luật Công ty Đại cương để đáp lại phán quyết </w:t>
      </w:r>
      <w:r>
        <w:rPr>
          <w:b w:val="0"/>
          <w:i/>
        </w:rPr>
        <w:t>Smith v. Van Gorkom</w:t>
      </w:r>
      <w:r>
        <w:rPr>
          <w:b w:val="0"/>
          <w:i w:val="0"/>
        </w:rPr>
        <w:t>. Về thực chất, Mục 102(b)(7) cho phép một công ty hạn chế hoặc thậm chí loại bỏ trách nhiệm cá nhân của giám đốc đối với nhiều vi phạm nghĩa vụ ủy thác, và nó hoạt động như một trong những hạn chế quan trọng nhất đối với các khoản thu hồi được tạo ra bởi kiện tụng cổ đông. Tất nhiên, Mục 102(b)(7) cấm các công ty loại bỏ trách nhiệm của giám đốc đối với vi phạm nghĩa vụ trung thành, hoặc đối với các hành vi hoặc thiếu sót có tính thiếu thiện chí, cố ý, hoặc vi phạm pháp luật một cách có chủ đích. Các điều khoản miễn trừ cũng không thể hạn chế trách nhiệm đối với các phân phối công ty không hợp pháp hoặc đối với bất kỳ giao dịch nào mà giám đốc thu được lợi ích cá nhân không chính đáng.</w:t>
      </w:r>
    </w:p>
    <w:p>
      <w:pPr>
        <w:spacing w:after="80"/>
      </w:pPr>
      <w:r>
        <w:rPr>
          <w:b w:val="0"/>
          <w:i w:val="0"/>
        </w:rPr>
        <w:t>Các tòa án Delaware tiếp tục thiết lập các đường nét chính xác của Mục 102(b)(7). Năm 2009, Tòa án Tối cao Delaware đã phán quyết rằng các viên chức của các công ty Delaware có cùng nghĩa vụ ủy thác như giám đốc, nhưng tòa án nhấn mạnh rằng cả Mục 102(b)(7) lẫn bất kỳ luật Delaware nào khác đều không cho phép hạn chế tiềm năng trách nhiệm cá nhân của viên chức. Thật vậy, các tòa án Delaware vẫn chưa giải quyết những câu hỏi quan trọng liên quan đến mức độ mà pháp luật có thể khiến các giám đốc điều hành không phải giám đốc phải chịu trách nhiệm ủy thác lớn hơn. Các vụ án gần đây nhấn mạnh tầm quan trọng của việc lập luận về hành vi không được miễn trừ; cụ thể là, các khiếu nại về nghĩa vụ trung thành sẽ chống lại các động thái quyết định không thể tránh khỏi của bị đơn. Giả sử các công ty đã sử dụng Mục 102(b)(7) để loại bỏ trách nhiệm của giám đốc ở mức độ đầy đủ nhất, các khiếu nại của cổ đông để thực thi nghĩa vụ ủy thác phải cáo buộc rằng hành vi của bị đơn thuộc một trong các ngoại lệ của Mục 102(b)(7). Mặc dù tòa án thường bác bỏ các khiếu nại về nghĩa vụ cẩn trọng, nguyên đơn có thể được phép tiếp tục nếu họ bằng cách nào đó có thể mô tả hành vi sai trái của bị đơn là không trung thành.</w:t>
      </w:r>
    </w:p>
    <w:p>
      <w:pPr>
        <w:pStyle w:val="Heading2"/>
      </w:pPr>
      <w:r>
        <w:rPr>
          <w:rFonts w:ascii="Calibri" w:hAnsi="Calibri"/>
          <w:b/>
          <w:i w:val="0"/>
          <w:sz w:val="32"/>
        </w:rPr>
        <w:t>I. Xem xét sơ bộ—Khiếu nại trực tiếp hay phái sinh</w:t>
      </w:r>
    </w:p>
    <w:p>
      <w:pPr>
        <w:spacing w:after="80"/>
      </w:pPr>
      <w:r>
        <w:rPr>
          <w:b w:val="0"/>
          <w:i w:val="0"/>
        </w:rPr>
        <w:t>Khi nhận được đơn kiện do cổ đông của một công ty đệ trình chống lại giám đốc và viên chức của nó, tòa án trước tiên phải xác định liệu vụ kiện đó có tính chất trực tiếp hay phái sinh. Một vụ kiện trực tiếp cáo buộc rằng một viên chức hoặc giám đốc đã vi phạm nghĩa vụ cụ thể đối với cổ đông. Trong một vụ kiện trực tiếp, cổ đông kiện để thực thi nghĩa vụ đó hoặc khắc phục tổn thất của chính mình. Ngược lại, một vụ kiện phái sinh cáo buộc rằng các viên chức và giám đốc bị đơn đã vi phạm nghĩa vụ đối với công ty. Cổ đông nguyên đơn kiện để thực thi các quyền của công ty, một cách phái sinh.</w:t>
      </w:r>
    </w:p>
    <w:p>
      <w:pPr>
        <w:spacing w:after="80"/>
      </w:pPr>
      <w:r>
        <w:rPr>
          <w:b w:val="0"/>
          <w:i w:val="0"/>
        </w:rPr>
        <w:t>Sự phân biệt cơ bản này có những hàm ý quan trọng. Mặc dù sau này chúng ta xem xét các yêu cầu thủ tục đối với các vụ kiện phái sinh một cách sâu hơn, điều quan trọng cần lưu ý ở đây là những yêu cầu đó áp đặt những trở ngại đáng kể cho các vụ kiện được phân loại là phái sinh. Nếu một vụ kiện phái sinh vượt qua được những rào cản này và tạo ra một số khoản thu hồi, khoản thu hồi đó là vì lợi ích của công ty, chỉ được chia sẻ một cách gián tiếp với cổ đông của công ty. Ngược lại, khoản thu hồi trong một vụ kiện trực tiếp thuộc về lợi ích của các cổ đông theo đuổi vụ kiện. Và trong khi một vụ kiện phái sinh ngăn cản hành động tiếp theo đối với cùng một vi phạm nghĩa vụ, một vụ kiện trực tiếp không có hiệu ứng như vậy, ngoại trừ trong phạm vi vụ kiện trực tiếp được đưa ra như một vụ kiện tập thể thay mặt cho nguyên đơn được nêu tên và các cổ đông khác có hoàn cảnh tương tự.</w:t>
      </w:r>
    </w:p>
    <w:p>
      <w:pPr>
        <w:spacing w:after="80"/>
      </w:pPr>
      <w:r>
        <w:rPr>
          <w:b w:val="0"/>
          <w:i w:val="0"/>
        </w:rPr>
        <w:t>Theo truyền thống, các tòa án phân biệt hai loại hành động bằng một cuộc điều tra về “tổn thất đặc biệt”. Nếu cổ đông nguyên đơn phải chịu một tổn thất đặc biệt, thì hành động được coi là trực tiếp. Nếu mọi cổ đông đều phải chịu cùng một tổn thất như nhau, thì hành động được coi là phái sinh. Các phán quyết gần đây hơn tập trung vào việc liệu cổ đông có thể thắng kiện mà không chứng minh được tổn thất hoặc vi phạm nghĩa vụ đối với công ty hay không. Nếu có thể, thì hành động là trực tiếp; nếu không, thì là phái sinh. Tòa án Tối cao Delaware cuối cùng đã làm rõ tiêu chí liên quan theo luật Delaware trong vụ án sau đây.</w:t>
      </w:r>
    </w:p>
    <w:p>
      <w:pPr>
        <w:pStyle w:val="Heading4"/>
      </w:pPr>
      <w:r>
        <w:rPr>
          <w:rFonts w:ascii="Calibri" w:hAnsi="Calibri"/>
          <w:b/>
          <w:i w:val="0"/>
          <w:sz w:val="23"/>
        </w:rPr>
        <w:t>Tooley v. Donaldson, Lufkin &amp; Jenrette, Inc.</w:t>
      </w:r>
    </w:p>
    <w:p>
      <w:pPr>
        <w:spacing w:after="80"/>
      </w:pPr>
      <w:r>
        <w:rPr>
          <w:b w:val="0"/>
          <w:i w:val="0"/>
        </w:rPr>
        <w:t>Tòa án Tối cao Delaware</w:t>
      </w:r>
      <w:r>
        <w:br/>
      </w:r>
      <w:r>
        <w:rPr>
          <w:b w:val="0"/>
          <w:i w:val="0"/>
        </w:rPr>
        <w:t xml:space="preserve"> 845 A.2d 1031 (2004)</w:t>
      </w:r>
    </w:p>
    <w:p>
      <w:pPr>
        <w:spacing w:after="80"/>
      </w:pPr>
      <w:r>
        <w:rPr>
          <w:b w:val="0"/>
          <w:i w:val="0"/>
        </w:rPr>
        <w:t>VEASEY, CHÁNH ÁN:</w:t>
      </w:r>
    </w:p>
    <w:p>
      <w:pPr>
        <w:spacing w:after="80"/>
      </w:pPr>
      <w:r>
        <w:rPr>
          <w:b w:val="0"/>
          <w:i w:val="0"/>
        </w:rPr>
        <w:t>Các cổ đông nguyên đơn đã đưa ra một vụ kiện tập thể được cho là như vậy tại Tòa án Chancery, cáo buộc rằng các thành viên hội đồng quản trị của công ty họ đã vi phạm nghĩa vụ ủy thác của họ bằng cách đồng ý với sự chậm trễ 22 ngày trong việc hoàn tất một vụ sáp nhập được đề xuất. Nguyên đơn cho rằng sự chậm trễ đã gây tổn hại cho họ do mất giá trị thời gian của số tiền mặt được trả cho cổ phần của họ. Tòa án Chancery đã chấp thuận động thái của bị đơn để bác bỏ đơn kiện với lý do duy nhất rằng các khiếu nại, “nhiều nhất”, là các khiếu nại của công ty được đưa ra một cách phái sinh. Do đó, chúng được coi là không phải là các khiếu nại trực tiếp của cổ đông, với tư cách cá nhân. Sau đó, Tòa án phán quyết rằng các nguyên đơn đã mất tư cách khởi kiện vụ án này khi họ chuyển nhượng cổ phần của mình liên quan đến vụ sáp nhập.</w:t>
      </w:r>
    </w:p>
    <w:p>
      <w:pPr>
        <w:spacing w:after="80"/>
      </w:pPr>
      <w:r>
        <w:rPr>
          <w:b w:val="0"/>
          <w:i w:val="0"/>
        </w:rPr>
        <w:t xml:space="preserve">Chúng tôi trình bày trong Phán quyết này luật sẽ được áp dụng từ nay để xác định liệu khiếu nại của cổ đông là phái sinh hay trực tiếp. Vấn đề đó phải xoay quanh </w:t>
      </w:r>
      <w:r>
        <w:rPr>
          <w:b w:val="0"/>
          <w:i/>
        </w:rPr>
        <w:t>duy nhất</w:t>
      </w:r>
      <w:r>
        <w:rPr>
          <w:b w:val="0"/>
          <w:i w:val="0"/>
        </w:rPr>
        <w:t xml:space="preserve"> các câu hỏi sau: (1) ai đã phải chịu tổn thất bị cáo buộc (công ty hay các cổ đông khởi kiện, với tư cách cá nhân); và (2) ai sẽ nhận được lợi ích từ bất kỳ khoản thu hồi hoặc biện pháp khắc phục nào khác (công ty hay các cổ đông, với tư cách cá nhân)?</w:t>
      </w:r>
    </w:p>
    <w:p>
      <w:pPr>
        <w:spacing w:after="80"/>
      </w:pPr>
      <w:r>
        <w:rPr>
          <w:b w:val="0"/>
          <w:i w:val="0"/>
        </w:rPr>
        <w:t>Patrick Tooley và Kevin Lewis là những cổ đông thiểu số trước đây của Donaldson, Lufkin &amp; Jenrette, Inc. (DLJ), một công ty Delaware hoạt động trong lĩnh vực ngân hàng đầu tư. DLJ đã được Credit Suisse Group (Credit Suisse) mua lại vào mùa Thu năm 2000. Trước thương vụ mua lại đó, AXA Financial, Inc. (AXA), đơn vị sở hữu 71% cổ phần DLJ, đã kiểm soát DLJ. Theo một thỏa thuận cổ đông giữa AXA và Credit Suisse, AXA đồng ý trao đổi phần cổ phần DLJ của mình với Credit Suisse để lấy một hỗn hợp cổ phiếu và tiền mặt. Khoản đền bù mà AXA nhận được chủ yếu là cổ phiếu. Tiền mặt chiếm một phần ba giá mua. Credit Suisse dự định mua lại phần lợi ích thiểu số còn lại của cổ phiếu DLJ đang được giao dịch công khai thông qua một đề nghị chào mua bằng tiền mặt, sau đó là việc sáp nhập DLJ vào một công ty con của Credit Suisse.</w:t>
      </w:r>
    </w:p>
    <w:p>
      <w:pPr>
        <w:spacing w:after="80"/>
      </w:pPr>
      <w:r>
        <w:rPr>
          <w:b w:val="0"/>
          <w:i w:val="0"/>
        </w:rPr>
        <w:t>Giá chào mua được ấn định ở mức 90 đô la mỗi cổ phần bằng tiền mặt. Đề nghị chào mua sẽ hết hạn 20 ngày sau khi bắt đầu. Tuy nhiên, thỏa thuận sáp nhập cho phép hai loại gia hạn. Thứ nhất, Credit Suisse có thể đơn phương gia hạn đề nghị chào mua nếu một số điều kiện nhất định không được đáp ứng, chẳng hạn như các phê duyệt quy định của SEC hoặc một số nghĩa vụ thanh toán nhất định. Hoặc, DLJ và Credit Suisse có thể đồng ý hoãn việc Credit Suisse chấp nhận cổ phiếu DLJ do các cổ đông thiểu số chào bán.</w:t>
      </w:r>
    </w:p>
    <w:p>
      <w:pPr>
        <w:spacing w:after="80"/>
      </w:pPr>
      <w:r>
        <w:rPr>
          <w:b w:val="0"/>
          <w:i w:val="0"/>
        </w:rPr>
        <w:t>Credit Suisse đã tận dụng cả hai loại gia hạn để trì hoãn việc chốt đề nghị chào mua. Đề nghị chào mua ban đầu được ấn định hết hạn vào ngày 5 tháng 10 năm 2000, nhưng Credit Suisse đã viện dẫn việc gia hạn đơn phương năm ngày được quy định trong thỏa thuận. Sau đó, theo thỏa thuận giữa DLJ và Credit Suisse, họ đã hoãn việc sáp nhập lần thứ hai để nó được ấn định chốt vào ngày 2 tháng 11 năm 2000.</w:t>
      </w:r>
    </w:p>
    <w:p>
      <w:pPr>
        <w:spacing w:after="80"/>
      </w:pPr>
      <w:r>
        <w:rPr>
          <w:b w:val="0"/>
          <w:i w:val="0"/>
        </w:rPr>
        <w:t>Các nguyên đơn phản đối việc gia hạn lần thứ hai dẫn đến sự chậm trễ 22 ngày. Họ cho rằng sự chậm trễ này không được ủy quyền hợp lệ và gây tổn hại cho các cổ đông thiểu số trong khi mang lại lợi ích không chính đáng cho AXA. Họ yêu cầu bồi thường thiệt hại đại diện cho giá trị thời gian của số tiền bị mất do sự chậm trễ.</w:t>
      </w:r>
    </w:p>
    <w:p>
      <w:pPr>
        <w:spacing w:after="80"/>
      </w:pPr>
      <w:r>
        <w:rPr>
          <w:b w:val="0"/>
          <w:i/>
        </w:rPr>
        <w:t>Phán quyết của Tòa án Chancery</w:t>
      </w:r>
    </w:p>
    <w:p>
      <w:pPr>
        <w:spacing w:after="80"/>
      </w:pPr>
      <w:r>
        <w:rPr>
          <w:b w:val="0"/>
          <w:i w:val="0"/>
        </w:rPr>
        <w:t>Các nguyên đơn lập luận rằng họ đã phải chịu một “tổn thất đặc biệt” vì họ được cho là có quyền theo hợp đồng để nhận khoản đền bù sáp nhập 90 đô la mỗi cổ phần mà không phải chịu sự chậm trễ 22 ngày phát sinh từ các gia hạn theo thỏa thuận sáp nhập. Nhưng ý kiến của tòa án sơ thẩm đã chứng minh một cách thuyết phục rằng các nguyên đơn không có quyền theo hợp đồng như vậy đã chín muồi vào thời điểm các gia hạn được thực hiện:</w:t>
      </w:r>
    </w:p>
    <w:p>
      <w:pPr>
        <w:spacing w:after="80"/>
      </w:pPr>
      <w:r>
        <w:rPr>
          <w:b w:val="0"/>
          <w:i w:val="0"/>
        </w:rPr>
        <w:t>Bởi vì Credit Suisse Group và DLJ thực tế đã đồng ý gia hạn thời gian chào mua, bất kỳ quyền được thanh toán nào mà các nguyên đơn có thể có đã không chín muồi cho đến khi thời gian mới được đàm phán này kết thúc. Thỏa thuận sáp nhập chỉ trở nên ràng buộc và có thể thực thi lẫn nhau vào thời điểm các cổ phần được chào bán cuối cùng được Credit Suisse Group chấp nhận để thanh toán.</w:t>
      </w:r>
    </w:p>
    <w:p>
      <w:pPr>
        <w:spacing w:after="80"/>
      </w:pPr>
      <w:r>
        <w:rPr>
          <w:b w:val="0"/>
          <w:i w:val="0"/>
        </w:rPr>
        <w:t>Chính tại thời điểm đó, ngày 3 tháng 11 năm 2000, công ty trở nên bị ràng buộc phải mua các cổ phần được chào bán, khiến hợp đồng có thể thực thi lẫn nhau. Các cổ đông DLJ không có quyền theo hợp đồng cá nhân nào để được thanh toán cho đến ngày 3 tháng 11 năm 2000, khi các cổ phần được chào bán của họ được chấp nhận để thanh toán.</w:t>
      </w:r>
    </w:p>
    <w:p>
      <w:pPr>
        <w:spacing w:after="80"/>
      </w:pPr>
      <w:r>
        <w:rPr>
          <w:b w:val="0"/>
          <w:i w:val="0"/>
        </w:rPr>
        <w:t>Tòa án Chancery đã lưu ý một cách chính xác rằng “[t]òa án sẽ độc lập xem xét bản chất của hành vi sai trái bị cáo buộc và bất kỳ biện pháp khắc phục tiềm năng nào để tự đưa ra quyết định về việc phân loại vụ kiện. . . . Việc phân loại vụ kiện của các nguyên đơn không có tính ràng buộc.” Tuy nhiên, phân tích của tòa án sơ thẩm đã bị cản trở vì nó tập trung vào khái niệm gây nhầm lẫn về “tổn thất đặc biệt” như là phép thử để xác định liệu một yêu cầu là phái sinh hay trực tiếp. Tiền đề của tòa án sơ thẩm như sau:</w:t>
      </w:r>
    </w:p>
    <w:p>
      <w:pPr>
        <w:spacing w:after="80"/>
      </w:pPr>
      <w:r>
        <w:rPr>
          <w:b w:val="0"/>
          <w:i w:val="0"/>
        </w:rPr>
        <w:t xml:space="preserve">Để đưa ra một yêu cầu </w:t>
      </w:r>
      <w:r>
        <w:rPr>
          <w:b w:val="0"/>
          <w:i/>
        </w:rPr>
        <w:t>trực tiếp</w:t>
      </w:r>
      <w:r>
        <w:rPr>
          <w:b w:val="0"/>
          <w:i w:val="0"/>
        </w:rPr>
        <w:t>, nguyên đơn phải đã trải qua một ‘tổn thất đặc biệt’ nào đó. Tổn thất đặc biệt là một hành vi sai trái ‘tách biệt và khác biệt với hành vi mà các cổ đông khác phải chịu, . . . hoặc một hành vi sai trái liên quan đến quyền theo hợp đồng của một cổ đông, chẳng hạn như quyền biểu quyết, hoặc quyền khẳng định quyền kiểm soát đa số, tồn tại độc lập với bất kỳ quyền nào của công ty.’ [các trích dẫn được lược bỏ].</w:t>
      </w:r>
    </w:p>
    <w:p>
      <w:pPr>
        <w:spacing w:after="80"/>
      </w:pPr>
      <w:r>
        <w:rPr>
          <w:b w:val="0"/>
          <w:i w:val="0"/>
        </w:rPr>
        <w:t>Theo quan điểm của chúng tôi, khái niệm “tổn thất đặc biệt” xuất hiện trong một số án lệ của Tòa án Tối cao và Tòa án Chancery không hữu ích cho việc phân biệt phân tích đúng đắn giữa các vụ kiện trực tiếp và phái sinh. Nay chúng tôi không chấp nhận việc sử dụng khái niệm “tổn thất đặc biệt” như một công cụ trong phân tích đó.</w:t>
      </w:r>
    </w:p>
    <w:p>
      <w:pPr>
        <w:spacing w:after="80"/>
      </w:pPr>
      <w:r>
        <w:rPr>
          <w:b w:val="0"/>
          <w:i/>
        </w:rPr>
        <w:t>Phân tích đúng đắn để phân biệt giữa các vụ kiện trực tiếp và phái sinh</w:t>
      </w:r>
    </w:p>
    <w:p>
      <w:pPr>
        <w:spacing w:after="80"/>
      </w:pPr>
      <w:r>
        <w:rPr>
          <w:b w:val="0"/>
          <w:i w:val="0"/>
        </w:rPr>
        <w:t>Phân tích phải chỉ dựa trên các câu hỏi sau: Ai đã phải chịu tổn thất bị cáo buộc—công ty hay cổ đông khởi kiện với tư cách cá nhân—và ai sẽ nhận được lợi ích từ việc thu hồi hoặc biện pháp khắc phục khác?</w:t>
      </w:r>
    </w:p>
    <w:p>
      <w:pPr>
        <w:spacing w:after="80"/>
      </w:pPr>
      <w:r>
        <w:rPr>
          <w:b w:val="0"/>
          <w:i w:val="0"/>
        </w:rPr>
        <w:t>Trong bối cảnh một yêu cầu về vi phạm nghĩa vụ ủy thác, Thẩm phán đã trình bày việc điều tra như sau: “Nhìn vào toàn bộ đơn kiện và xem xét bản chất của hành vi sai trái bị cáo buộc cùng biện pháp khắc phục được yêu cầu, liệu nguyên đơn có chứng minh được rằng họ có thể thắng kiện mà không cần chứng minh có tổn thất cho công ty hay không?” Chúng tôi tin rằng cách tiếp cận này hữu ích trong việc phân tích nhánh đầu tiên của phân tích: cá nhân hay thực thể nào đã phải chịu tổn thất bị cáo buộc? Nhánh thứ hai của phân tích sẽ theo sau một cách logic.</w:t>
      </w:r>
    </w:p>
    <w:p>
      <w:pPr>
        <w:spacing w:after="80"/>
      </w:pPr>
      <w:r>
        <w:rPr>
          <w:b w:val="0"/>
          <w:i/>
        </w:rPr>
        <w:t>Sơ lược lịch sử án lệ của chúng ta</w:t>
      </w:r>
    </w:p>
    <w:p>
      <w:pPr>
        <w:spacing w:after="80"/>
      </w:pPr>
      <w:r>
        <w:rPr>
          <w:b w:val="0"/>
          <w:i w:val="0"/>
        </w:rPr>
        <w:t>Bởi vì một vụ kiện phái sinh được đưa ra thay mặt cho công ty, khoản thu hồi, nếu có, phải thuộc về công ty. Tuy nhiên, một cổ đông bị tổn thất trực tiếp vẫn giữ quyền đưa ra một vụ kiện cá nhân cho những tổn thất ảnh hưởng đến các quyền hợp pháp của họ với tư cách là cổ đông. Yêu cầu như vậy khác biệt với tổn thất chỉ gây ra cho công ty. Trong các vụ kiện cá nhân như vậy, khoản thu hồi hoặc biện pháp khắc phục khác chảy trực tiếp đến các cổ đông, chứ không phải đến công ty.</w:t>
      </w:r>
    </w:p>
    <w:p>
      <w:pPr>
        <w:spacing w:after="80"/>
      </w:pPr>
      <w:r>
        <w:rPr>
          <w:b w:val="0"/>
          <w:i w:val="0"/>
        </w:rPr>
        <w:t>Việc xác định một hành động là phái sinh hay trực tiếp đôi khi rất khó khăn và kéo theo nhiều hệ quả pháp lý, một số có thể gây ảnh hưởng tốn kém cho các bên tham gia vụ kiện. Ví dụ, nếu một hành động là phái sinh, nguyên đơn sẽ phải tuân thủ các yêu cầu của Quy tắc 23.1 của Tòa án Chancery, rằng cổ đông: (a) giữ quyền sở hữu cổ phần trong suốt quá trình tố tụng; (b) đưa ra yêu cầu trước khi khởi kiện đối với hội đồng quản trị; và (c) nhận được sự chấp thuận của tòa án đối với bất kỳ thỏa thuận dàn xếp nào. Hơn nữa, khoản bồi thường, nếu có, chỉ chảy về công ty. Quyết định liệu một vụ kiện là trực tiếp hay phái sinh có thể mang tính quyết định kết quả. Do đó, cần thiết phải có một tiêu chuẩn để phân biệt các hành động như vậy phải rõ ràng, đơn giản và được các tòa án của chúng ta diễn đạt và áp dụng một cách nhất quán.</w:t>
      </w:r>
    </w:p>
    <w:p>
      <w:pPr>
        <w:spacing w:after="80"/>
      </w:pPr>
      <w:r>
        <w:rPr>
          <w:b w:val="0"/>
          <w:i w:val="0"/>
        </w:rPr>
        <w:t>Hai quan điểm gây nhầm lẫn đã cản trở án lệ của chúng ta điều chỉnh sự phân biệt trực tiếp/phái sinh. Khái niệm "tổn hại đặc biệt" có thể gây nhầm lẫn trong việc xác định bản chất của hành động. Điều này cũng đúng với quan điểm rằng một hành động không thể là trực tiếp nếu tất cả cổ đông đều bị ảnh hưởng như nhau hoặc trừ khi tổn hại của cổ đông tách biệt và khác biệt với tổn hại mà các cổ đông khác phải chịu.</w:t>
      </w:r>
    </w:p>
    <w:p>
      <w:pPr>
        <w:spacing w:after="80"/>
      </w:pPr>
      <w:r>
        <w:rPr>
          <w:b w:val="0"/>
          <w:i w:val="0"/>
        </w:rPr>
        <w:t>Tòa án nên xem xét bản chất của sai trái và ai là người nên nhận được sự khắc phục. Tổn hại trực tiếp mà cổ đông tuyên bố phải độc lập với bất kỳ tổn hại nào được cho là gây ra cho công ty. Cổ đông phải chứng minh rằng nghĩa vụ bị vi phạm là nghĩa vụ mà công ty nợ cổ đông và rằng họ có thể thắng kiện mà không cần chứng minh có tổn hại cho công ty.</w:t>
      </w:r>
    </w:p>
    <w:p>
      <w:pPr>
        <w:spacing w:after="80"/>
      </w:pPr>
      <w:r>
        <w:rPr>
          <w:b w:val="0"/>
          <w:i/>
        </w:rPr>
        <w:t>Tiêu chuẩn được áp dụng trong trường hợp này</w:t>
      </w:r>
    </w:p>
    <w:p>
      <w:pPr>
        <w:spacing w:after="80"/>
      </w:pPr>
      <w:r>
        <w:rPr>
          <w:b w:val="0"/>
          <w:i w:val="0"/>
        </w:rPr>
        <w:t>Trong trường hợp này, không thể kết luận rằng đơn kiện cáo buộc một yêu cầu phái sinh. Không có yêu cầu phái sinh nào khẳng định tổn hại cho thực thể công ty. Không có sự khắc phục nào dành cho công ty. Theo đó, không có cơ sở để cho rằng đơn kiện nêu ra một yêu cầu phái sinh.</w:t>
      </w:r>
    </w:p>
    <w:p>
      <w:pPr>
        <w:spacing w:after="80"/>
      </w:pPr>
      <w:r>
        <w:rPr>
          <w:b w:val="0"/>
          <w:i w:val="0"/>
        </w:rPr>
        <w:t>Nhưng điều đó không nhất thiết có nghĩa là đơn kiện nêu ra một yêu cầu trực tiếp, cá nhân. Mặc dù đơn kiện tự nhận là đưa ra một yêu cầu trực tiếp, nhưng trên thực tế, nó không nêu ra yêu cầu nào cả. Tòa án sơ thẩm đã phân tích đơn kiện và kết luận đúng rằng nó không tuyên bố rằng nguyên đơn có bất kỳ quyền nào đã bị xâm phạm. Các quyền của họ chưa chín muồi. Yêu cầu theo hợp đồng không tồn tại cho đến khi nó chín muồi, và yêu cầu đó sẽ không chín muồi cho đến khi các điều khoản của việc sáp nhập được thực hiện, bao gồm cả các gia hạn ngày kết thúc đang được bàn đến ở đây. Do đó, không có yêu cầu trực tiếp nào được nêu trong đơn kiện trước chúng ta.</w:t>
      </w:r>
    </w:p>
    <w:p>
      <w:pPr>
        <w:spacing w:after="80"/>
      </w:pPr>
      <w:r>
        <w:rPr>
          <w:b w:val="0"/>
          <w:i w:val="0"/>
        </w:rPr>
        <w:t>Theo đó, đơn kiện đã được bác bỏ một cách đúng đắn. Nhưng do việc dựa vào khái niệm "tổn hại đặc biệt" của Tòa án Chancery, căn cứ được đưa ra để bác bỏ là sai lầm, vì không có yêu cầu phái sinh nào. Tuy nhiên, sai sót đó là vô hại, bởi vì theo quan điểm của chúng ta, cũng không có yêu cầu trực tiếp nào.</w:t>
      </w:r>
    </w:p>
    <w:p>
      <w:pPr>
        <w:pStyle w:val="Heading5"/>
      </w:pPr>
      <w:r>
        <w:rPr>
          <w:rFonts w:ascii="Calibri" w:hAnsi="Calibri"/>
          <w:b/>
          <w:i/>
          <w:sz w:val="22"/>
        </w:rPr>
        <w:t>Bình luận và Câu hỏi</w:t>
      </w:r>
    </w:p>
    <w:p>
      <w:pPr>
        <w:spacing w:after="80"/>
      </w:pPr>
      <w:r>
        <w:rPr>
          <w:b w:val="0"/>
          <w:i w:val="0"/>
        </w:rPr>
        <w:t>1. Tại sao Tooley và Lewis lại khăng khăng rằng các yêu cầu của họ là phái sinh? Chẳng phải cơ hội được bồi thường thiệt hại trực tiếp sẽ khiến tất cả cổ đông, trừ những người vị tha nhất, đều trình bày yêu cầu của mình với bản chất trực tiếp hay sao?</w:t>
      </w:r>
    </w:p>
    <w:p>
      <w:pPr>
        <w:spacing w:after="80"/>
      </w:pPr>
      <w:r>
        <w:rPr>
          <w:b w:val="0"/>
          <w:i w:val="0"/>
        </w:rPr>
        <w:t>2. Trong cuốn Nguyên tắc Quản trị Công ty của mình, ALI đã thông qua một bài kiểm tra trực tiếp-phái sinh dựa trên các yếu tố thiết yếu của yêu cầu. Theo Mục 7.01, nếu cổ đông chỉ có thể thắng kiện bằng cách chứng minh có tổn hại cho công ty hoặc vi phạm nghĩa vụ mà công ty nợ, thì hành động đó là phái sinh. Nếu chứng minh đó không thiết yếu đối với yêu cầu, thì hành động đó có thể được duy trì với bản chất trực tiếp. Khi cả yêu cầu trực tiếp và phái sinh đều có thể xảy ra, cổ đông nên được phép duy trì cả hai cùng lúc. ALI cũng đã đưa ra bốn cân nhắc chính sách liên quan để tòa án xem xét các vụ án sát nút:</w:t>
      </w:r>
    </w:p>
    <w:p>
      <w:pPr>
        <w:spacing w:after="80"/>
      </w:pPr>
      <w:r>
        <w:rPr>
          <w:b w:val="0"/>
          <w:i w:val="0"/>
        </w:rPr>
        <w:t>(1) Khoản bồi thường trong một hành động phái sinh sẽ được chia sẻ rộng rãi với tất cả cổ đông và chủ nợ của công ty, trong khi khoản bồi thường trong một hành động trực tiếp sẽ chỉ giới hạn cho các nguyên đơn;</w:t>
      </w:r>
    </w:p>
    <w:p>
      <w:pPr>
        <w:spacing w:after="80"/>
      </w:pPr>
      <w:r>
        <w:rPr>
          <w:b w:val="0"/>
          <w:i w:val="0"/>
        </w:rPr>
        <w:t>(2) Một hành động phái sinh sẽ có hiệu lực ràng buộc (preclusive effect) trong khi một hành động trực tiếp thì không;</w:t>
      </w:r>
    </w:p>
    <w:p>
      <w:pPr>
        <w:spacing w:after="80"/>
      </w:pPr>
      <w:r>
        <w:rPr>
          <w:b w:val="0"/>
          <w:i w:val="0"/>
        </w:rPr>
        <w:t>(3) Trong một hành động phái sinh, nguyên đơn có thể thu hồi phí luật sư trực tiếp từ công ty nhưng không thể làm điều đó trong một hành động trực tiếp; và</w:t>
      </w:r>
    </w:p>
    <w:p>
      <w:pPr>
        <w:spacing w:after="80"/>
      </w:pPr>
      <w:r>
        <w:rPr>
          <w:b w:val="0"/>
          <w:i w:val="0"/>
        </w:rPr>
        <w:t>(4) Việc mô tả hành động là phái sinh có thể cho phép hội đồng quản trị tiếp quản hành động hoặc yêu cầu bác bỏ.</w:t>
      </w:r>
    </w:p>
    <w:p>
      <w:pPr>
        <w:spacing w:after="80"/>
      </w:pPr>
      <w:r>
        <w:rPr>
          <w:b w:val="0"/>
          <w:i w:val="0"/>
        </w:rPr>
        <w:t xml:space="preserve">Trong một vụ án sát nút, liệu những yếu tố này sẽ ủng hộ một vụ kiện trực tiếp hay một vụ kiện phái sinh? Liệu bài kiểm tra hai phần của </w:t>
      </w:r>
      <w:r>
        <w:rPr>
          <w:b w:val="0"/>
          <w:i/>
        </w:rPr>
        <w:t>Tooley</w:t>
      </w:r>
      <w:r>
        <w:rPr>
          <w:b w:val="0"/>
          <w:i w:val="0"/>
        </w:rPr>
        <w:t xml:space="preserve"> có nhất thiết tạo ra cùng một kết quả không?</w:t>
      </w:r>
    </w:p>
    <w:p>
      <w:pPr>
        <w:pStyle w:val="Heading2"/>
      </w:pPr>
      <w:r>
        <w:rPr>
          <w:rFonts w:ascii="Calibri" w:hAnsi="Calibri"/>
          <w:b/>
          <w:i w:val="0"/>
          <w:sz w:val="32"/>
        </w:rPr>
        <w:t>II. Tố tụng Phái sinh</w:t>
      </w:r>
    </w:p>
    <w:p>
      <w:pPr>
        <w:spacing w:after="80"/>
      </w:pPr>
      <w:r>
        <w:rPr>
          <w:b w:val="0"/>
          <w:i w:val="0"/>
        </w:rPr>
        <w:t>Mặc dù các vụ kiện phái sinh của cổ đông (shareholders' derivative litigation) ban đầu ra đời như một biện pháp công bằng dành cho các cổ đông thiểu số, nhưng theo thời gian, chúng đã phát triển thành một cơ chế để cổ đông buộc ban lãnh đạo phải chịu trách nhiệm về những hành vi sai trái. Trong một vụ kiện phái sinh, cổ đông khởi kiện đại diện cho lợi ích của công ty và gián tiếp đại diện cho lợi ích của các cổ đông khác. Do đó, nguyên đơn phải chứng minh được tư cách khởi kiện (standing).</w:t>
      </w:r>
    </w:p>
    <w:p>
      <w:pPr>
        <w:pStyle w:val="Heading3"/>
      </w:pPr>
      <w:r>
        <w:rPr>
          <w:rFonts w:ascii="Calibri" w:hAnsi="Calibri"/>
          <w:b/>
          <w:i w:val="0"/>
          <w:sz w:val="26"/>
        </w:rPr>
        <w:t>A. Tư cách khởi kiện</w:t>
      </w:r>
    </w:p>
    <w:p>
      <w:pPr>
        <w:pStyle w:val="Heading4"/>
      </w:pPr>
      <w:r>
        <w:rPr>
          <w:rFonts w:ascii="Calibri" w:hAnsi="Calibri"/>
          <w:b/>
          <w:i w:val="0"/>
          <w:sz w:val="23"/>
        </w:rPr>
        <w:t>Schoon v. Smith</w:t>
      </w:r>
    </w:p>
    <w:p>
      <w:pPr>
        <w:spacing w:after="80"/>
      </w:pPr>
      <w:r>
        <w:rPr>
          <w:b w:val="0"/>
          <w:i w:val="0"/>
        </w:rPr>
        <w:t>Tòa án Tối cao Delaware</w:t>
      </w:r>
      <w:r>
        <w:br/>
      </w:r>
      <w:r>
        <w:rPr>
          <w:b w:val="0"/>
          <w:i w:val="0"/>
        </w:rPr>
        <w:t xml:space="preserve"> 953 A.2d 196 (2008)</w:t>
      </w:r>
    </w:p>
    <w:p>
      <w:pPr>
        <w:spacing w:after="80"/>
      </w:pPr>
      <w:r>
        <w:rPr>
          <w:b w:val="0"/>
          <w:i w:val="0"/>
        </w:rPr>
        <w:t>THẨM PHÁN RIDGELY :</w:t>
      </w:r>
    </w:p>
    <w:p>
      <w:pPr>
        <w:spacing w:after="80"/>
      </w:pPr>
      <w:r>
        <w:rPr>
          <w:b w:val="0"/>
          <w:i w:val="0"/>
        </w:rPr>
        <w:t>Người kháng cáo Richard W. Schoon là một giám đốc, nhưng không phải cổ đông, của Troy Corporation, một công ty Delaware tư nhân. Ông đã nộp đơn kiện phái sinh tại Tòa án Chancery thay mặt cho Troy, cáo buộc các giám đốc đồng nghiệp của mình vi phạm nghĩa vụ tín thác (fiduciary duties).</w:t>
      </w:r>
    </w:p>
    <w:p>
      <w:pPr>
        <w:spacing w:after="80"/>
      </w:pPr>
      <w:r>
        <w:rPr>
          <w:b w:val="0"/>
          <w:i w:val="0"/>
        </w:rPr>
        <w:t>Trong kháng cáo, Schoon lập luận rằng Tòa án này nên phán quyết rằng một giám đốc có quyền khởi kiện phái sinh vì những lý do tương tự mà luật công bằng (equity) từ trước đến nay vẫn dành cho cổ đông. Ông cho rằng việc mở rộng tư cách khởi kiện cho giám đốc sẽ thúc đẩy chính sách công của Delaware. Mặc dù Đại hội đồng Delaware có đặc quyền trao tư cách khởi kiện cho giám đốc bằng luật thành văn, nhưng họ đã không chọn làm như vậy. Bởi vì vụ kiện phái sinh của cổ đông đã có sẵn để khắc phục mọi hành vi vi phạm nghĩa vụ tín thác, chúng tôi từ chối mở rộng học thuyết về tư cách khởi kiện công bằng để cho phép một giám đốc khởi kiện tương tự.</w:t>
      </w:r>
    </w:p>
    <w:p>
      <w:pPr>
        <w:spacing w:after="80"/>
      </w:pPr>
      <w:r>
        <w:rPr>
          <w:b w:val="0"/>
          <w:i/>
        </w:rPr>
        <w:t>Sự kiện và bối cảnh tố tụng</w:t>
      </w:r>
    </w:p>
    <w:p>
      <w:pPr>
        <w:spacing w:after="80"/>
      </w:pPr>
      <w:r>
        <w:rPr>
          <w:b w:val="0"/>
          <w:i w:val="0"/>
        </w:rPr>
        <w:t>Troy Corporation là một công ty Delaware tư nhân có cơ cấu vốn bao gồm ba loạt cổ phiếu phổ thông. Cổ phiếu loạt A có quyền bầu bốn trong số năm giám đốc của Troy. Daryl Smith, CEO và Chủ tịch của Troy, sở hữu phần lớn cổ phiếu loạt A, và ông đã dùng số cổ phiếu này để bầu chính mình và ba người khác vào hội đồng quản trị. Các cổ đông loạt B có quyền bầu thành viên cuối cùng của hội đồng quản trị. Một công ty Delaware tư nhân khác, Steel, sở hữu phần lớn cổ phiếu loạt B, và đã dùng số cổ phiếu này để bầu Schoon, người không sở hữu cổ phiếu nào của Troy, vào hội đồng quản trị của Troy. Cổ phiếu loạt C không có quyền biểu quyết.</w:t>
      </w:r>
    </w:p>
    <w:p>
      <w:pPr>
        <w:spacing w:after="80"/>
      </w:pPr>
      <w:r>
        <w:rPr>
          <w:b w:val="0"/>
          <w:i w:val="0"/>
        </w:rPr>
        <w:t>Schoon cáo buộc rằng ngay sau khi trở thành giám đốc của Troy, ông phát hiện ra rằng ba thành viên hội đồng quản trị còn lại đều "phụ thuộc vào Smith", điều này cho phép Smith chi phối và kiểm soát hội đồng quản trị. Schoon cáo buộc rằng Smith đã nhiều lần thực hiện các hành động nhằm củng cố quyền lực của bản thân và từ đó cản trở các giao dịch tiềm năng tối đa hóa giá trị vì lợi ích của Troy và các cổ đông. . . .</w:t>
      </w:r>
    </w:p>
    <w:p>
      <w:pPr>
        <w:spacing w:after="80"/>
      </w:pPr>
      <w:r>
        <w:rPr>
          <w:b w:val="0"/>
          <w:i/>
        </w:rPr>
        <w:t>Tư cách khởi kiện và lý do dẫn đến tư cách khởi kiện công bằng của cổ đông</w:t>
      </w:r>
    </w:p>
    <w:p>
      <w:pPr>
        <w:spacing w:after="80"/>
      </w:pPr>
      <w:r>
        <w:rPr>
          <w:b w:val="0"/>
          <w:i w:val="0"/>
        </w:rPr>
        <w:t>"Tư cách khởi kiện là lợi ích cần thiết phải tồn tại đối với kết quả của vụ kiện vào thời điểm vụ kiện được bắt đầu." Chúng tôi đã từng giải thích khái niệm này như sau:</w:t>
      </w:r>
    </w:p>
    <w:p>
      <w:pPr>
        <w:spacing w:after="80"/>
      </w:pPr>
      <w:r>
        <w:rPr>
          <w:b w:val="0"/>
          <w:i w:val="0"/>
        </w:rPr>
        <w:t xml:space="preserve">Khái niệm 'tư cách khởi kiện', theo nghĩa tố tụng, đề cập đến quyền của một bên được viện đến thẩm quyền của tòa án để thực thi một yêu cầu hoặc khắc phục một khiếu nại. Nó chỉ liên quan đến câu hỏi </w:t>
      </w:r>
      <w:r>
        <w:rPr>
          <w:b w:val="0"/>
          <w:i/>
        </w:rPr>
        <w:t>ai</w:t>
      </w:r>
      <w:r>
        <w:rPr>
          <w:b w:val="0"/>
          <w:i w:val="0"/>
        </w:rPr>
        <w:t xml:space="preserve"> có quyền đưa ra thách thức pháp lý chứ không liên quan đến nội dung đúng sai của vấn đề đang tranh chấp. Để có được tư cách khởi kiện, lợi ích của nguyên đơn trong vụ tranh chấp phải có thể phân biệt được với lợi ích chung của các thành viên khác trong một nhóm hoặc của công chúng nói chung. Không giống như các tòa án liên bang, nơi tư cách khởi kiện có thể phải tuân theo các giới hạn hiến định đã được quy định, các tòa án tiểu bang áp dụng khái niệm tư cách khởi kiện như một vấn đề tự kiềm chế để tránh đưa ra các ý kiến tư vấn theo yêu cầu của những bên chỉ là 'kẻ can thiệp vô cớ'.</w:t>
      </w:r>
    </w:p>
    <w:p>
      <w:pPr>
        <w:spacing w:after="80"/>
      </w:pPr>
      <w:r>
        <w:rPr>
          <w:b w:val="0"/>
          <w:i w:val="0"/>
        </w:rPr>
        <w:t>Khái niệm truyền thống về tư cách khởi kiện trao cho công ty quyền khởi kiện vì tổn thất của chính mình.</w:t>
      </w:r>
    </w:p>
    <w:p>
      <w:pPr>
        <w:spacing w:after="80"/>
      </w:pPr>
      <w:r>
        <w:rPr>
          <w:b w:val="0"/>
          <w:i w:val="0"/>
        </w:rPr>
        <w:t>Là "một sản phẩm của luật công bằng", vụ kiện phái sinh nói chung đóng vai trò là phương tiện để thực thi một quyền của công ty. Việc trao tư cách khởi kiện công bằng này cho cổ đông chỉ có một mục đích duy nhất:</w:t>
      </w:r>
    </w:p>
    <w:p>
      <w:pPr>
        <w:spacing w:after="80"/>
      </w:pPr>
      <w:r>
        <w:rPr>
          <w:b w:val="0"/>
          <w:i w:val="0"/>
        </w:rPr>
        <w:t xml:space="preserve">Cổ đông không khởi kiện như vậy vì quyền của </w:t>
      </w:r>
      <w:r>
        <w:rPr>
          <w:b w:val="0"/>
          <w:i/>
        </w:rPr>
        <w:t>anh ta</w:t>
      </w:r>
      <w:r>
        <w:rPr>
          <w:b w:val="0"/>
          <w:i w:val="0"/>
        </w:rPr>
        <w:t xml:space="preserve"> bị xâm phạm </w:t>
      </w:r>
      <w:r>
        <w:rPr>
          <w:b w:val="0"/>
          <w:i/>
        </w:rPr>
        <w:t>trực tiếp</w:t>
      </w:r>
      <w:r>
        <w:rPr>
          <w:b w:val="0"/>
          <w:i w:val="0"/>
        </w:rPr>
        <w:t xml:space="preserve">, hay vì nguyên nhân khởi kiện là </w:t>
      </w:r>
      <w:r>
        <w:rPr>
          <w:b w:val="0"/>
          <w:i/>
        </w:rPr>
        <w:t>của anh ta</w:t>
      </w:r>
      <w:r>
        <w:rPr>
          <w:b w:val="0"/>
          <w:i w:val="0"/>
        </w:rPr>
        <w:t xml:space="preserve">, hay vì </w:t>
      </w:r>
      <w:r>
        <w:rPr>
          <w:b w:val="0"/>
          <w:i/>
        </w:rPr>
        <w:t>anh ta</w:t>
      </w:r>
      <w:r>
        <w:rPr>
          <w:b w:val="0"/>
          <w:i w:val="0"/>
        </w:rPr>
        <w:t xml:space="preserve"> được hưởng biện pháp khắc phục được yêu cầu; anh ta được phép khởi kiện theo cách này </w:t>
      </w:r>
      <w:r>
        <w:rPr>
          <w:b w:val="0"/>
          <w:i/>
        </w:rPr>
        <w:t>đơn thuần để khởi động bộ máy tư pháp của tòa án</w:t>
      </w:r>
      <w:r>
        <w:rPr>
          <w:b w:val="0"/>
          <w:i w:val="0"/>
        </w:rPr>
        <w:t xml:space="preserve"> . . . . Trên thực tế, nguyên đơn không có lợi ích </w:t>
      </w:r>
      <w:r>
        <w:rPr>
          <w:b w:val="0"/>
          <w:i/>
        </w:rPr>
        <w:t>trực tiếp</w:t>
      </w:r>
      <w:r>
        <w:rPr>
          <w:b w:val="0"/>
          <w:i w:val="0"/>
        </w:rPr>
        <w:t xml:space="preserve"> như vậy; chỉ công ty bị đơn có lợi ích trực tiếp; nguyên đơn được phép, bất chấp việc thiếu lợi ích, duy trì vụ kiện </w:t>
      </w:r>
      <w:r>
        <w:rPr>
          <w:b w:val="0"/>
          <w:i/>
        </w:rPr>
        <w:t>chỉ nhằm ngăn chặn sự thất bại hoàn toàn của công lý mà thôi.</w:t>
      </w:r>
    </w:p>
    <w:p>
      <w:pPr>
        <w:spacing w:after="80"/>
      </w:pPr>
      <w:r>
        <w:rPr>
          <w:b w:val="0"/>
          <w:i/>
        </w:rPr>
        <w:t>Những Hạn Chế Theo Luật Định Đối Với Tư Cách Công Bằng Của Cổ Đông</w:t>
      </w:r>
    </w:p>
    <w:p>
      <w:pPr>
        <w:spacing w:after="80"/>
      </w:pPr>
      <w:r>
        <w:rPr>
          <w:b w:val="0"/>
          <w:i w:val="0"/>
        </w:rPr>
        <w:t>Theo thời gian, vụ kiện phái sinh của cổ đông (stockholder derivative action) dần bị mang tiếng xấu là “nơi trú ẩn của những kẻ chuyên kiện tụng trục lợi, chuyên tống tiền doanh nghiệp.” Để đối phó, các đạo luật nhằm cho phép và điều chỉnh loại kiện tụng này đã được ban hành. Ở Delaware, Đại hội đồng bang (General Assembly) đã ban hành Mục 327 của Luật Doanh nghiệp Tổng hợp Delaware (Delaware General Corporation Law), với tiêu đề “Vụ kiện phái sinh của cổ đông; việc viện dẫn quyền sở hữu cổ phần.” Mục 327 quy định:</w:t>
      </w:r>
    </w:p>
    <w:p>
      <w:pPr>
        <w:spacing w:after="80"/>
      </w:pPr>
      <w:r>
        <w:rPr>
          <w:b w:val="0"/>
          <w:i w:val="0"/>
        </w:rPr>
        <w:t>Trong bất kỳ vụ kiện phái sinh nào do một cổ đông của công ty khởi xướng, đơn kiện phải nêu rõ rằng nguyên đơn là cổ đông của công ty vào thời điểm diễn ra giao dịch mà cổ đông đó phàn nàn, hoặc rằng cổ phần của cổ đông đó sau đó đã chuyển sang cho cổ đông đó theo quy định của pháp luật.</w:t>
      </w:r>
    </w:p>
    <w:p>
      <w:pPr>
        <w:spacing w:after="80"/>
      </w:pPr>
      <w:r>
        <w:rPr>
          <w:b w:val="0"/>
          <w:i w:val="0"/>
        </w:rPr>
        <w:t>Điều khoản này cùng với tiền thân của nó được ban hành chỉ nhằm “ngăn chặn điều từng bị coi là một tệ nạn, cụ thể là việc mua cổ phần để duy trì một vụ kiện phái sinh nhằm tấn công một giao dịch đã xảy ra trước khi mua cổ phần.” Hơn nữa, “dù đạo luật cần được giải thích sao cho thực hiện một cách hợp lý mục đích chính của nó — là hạn chế một kiểu kiện tụng trục lợi — thì cũng không nên giải thích nó theo cách khuyến khích quá mức việc ngụy trang các giao dịch, từ đó ngăn cản những cơ hội hợp lý để sửa chữa những sai lệch của doanh nghiệp.”</w:t>
      </w:r>
    </w:p>
    <w:p>
      <w:pPr>
        <w:spacing w:after="80"/>
      </w:pPr>
      <w:r>
        <w:rPr>
          <w:b w:val="0"/>
          <w:i w:val="0"/>
        </w:rPr>
        <w:t>Mục 327 “</w:t>
      </w:r>
      <w:r>
        <w:rPr>
          <w:b w:val="0"/>
          <w:i/>
        </w:rPr>
        <w:t>không tạo ra quyền kiện phái sinh, mà đúng hơn là hạn chế quyền đó.”</w:t>
      </w:r>
      <w:r>
        <w:rPr>
          <w:b w:val="0"/>
          <w:i w:val="0"/>
        </w:rPr>
        <w:t xml:space="preserve"> Tư cách công bằng của một cổ đông để khởi kiện phái sinh được tạo ra bởi án lệ, nhưng sau đó bị hạn chế bởi một yêu cầu luật định rằng nguyên đơn là cổ đông phải hoặc đã là cổ đông vào thời điểm diễn ra giao dịch mà mình phàn nàn, hoặc cổ phần của mình sau đó đã chuyển sang cho mình theo quy định của pháp luật. Việc tòa án tạo ra tư cách công bằng cho một cổ đông để khởi kiện phái sinh cho thấy học thuyết công bằng (equitable doctrine) có thể được tòa án mở rộng để giải quyết những hoàn cảnh mới. Theo đó, chúng tôi không thể đồng ý với kết luận dứt khoát của Tòa Đại Pháp Chancery (Court of Chancery) rằng “bất kỳ quyết định nào” nhằm mở rộng tư cách công bằng cho một giám đốc đều thuộc thẩm quyền của Đại hội đồng bang. Quyết định đó cũng là điều mà ngành tư pháp có quyền đưa ra. Tuy nhiên, chúng tôi kết luận rằng hiện tại không có lý do gì để làm như vậy.</w:t>
      </w:r>
    </w:p>
    <w:p>
      <w:pPr>
        <w:spacing w:after="80"/>
      </w:pPr>
      <w:r>
        <w:rPr>
          <w:b w:val="0"/>
          <w:i/>
        </w:rPr>
        <w:t>Việc Mở Rộng Học Thuyết Công Bằng</w:t>
      </w:r>
    </w:p>
    <w:p>
      <w:pPr>
        <w:spacing w:after="80"/>
      </w:pPr>
      <w:r>
        <w:rPr>
          <w:b w:val="0"/>
          <w:i w:val="0"/>
        </w:rPr>
        <w:t xml:space="preserve">Như Tòa án này đã lưu ý, “đó là một nguyên tắc pháp lý đã được xác lập vững chắc rằng ngành tư pháp có quyền bãi bỏ </w:t>
      </w:r>
      <w:r>
        <w:rPr>
          <w:b w:val="0"/>
          <w:i/>
        </w:rPr>
        <w:t>học thuyết do tòa án tạo ra</w:t>
      </w:r>
      <w:r>
        <w:rPr>
          <w:b w:val="0"/>
          <w:i w:val="0"/>
        </w:rPr>
        <w:t>, miễn là học thuyết đó chưa được luật hóa thành văn bản luật.” Ở đây, chúng ta đang xử lý một học thuyết công bằng do tòa án tạo ra, đồng thời cũng đã được thể chế hóa trong một đạo luật. Chúng tôi được yêu cầu thực thi thẩm quyền cố hữu của mình để mở rộng học thuyết tư cách công bằng nhằm bao gồm cả một giám đốc, vào thời điểm mà Đại hội đồng bang chưa lên tiếng về vấn đề này. Các học thuyết công bằng do tòa án tạo ra có thể được mở rộng miễn là việc mở rộng đó phù hợp với các nguyên tắc công bằng.</w:t>
      </w:r>
    </w:p>
    <w:p>
      <w:pPr>
        <w:spacing w:after="80"/>
      </w:pPr>
      <w:r>
        <w:rPr>
          <w:b w:val="0"/>
          <w:i w:val="0"/>
        </w:rPr>
        <w:t>Với những nguyên tắc này và lý do cho việc ban đầu trao tư cách công bằng cho các cổ đông trong đầu, chúng tôi xem xét vai trò của các giám đốc doanh nghiệp và liệu có những tình huống cấp bách mới đòi hỏi phải mở rộng học thuyết tư cách công bằng để cho phép một giám đốc khởi kiện phái sinh hay không.</w:t>
      </w:r>
    </w:p>
    <w:p>
      <w:pPr>
        <w:spacing w:after="80"/>
      </w:pPr>
      <w:r>
        <w:rPr>
          <w:b w:val="0"/>
          <w:i/>
        </w:rPr>
        <w:t>Tính Độc Lập Của Giám Đốc</w:t>
      </w:r>
    </w:p>
    <w:p>
      <w:pPr>
        <w:spacing w:after="80"/>
      </w:pPr>
      <w:r>
        <w:rPr>
          <w:b w:val="0"/>
          <w:i w:val="0"/>
        </w:rPr>
        <w:t>Chúng tôi bắt đầu với nguyên tắc luật định nền tảng rằng “[c]ông việc và các vấn đề của mọi công ty . . . phải được quản lý bởi hoặc dưới sự chỉ đạo của một hội đồng quản trị. . . .” Khi thực hiện chức năng quản lý của mình, “các giám đốc có nghĩa vụ tín thác về sự cẩn trọng và lòng trung thành đối với công ty và các cổ đông của công ty.”</w:t>
      </w:r>
    </w:p>
    <w:p>
      <w:pPr>
        <w:spacing w:after="80"/>
      </w:pPr>
      <w:r>
        <w:rPr>
          <w:b w:val="0"/>
          <w:i w:val="0"/>
        </w:rPr>
        <w:t xml:space="preserve">Như </w:t>
      </w:r>
      <w:r>
        <w:rPr>
          <w:b w:val="0"/>
          <w:i/>
        </w:rPr>
        <w:t>Aronson</w:t>
      </w:r>
      <w:r>
        <w:rPr>
          <w:b w:val="0"/>
          <w:i w:val="0"/>
        </w:rPr>
        <w:t xml:space="preserve"> và </w:t>
      </w:r>
      <w:r>
        <w:rPr>
          <w:b w:val="0"/>
          <w:i/>
        </w:rPr>
        <w:t>Beam</w:t>
      </w:r>
      <w:r>
        <w:rPr>
          <w:b w:val="0"/>
          <w:i w:val="0"/>
        </w:rPr>
        <w:t xml:space="preserve"> cho thấy, tính “độc lập” của giám đốc không đòi hỏi một giám đốc phải đưa cuộc tranh luận ra khỏi phòng họp hội đồng quản trị để vào phòng xử án nhằm giải quyết những bất đồng của mình với hội đồng quản trị. Chúng tôi cũng chưa định nghĩa “tính độc lập” theo cách mở rộng các nghĩa vụ tín thác cơ bản của một giám đốc để bao gồm cả nghĩa vụ kiện thay mặt cho công ty với tư cách là giám đốc của mình.</w:t>
      </w:r>
    </w:p>
    <w:p>
      <w:pPr>
        <w:spacing w:after="80"/>
      </w:pPr>
      <w:r>
        <w:rPr>
          <w:b w:val="0"/>
          <w:i w:val="0"/>
        </w:rPr>
        <w:t>Bất chấp những cân nhắc này, Schoon đưa ra một lập luận thực tiễn cho tư cách kiện của mình. Ông cho rằng để bảo vệ lợi ích của công ty và các cổ đông, một giám đốc nên được phép kiện phái sinh vì giám đốc ở vị thế tốt hơn để biết và đưa ra các cáo buộc của mình chống lại hội đồng quản trị mà không cần chờ đợi một cổ đông làm điều đó. Đề xuất về hiệu quả này đã bỏ qua lý do vì sao học thuyết tư cách công bằng được thông qua, mà (xin nhắc lại) là để ngăn chặn sự thất bại hoàn toàn của công lý thay mặt cho công ty.</w:t>
      </w:r>
    </w:p>
    <w:p>
      <w:pPr>
        <w:spacing w:after="80"/>
      </w:pPr>
      <w:r>
        <w:rPr>
          <w:b w:val="0"/>
          <w:i w:val="0"/>
        </w:rPr>
        <w:t>Không có sự thất bại hoàn toàn nào như vậy trong vụ án này. Ở đây, cổ đông đã bầu Schoon (Steel) không chỉ đồng lòng với ông, mà còn đang tích cực tranh tụng các vấn đề khác liên quan đến Troy trước Tòa Đại Pháp Chancery. Chúng tôi ghi nhận theo thẩm quyền xét xử rằng Steel đã bắt đầu sử dụng “các công cụ sẵn có” để thu thập thông tin sổ sách và hồ sơ từ Troy. Với các nghĩa vụ đã được xác lập vững chắc của một giám đốc cùng khả năng và quyền của Steel, với tư cách là cổ đông, được khởi kiện phái sinh nếu Steel thấy cần thiết, chúng tôi nhận thấy không có tình huống cấp bách mới nào đòi hỏi phải mở rộng tư cách công bằng cho Schoon với tư cách là giám đốc.</w:t>
      </w:r>
    </w:p>
    <w:p>
      <w:pPr>
        <w:spacing w:after="80"/>
      </w:pPr>
      <w:r>
        <w:rPr>
          <w:b w:val="0"/>
          <w:i/>
        </w:rPr>
        <w:t>Đề Xuất Của ALI Về Tư Cách Của Giám Đốc</w:t>
      </w:r>
    </w:p>
    <w:p>
      <w:pPr>
        <w:spacing w:after="80"/>
      </w:pPr>
      <w:r>
        <w:rPr>
          <w:b w:val="0"/>
          <w:i w:val="0"/>
        </w:rPr>
        <w:t>Khi lập luận rằng việc trao tư cách kiện cho các giám đốc sẽ thúc đẩy chính sách bảo vệ chống lại hành vi sai trái của những người có nghĩa vụ tín thác, Schoon thúc giục chúng tôi thông qua đề xuất năm 1994 của Viện Luật Hoa Kỳ (“ALI”) liên quan đến tư cách của giám đốc.</w:t>
      </w:r>
    </w:p>
    <w:p>
      <w:pPr>
        <w:spacing w:after="80"/>
      </w:pPr>
      <w:r>
        <w:rPr>
          <w:b w:val="0"/>
          <w:i w:val="0"/>
        </w:rPr>
        <w:t>Mục 7.02(c) của Các Nguyên Tắc ALI quy định: “Một giám đốc của một công ty có tư cách để bắt đầu và duy trì một vụ kiện phái sinh trừ khi tòa án thấy rằng giám đốc đó không thể đại diện một cách công bằng và thỏa đáng cho lợi ích của các cổ đông.” Phần bình luận cho điều khoản này thừa nhận rằng đây là một “quyền đặc biệt” bởi vì “hầu hết các giám đốc vốn đã có tư cách kiện với tư cách là cổ đông.” Các Nguyên Tắc ALI cũng thừa nhận rằng thông thường một giám đốc sẽ trình bày những lo ngại của mình về hành vi bất hợp pháp hoặc gian lận lên hội đồng quản trị, và rằng điều được ưu tiên là toàn bộ hội đồng quản trị đưa ra “một phản hồi mang tính tập thể” đối với những lo ngại của một giám đốc về hành vi sai trái tiềm tàng. Các Nguyên Tắc ALI biện minh cho việc tạo ra tư cách kiện phái sinh của giám đốc chỉ trong những trường hợp “khi hội đồng quản trị bị chi phối bởi một cổ đông kiểm soát, trong đó hội đồng quản trị sẽ không hành động ngay cả khi đã có bằng chứng rõ ràng về hành vi sai trái hoặc bất hợp pháp được trình lên nó. . . .” Các Nguyên Tắc ALI còn lập luận rằng các yêu cầu thủ tục để duy trì một vụ kiện phái sinh của cổ đông, như quyền sở hữu đồng thời và quyền sở hữu liên tục, không áp dụng cho các giám đốc bởi vì “nghĩa vụ tín thác của giám đốc cho phép giám đốc tìm cách sửa chữa những sai trái đối với công ty mà không trực tiếp gây tổn hại cho giám đốc.” . . .</w:t>
      </w:r>
    </w:p>
    <w:p>
      <w:pPr>
        <w:spacing w:after="80"/>
      </w:pPr>
      <w:r>
        <w:rPr>
          <w:b w:val="0"/>
          <w:i w:val="0"/>
        </w:rPr>
        <w:t>Vì không có thẩm quyền theo luật định cho tư cách khởi kiện của ông với vai trò giám đốc, lập luận của Schoon phải thành công hoặc thất bại dựa trên giá trị của việc mở rộng học thuyết về tư cách công bằng (equitable standing) thông qua con đường tư pháp. Chúng tôi đã giải thích lý do của học thuyết công bằng này và từ chối mở rộng nó bằng cách chấp nhận một chính sách sẽ khiến học thuyết lệch khỏi mục đích ban đầu: ngăn chặn sự thất bại hoàn toàn của công lý. Schoon đã không chứng minh rằng sẽ xảy ra sự thất bại hoàn toàn của công lý trừ khi ông được trao tư cách khởi kiện với vai trò giám đốc. Một vụ kiện phái sinh (derivative action) của cổ đông sẽ khắc phục đầy đủ và thỏa đáng mọi tổn hại cho Troy phát sinh từ việc hội đồng quản trị vi phạm nghĩa vụ tín thác (fiduciary duty). Theo đó, chúng tôi từ chối mở rộng tư cách công bằng cho Schoon để khởi kiện phái sinh với tư cách giám đốc của ông.</w:t>
      </w:r>
    </w:p>
    <w:p>
      <w:pPr>
        <w:pStyle w:val="Heading5"/>
      </w:pPr>
      <w:r>
        <w:rPr>
          <w:rFonts w:ascii="Calibri" w:hAnsi="Calibri"/>
          <w:b/>
          <w:i/>
          <w:sz w:val="22"/>
        </w:rPr>
        <w:t>Bình luận và Câu hỏi</w:t>
      </w:r>
    </w:p>
    <w:p>
      <w:pPr>
        <w:spacing w:after="80"/>
      </w:pPr>
      <w:r>
        <w:rPr>
          <w:b w:val="0"/>
          <w:i w:val="0"/>
        </w:rPr>
        <w:t>1. Theo cái gọi là yêu cầu sở hữu đồng thời (contemporaneous ownership requirement) tại Mục 327 trong luật của Delaware, một cổ đông không có tư cách khởi kiện phái sinh trừ khi người đó sở hữu cổ phần vào thời điểm hành vi sai trái bị cáo buộc được thực hiện. Trên thực tế, yêu cầu sở hữu đồng thời có thể ảnh hưởng đến khả năng của các luật sư khởi nghiệp trong việc tìm kiếm cổ đông sẵn sàng làm nguyên đơn đại diện. Trước khi được bổ nhiệm vào Tòa án Chancery, Phó Chánh án Travis Laster đã thúc giục Đại hội đồng Delaware sửa đổi Mục 327 để chỉ yêu cầu nguyên đơn phái sinh nắm giữ cổ phần vào thời điểm đơn kiện được nộp, và rằng người đó không tự nguyện chuyển nhượng cổ phần trong thời gian vụ kiện đang diễn ra. Năm 2014, Phó Chánh án Laster từ chối áp dụng yêu cầu sở hữu đồng thời cho các nguyên đơn là chủ nợ đã nộp đơn kiện phái sinh, với lý do rằng theo ngôn ngữ rõ ràng của nó, Mục 327 chỉ áp dụng cho các cổ đông. Các tòa án khác đã từ chối loại các cổ đông đồng thời khỏi vai trò nguyên đơn trong các vụ kiện phái sinh, ngay cả khi họ thể hiện rất ít hiểu biết về các khiếu nại được đưa ra.</w:t>
      </w:r>
    </w:p>
    <w:p>
      <w:pPr>
        <w:spacing w:after="80"/>
      </w:pPr>
      <w:r>
        <w:rPr>
          <w:b w:val="0"/>
          <w:i w:val="0"/>
        </w:rPr>
        <w:t>2. Ngoài quyền sở hữu đồng thời, luật tiểu bang cũng có thể yêu cầu nguyên đơn phái sinh tuân thủ các quy tắc khác để duy trì tư cách của họ. Chẳng hạn, một số tiểu bang quy định rằng cổ đông nguyên đơn phải giữ lợi ích liên tục trong công ty cho đến khi vụ kiện phái sinh kết thúc. Khi đó, nguyên đơn có thể mất tư cách theo đuổi các khiếu nại phái sinh của mình nếu công ty mà nguyên đơn nắm giữ cổ phần sáp nhập với một công ty khác. Tuy nhiên, vụ kiện có thể tiếp tục “nếu bản thân việc sáp nhập là đối tượng của một khiếu nại về gian lận, được thực hiện chỉ nhằm tước đi tư cách khởi kiện phái sinh của các cổ đông.”</w:t>
      </w:r>
    </w:p>
    <w:p>
      <w:pPr>
        <w:spacing w:after="80"/>
      </w:pPr>
      <w:r>
        <w:rPr>
          <w:b w:val="0"/>
          <w:i w:val="0"/>
        </w:rPr>
        <w:t xml:space="preserve">3. Phán quyết của tòa án trong vụ </w:t>
      </w:r>
      <w:r>
        <w:rPr>
          <w:b w:val="0"/>
          <w:i/>
        </w:rPr>
        <w:t>Schoon</w:t>
      </w:r>
      <w:r>
        <w:rPr>
          <w:b w:val="0"/>
          <w:i w:val="0"/>
        </w:rPr>
        <w:t xml:space="preserve"> có phụ thuộc vào điều gì khác ngoài các hoạt động của Steel không? Điều gì sẽ xảy ra nếu các cổ đông khác duy nhất là những người nằm dưới sự “chi phối và kiểm soát” của Smith?</w:t>
      </w:r>
    </w:p>
    <w:p>
      <w:pPr>
        <w:spacing w:after="80"/>
      </w:pPr>
      <w:r>
        <w:rPr>
          <w:b w:val="0"/>
          <w:i w:val="0"/>
        </w:rPr>
        <w:t>4. Theo ALI Principles, nghĩa vụ tín thác của giám đốc trao cho họ tư cách theo đuổi các tổn hại gây ra cho công ty. Liệu các quy tắc tố tụng của tiểu bang được thiết kế để hạn chế khiếu nại phái sinh của cổ đông (ví dụ: yêu cầu sở hữu đồng thời) có nên cũng áp dụng nếu giám đốc muốn khởi kiện thay mặt công ty không? Tại sao có hoặc tại sao không?</w:t>
      </w:r>
    </w:p>
    <w:p>
      <w:pPr>
        <w:pStyle w:val="Heading3"/>
      </w:pPr>
      <w:r>
        <w:rPr>
          <w:rFonts w:ascii="Calibri" w:hAnsi="Calibri"/>
          <w:b/>
          <w:i w:val="0"/>
          <w:sz w:val="26"/>
        </w:rPr>
        <w:t>B. Yêu cầu về Đơn thỉnh cầu</w:t>
      </w:r>
    </w:p>
    <w:p>
      <w:pPr>
        <w:spacing w:after="80"/>
      </w:pPr>
      <w:r>
        <w:rPr>
          <w:b w:val="0"/>
          <w:i w:val="0"/>
        </w:rPr>
        <w:t>Yêu cầu về đơn thỉnh cầu (demand requirement) đối với tố tụng phái sinh buộc các cổ đông phải kêu gọi giám đốc công ty hành động trước khi đưa tòa án vào tranh chấp quản trị. Các Quy tắc Tố tụng Dân sự Liên bang điều chỉnh tố tụng phái sinh, được in lại dưới đây, quy định rằng nguyên đơn phải cố gắng giải quyết tranh chấp một cách riêng tư trước khi vấn đề có thể được tiến hành tại tòa.</w:t>
      </w:r>
    </w:p>
    <w:p>
      <w:pPr>
        <w:spacing w:after="80"/>
      </w:pPr>
      <w:r>
        <w:rPr>
          <w:b/>
          <w:i w:val="0"/>
        </w:rPr>
        <w:t>Quy tắc Tố tụng Dân sự Liên bang 23.1. Các vụ kiện phái sinh</w:t>
      </w:r>
    </w:p>
    <w:p>
      <w:pPr>
        <w:spacing w:after="80"/>
      </w:pPr>
      <w:r>
        <w:rPr>
          <w:b w:val="0"/>
          <w:i w:val="0"/>
        </w:rPr>
        <w:t>(b) Yêu cầu về việc trình bày. Đơn kiện phải được xác nhận và phải:</w:t>
      </w:r>
    </w:p>
    <w:p>
      <w:pPr>
        <w:spacing w:after="80"/>
      </w:pPr>
      <w:r>
        <w:rPr>
          <w:b w:val="0"/>
          <w:i w:val="0"/>
        </w:rPr>
        <w:t>(1) cáo buộc rằng nguyên đơn là cổ đông hoặc thành viên vào thời điểm giao dịch bị khiếu nại, hoặc rằng cổ phần hoặc tư cách thành viên của nguyên đơn sau đó được chuyển giao cho họ theo quy định của pháp luật;</w:t>
      </w:r>
    </w:p>
    <w:p>
      <w:pPr>
        <w:spacing w:after="80"/>
      </w:pPr>
      <w:r>
        <w:rPr>
          <w:b w:val="0"/>
          <w:i w:val="0"/>
        </w:rPr>
        <w:t>(2) cáo buộc rằng vụ kiện không phải là một vụ thông đồng nhằm trao thẩm quyền mà tòa án nếu không sẽ không có; và</w:t>
      </w:r>
    </w:p>
    <w:p>
      <w:pPr>
        <w:spacing w:after="80"/>
      </w:pPr>
      <w:r>
        <w:rPr>
          <w:b w:val="0"/>
          <w:i w:val="0"/>
        </w:rPr>
        <w:t>(3) trình bày một cách cụ thể:</w:t>
      </w:r>
    </w:p>
    <w:p>
      <w:pPr>
        <w:spacing w:after="80"/>
      </w:pPr>
      <w:r>
        <w:rPr>
          <w:b w:val="0"/>
          <w:i w:val="0"/>
        </w:rPr>
        <w:t>(A) bất kỳ nỗ lực nào của nguyên đơn nhằm đạt được hành động mong muốn từ các giám đốc hoặc cơ quan tương đương và, nếu cần thiết, từ các cổ đông hoặc thành viên; và</w:t>
      </w:r>
    </w:p>
    <w:p>
      <w:pPr>
        <w:spacing w:after="80"/>
      </w:pPr>
      <w:r>
        <w:rPr>
          <w:b w:val="0"/>
          <w:i w:val="0"/>
        </w:rPr>
        <w:t>(B) lý do không đạt được hành động đó hoặc không thực hiện nỗ lực đó.</w:t>
      </w:r>
    </w:p>
    <w:p>
      <w:pPr>
        <w:spacing w:after="80"/>
      </w:pPr>
      <w:r>
        <w:rPr>
          <w:b w:val="0"/>
          <w:i w:val="0"/>
        </w:rPr>
        <w:t>Quy tắc 23.1 của Tòa án Chancery Delaware về cơ bản tuân theo quy định tương tự của liên bang. Đơn kiện phải mô tả “những nỗ lực, nếu có, mà nguyên đơn đã thực hiện để đạt được hành động mà nguyên đơn mong muốn từ các giám đốc hoặc cơ quan tương đương và lý do nguyên đơn không đạt được hành động đó hoặc không thực hiện nỗ lực đó.”</w:t>
      </w:r>
    </w:p>
    <w:p>
      <w:pPr>
        <w:spacing w:after="80"/>
      </w:pPr>
      <w:r>
        <w:rPr>
          <w:b w:val="0"/>
          <w:i w:val="0"/>
        </w:rPr>
        <w:t xml:space="preserve">Quy tắc yêu cầu các cổ đông nguyên đơn phải nỗ lực để đạt được hành động mong muốn từ hội đồng quản trị thường được gọi là “yêu cầu khởi kiện” (demand requirement). Trước khi một cổ đông có thể duy trì một khiếu nại phái sinh (derivative claim), cô ấy phải “yêu cầu” hội đồng quản trị thực thi các quyền của công ty. Như Tòa án Tối cao Delaware đã giải thích trong </w:t>
      </w:r>
      <w:r>
        <w:rPr>
          <w:b w:val="0"/>
          <w:i/>
        </w:rPr>
        <w:t>Grimes v. Donald</w:t>
      </w:r>
      <w:r>
        <w:rPr>
          <w:b w:val="0"/>
          <w:i w:val="0"/>
        </w:rPr>
        <w:t>:</w:t>
      </w:r>
    </w:p>
    <w:p>
      <w:pPr>
        <w:spacing w:after="80"/>
      </w:pPr>
      <w:r>
        <w:rPr>
          <w:b w:val="0"/>
          <w:i w:val="0"/>
        </w:rPr>
        <w:t>Một cổ đông nộp đơn kiện phái sinh phải cáo buộc rằng hội đồng quản trị đã từ chối yêu cầu trước khi khởi kiện của anh ta rằng hội đồng quản trị thực thi khiếu nại của công ty, hoặc cáo buộc một cách cụ thể lý do tại sao cổ đông đó được biện minh khi không nỗ lực để đạt được hành động của hội đồng quản trị.</w:t>
      </w:r>
    </w:p>
    <w:p>
      <w:pPr>
        <w:spacing w:after="80"/>
      </w:pPr>
      <w:r>
        <w:rPr>
          <w:b w:val="0"/>
          <w:i w:val="0"/>
        </w:rPr>
        <w:t>Hơn nữa, cổ đông nguyên đơn phải đưa các cáo buộc này vào đơn kiện của mình khi nộp, mà không được hưởng lợi từ việc khám phá chứng cứ (discovery).</w:t>
      </w:r>
    </w:p>
    <w:p>
      <w:pPr>
        <w:spacing w:after="80"/>
      </w:pPr>
      <w:r>
        <w:rPr>
          <w:b w:val="0"/>
          <w:i w:val="0"/>
        </w:rPr>
        <w:t>Trên thực tế, hành động phái sinh là hai hành động riêng biệt: một là buộc hội đồng quản trị thực thi các quyền của công ty, và hai là thực sự thực thi các quyền đó. Bởi vì bản chất của một hành động phái sinh là các quyền cuối cùng tạo thành cơ sở để thu hồi thuộc về công ty, nên quyền kiểm soát hoạt động kinh doanh và các vấn đề của công ty của hội đồng quản trị cho phép hội đồng quản trị quản lý vụ kiện. Việc khăng khăng rằng hội đồng quản trị xem xét giá trị của vụ kiện tiềm năng bảo vệ lợi ích của công ty trong việc giữ các quyết định kinh doanh trong tầm kiểm soát của ban quản lý. Các tòa án cũng đã chỉ ra hai chính sách—cả hai đều nhằm ngăn chặn các vụ kiện và giảm chi phí kiện tụng—làm nền tảng cho yêu cầu khởi kiện. Thứ nhất, buộc nguyên đơn phải đưa ra yêu cầu thúc đẩy việc giải quyết tranh chấp nội bộ công ty; các cổ đông phải tìm kiếm hành động từ hội đồng quản trị và cạn kiệt các biện pháp khắc phục nội bộ trước khi theo đuổi khiếu nại của họ tại tòa án. Thứ hai, yêu cầu khởi kiện phục vụ mục đích ngăn cản việc nộp các khiếu nại vô căn cứ, những đơn kiện không có giá trị được nộp với mục đích trích xuất các thỏa thuận dàn xếp có giá trị gây phiền hà từ công ty. Do đó, yêu cầu khởi kiện thúc đẩy việc giải quyết các tranh chấp công ty bên ngoài phòng xử án và loại bỏ các vụ án phù phiếm khỏi lịch xét xử của tòa án.</w:t>
      </w:r>
    </w:p>
    <w:p>
      <w:pPr>
        <w:spacing w:after="80"/>
      </w:pPr>
      <w:r>
        <w:rPr>
          <w:b w:val="0"/>
          <w:i w:val="0"/>
        </w:rPr>
        <w:t>Trừ khi các giám đốc hoặc viên chức có lỗi đã rời khỏi công ty, hội đồng quản trị hầu như luôn từ chối các yêu cầu của cổ đông. Vì một loạt lý do mà chúng ta sẽ khám phá tiếp theo, các giám đốc miễn cưỡng theo đuổi các khiếu nại chống lại các đồng nghiệp trong hội đồng quản trị của họ hoặc các giám đốc điều hành không phải là giám đốc mà hội đồng quản trị đã giao phó trách nhiệm quản lý. Sau khi nhận được quyết định của công ty và xem xét các lý do được nêu của công ty để từ chối yêu cầu, cổ đông có thể chọn không theo đuổi vấn đề thêm nữa, hoặc cổ đông có thể tìm cách thực thi các khiếu nại của công ty một cách phái sinh và cáo buộc rằng hội đồng quản trị đã từ chối yêu cầu một cách sai trái. Vào thời điểm đó, công ty có thể sẽ phản hồi bằng cách yêu cầu bác bỏ đơn kiện của cổ đông, và tòa án có thể sẽ chấp thuận yêu cầu đó. Thật vậy, các tòa án rất hiếm khi từ chối các yêu cầu bác bỏ trong các vụ án từ chối yêu cầu. Cổ đông nguyên đơn đưa ra yêu cầu đã thừa nhận, theo luật, sự độc lập và không có lợi ích cá nhân của hội đồng quản trị và đã từ bỏ quyền lập luận rằng yêu cầu là vô ích hoặc được miễn trừ theo cách khác. Hơn nữa, quy tắc phán đoán kinh doanh (business judgment rule) bảo vệ quyết định từ chối yêu cầu của hội đồng quản trị. Nói cách khác, “[k]hi hội đồng quản trị xem xét một yêu cầu, và xác định rằng việc theo đuổi vụ kiện được yêu cầu không vì lợi ích của công ty, thì cổ đông sau đó không có tư cách để đưa vụ kiện ra một cách phái sinh, trừ khi việc từ chối của hội đồng quản trị là sai trái; nghĩa là, bản thân việc từ chối là vi phạm nghĩa vụ ủy thác của các giám đốc.” Nguyên đơn, sau đó, không chỉ phải cáo buộc đủ sự kiện để đưa ra một khiếu nại chống lại các bị đơn, mà nguyên đơn còn phải trình bày một cách cụ thể các sự kiện làm phát sinh nghi ngờ hợp lý rằng hội đồng quản trị đã thực hiện sự cẩn trọng cần thiết bằng cách từ chối yêu cầu của nguyên đơn. Gánh nặng trình bày kép này gần như không thể vượt qua nếu các hội đồng quản trị được cố vấn tốt điều tra các yêu cầu của cổ đông một cách thiện chí.</w:t>
      </w:r>
    </w:p>
    <w:p>
      <w:pPr>
        <w:spacing w:after="80"/>
      </w:pPr>
      <w:r>
        <w:rPr>
          <w:b w:val="0"/>
          <w:i w:val="0"/>
        </w:rPr>
        <w:t>Các luật sư có kinh nghiệm của cổ đông, do đó, hiếm khi khuyên khách hàng của họ đưa ra yêu cầu với hội đồng quản trị trước khi nộp đơn kiện phái sinh của họ. Thay vào đó, các cổ đông sẽ lập luận rằng yêu cầu là vô ích (demand futility). Nếu thẩm phán xem xét đồng ý, tòa án sẽ miễn trừ yêu cầu. Vì việc tuân thủ yêu cầu khởi kiện liên quan đến sự chậm trễ và một số chi phí tăng thêm, và vì các cổ đông khởi xướng yêu cầu từ bỏ quyền của họ để sau này cáo buộc yêu cầu là vô ích, các cổ đông thường xuyên chọn kiện mà không làm như vậy. Trong nghiên cứu của họ về các vụ kiện cổ đông được nộp tại các tòa án Delaware từ 1999 đến 2000, Giáo sư Robert Thompson và Randall Thomas đã báo cáo rằng các nguyên đơn lập luận yêu cầu là vô ích (yêu cầu được miễn trừ) trong gần như tất cả các vụ án phái sinh được tranh tụng trong khoảng thời gian đó. Tuy nhiên, các cổ đông nguyên đơn vẫn phải thỏa mãn các yêu cầu trình bày khắt khe. Fed. R. Civ. P. 23.1 và quy tắc tương ứng của Delaware yêu cầu rằng đơn kiện “cáo buộc một cách cụ thể . . . các lý do cho việc nguyên đơn không đạt được hành động hoặc không nỗ lực.”</w:t>
      </w:r>
    </w:p>
    <w:p>
      <w:pPr>
        <w:spacing w:after="80"/>
      </w:pPr>
      <w:r>
        <w:rPr>
          <w:b w:val="0"/>
          <w:i w:val="0"/>
        </w:rPr>
        <w:t>Khi nào thì các tòa án miễn trừ yêu cầu vì vô ích? Vụ án chính sau đây được quyết định bởi Tòa án Tối cao Delaware đưa ra tiêu chuẩn cho yêu cầu vô ích theo luật Delaware.</w:t>
      </w:r>
    </w:p>
    <w:p>
      <w:pPr>
        <w:pStyle w:val="Heading4"/>
      </w:pPr>
      <w:r>
        <w:rPr>
          <w:rFonts w:ascii="Calibri" w:hAnsi="Calibri"/>
          <w:b/>
          <w:i w:val="0"/>
          <w:sz w:val="23"/>
        </w:rPr>
        <w:t>Aronson v. Lewis</w:t>
      </w:r>
    </w:p>
    <w:p>
      <w:pPr>
        <w:spacing w:after="80"/>
      </w:pPr>
      <w:r>
        <w:rPr>
          <w:b w:val="0"/>
          <w:i w:val="0"/>
        </w:rPr>
        <w:t>Tòa án Tối cao Delaware</w:t>
      </w:r>
      <w:r>
        <w:br/>
      </w:r>
      <w:r>
        <w:rPr>
          <w:b w:val="0"/>
          <w:i w:val="0"/>
        </w:rPr>
        <w:t xml:space="preserve"> 473 A.2d 805 (1984)</w:t>
      </w:r>
    </w:p>
    <w:p>
      <w:pPr>
        <w:spacing w:after="80"/>
      </w:pPr>
      <w:r>
        <w:rPr>
          <w:b w:val="0"/>
          <w:i w:val="0"/>
        </w:rPr>
        <w:t>THẨM PHÁN MOORE :</w:t>
      </w:r>
    </w:p>
    <w:p>
      <w:pPr>
        <w:spacing w:after="80"/>
      </w:pPr>
      <w:r>
        <w:rPr>
          <w:b w:val="0"/>
          <w:i w:val="0"/>
        </w:rPr>
        <w:t>[K]hi nào thì yêu cầu của một cổ đông đối với hội đồng quản trị, để khắc phục một sai trái bị cáo buộc đối với công ty, được miễn trừ vì vô ích trước khi nộp đơn kiện phái sinh? Chúng tôi đã chấp thuận kháng cáo giữa chừng này cho các bị đơn, Meyers Parking System, Inc. (Meyers), một công ty Delaware, và các giám đốc của nó, để xem xét việc Tòa án Chancery từ chối yêu cầu bác bỏ hành động này, theo Quy tắc Chancery 23.1, vì nguyên đơn không đưa ra yêu cầu như vậy hoặc không chứng minh được tính vô ích của nó. Phó Thẩm phán (Vice Chancellor) đã phán quyết rằng các cáo buộc của nguyên đơn làm phát sinh một “suy luận hợp lý” rằng hành động của các giám đốc không được bảo vệ bởi quy tắc phán đoán kinh doanh. Do đó, hội đồng quản trị không thể đã xem xét và hành động một cách vô tư đối với yêu cầu.</w:t>
      </w:r>
    </w:p>
    <w:p>
      <w:pPr>
        <w:spacing w:after="80"/>
      </w:pPr>
      <w:r>
        <w:rPr>
          <w:b w:val="0"/>
          <w:i w:val="0"/>
        </w:rPr>
        <w:t>Chúng tôi không thể đồng ý với cách diễn đạt này về khái niệm yêu cầu vô ích. Theo quan điểm của chúng tôi, yêu cầu chỉ có thể được miễn trừ khi các sự kiện được cáo buộc một cách cụ thể tạo ra nghi ngờ hợp lý rằng hành động của các giám đốc được hưởng sự bảo vệ của quy tắc phán đoán kinh doanh. Vì nguyên đơn không đưa ra yêu cầu, và không cáo buộc các sự kiện một cách cụ thể chỉ ra rằng yêu cầu như vậy sẽ là vô ích, chúng tôi đảo ngược Tòa án Chancery và chuyển lại với chỉ thị rằng nguyên đơn được cho phép sửa đổi đơn kiện.</w:t>
      </w:r>
    </w:p>
    <w:p>
      <w:pPr>
        <w:spacing w:after="80"/>
      </w:pPr>
      <w:r>
        <w:rPr>
          <w:b w:val="0"/>
          <w:i w:val="0"/>
        </w:rPr>
        <w:t>Các vấn đề về yêu cầu vô ích dựa trên các cáo buộc của đơn kiện. Nguyên đơn, Harry Lewis, là một cổ đông của Meyers. Các bị đơn là Meyers và mười giám đốc của nó, một số người trong số họ cũng là viên chức của công ty.</w:t>
      </w:r>
    </w:p>
    <w:p>
      <w:pPr>
        <w:spacing w:after="80"/>
      </w:pPr>
      <w:r>
        <w:rPr>
          <w:b w:val="0"/>
          <w:i w:val="0"/>
        </w:rPr>
        <w:t>Vụ kiện này thách thức một số giao dịch giữa Meyers và một trong các giám đốc của nó, Leo Fink, người sở hữu 47% cổ phần đang lưu hành của nó. Nguyên đơn cho rằng các giao dịch này chỉ được chấp thuận vì Fink đích thân chọn từng giám đốc và viên chức của Meyers.</w:t>
      </w:r>
    </w:p>
    <w:p>
      <w:pPr>
        <w:spacing w:after="80"/>
      </w:pPr>
      <w:r>
        <w:rPr>
          <w:b w:val="0"/>
          <w:i w:val="0"/>
        </w:rPr>
        <w:t>Vào ngày 1 tháng 1 năm 1981, các bị đơn đã chấp thuận một thỏa thuận lao động giữa Meyers và Fink trong thời hạn năm năm với điều khoản tự động gia hạn mỗi năm sau đó, vô thời hạn. Meyers đồng ý trả cho Fink $150,000 mỗi năm, cộng với tiền thưởng 5% lợi nhuận trước thuế trên $2,400,000. Fink có thể chấm dứt hợp đồng bất cứ lúc nào, nhưng Meyers chỉ có thể làm như vậy khi có thông báo trước sáu tháng. Khi chấm dứt, Fink sẽ trở thành cố vấn cho Meyers và được trả $150,000 mỗi năm trong ba năm đầu tiên, $125,000 cho ba năm tiếp theo, và $100,000 sau đó cho đến hết đời. Trợ cấp tử tuất cũng được bao gồm. Fink đồng ý dành những nỗ lực tốt nhất và về cơ bản toàn bộ thời gian kinh doanh của mình để thúc đẩy lợi ích của Meyers. Thỏa thuận cũng quy định rằng thù lao của Fink sẽ không bị ảnh hưởng bởi bất kỳ sự không có khả năng thực hiện dịch vụ thay mặt Meyers. Fink đã 75 tuổi khi thỏa thuận lao động của ông với Meyers được các giám đốc chấp thuận. Không có cáo buộc rằng ông đã, hoặc đang, có sức khỏe kém.</w:t>
      </w:r>
    </w:p>
    <w:p>
      <w:pPr>
        <w:spacing w:after="80"/>
      </w:pPr>
      <w:r>
        <w:rPr>
          <w:b w:val="0"/>
          <w:i w:val="0"/>
        </w:rPr>
        <w:t>Ngoài ra, hội đồng quản trị Meyers đã chấp thuận và thực hiện các khoản vay không lãi suất cho Fink với tổng cộng $225,000. Các khoản vay này chưa được trả và còn tồn đọng tính đến tháng 8 năm 1982 khi đơn kiện được nộp. Tại phiên tranh luận miệng, luật sư của các bị đơn đại diện rằng các khoản vay này đã được trả đầy đủ.</w:t>
      </w:r>
    </w:p>
    <w:p>
      <w:pPr>
        <w:spacing w:after="80"/>
      </w:pPr>
      <w:r>
        <w:rPr>
          <w:b w:val="0"/>
          <w:i w:val="0"/>
        </w:rPr>
        <w:t>Lời khiếu nại cáo buộc rằng những giao dịch này "không có mục đích kinh doanh hợp lệ" và là "sự lãng phí tài sản của công ty" bởi vì số tiền phải trả là "quá mức thái quá", rằng Fink "không thực hiện hoặc thực hiện rất ít dịch vụ", và vì "tuổi cao" của ông nên không thể "được kỳ vọng sẽ thực hiện bất kỳ dịch vụ nào như vậy". Nguyên đơn cũng cáo buộc rằng sự tồn tại của thỏa thuận tư vấn Prudential với Fink khiến ông không thể dành "nỗ lực tốt nhất" của mình cho Meyers. Cuối cùng, người ta cáo buộc rằng các khoản cho vay đối với Fink thực chất là "thù lao bổ sung" mà không có bất kỳ "sự đền đáp" hay "lợi ích" nào cho Meyers.</w:t>
      </w:r>
    </w:p>
    <w:p>
      <w:pPr>
        <w:spacing w:after="80"/>
      </w:pPr>
      <w:r>
        <w:rPr>
          <w:b w:val="0"/>
          <w:i w:val="0"/>
        </w:rPr>
        <w:t>Lời khiếu nại cáo buộc rằng không có yêu cầu nào được gửi tới hội đồng quản trị Meyers bởi vì:</w:t>
      </w:r>
    </w:p>
    <w:p>
      <w:pPr>
        <w:spacing w:after="80"/>
      </w:pPr>
      <w:r>
        <w:rPr>
          <w:b w:val="0"/>
          <w:i w:val="0"/>
        </w:rPr>
        <w:t>. . . nỗ lực như vậy sẽ là vô ích vì những lý do sau:</w:t>
      </w:r>
    </w:p>
    <w:p>
      <w:pPr>
        <w:spacing w:after="80"/>
      </w:pPr>
      <w:r>
        <w:rPr>
          <w:b w:val="0"/>
          <w:i w:val="0"/>
        </w:rPr>
        <w:t>(a) Tất cả các giám đốc đương nhiệm đều được nêu tên làm bị đơn trong vụ này và họ đã tham gia, phê duyệt rõ ràng và/hoặc ngầm đồng ý, và phải chịu trách nhiệm cá nhân về những sai trái bị khiếu nại trong vụ này.</w:t>
      </w:r>
    </w:p>
    <w:p>
      <w:pPr>
        <w:spacing w:after="80"/>
      </w:pPr>
      <w:r>
        <w:rPr>
          <w:b w:val="0"/>
          <w:i w:val="0"/>
        </w:rPr>
        <w:t>(b) Bị đơn Fink, với việc đã chọn từng giám đốc, kiểm soát và chi phối mọi thành viên của Hội đồng quản trị và mọi viên chức của Meyers.</w:t>
      </w:r>
    </w:p>
    <w:p>
      <w:pPr>
        <w:spacing w:after="80"/>
      </w:pPr>
      <w:r>
        <w:rPr>
          <w:b w:val="0"/>
          <w:i w:val="0"/>
        </w:rPr>
        <w:t>(c) Việc các giám đốc hiện tại khởi kiện vụ này sẽ buộc các giám đốc-bị đơn phải kiện chính mình, từ đó đặt việc tiến hành vụ kiện này vào tay những người thù địch và ngăn cản việc truy tố hiệu quả.</w:t>
      </w:r>
    </w:p>
    <w:p>
      <w:pPr>
        <w:spacing w:after="80"/>
      </w:pPr>
      <w:r>
        <w:rPr>
          <w:b w:val="0"/>
          <w:i w:val="0"/>
        </w:rPr>
        <w:t>Thẩm phán xét xử đã nhận định đúng rằng tính vô ích được đánh giá dựa trên các tình huống tồn tại vào thời điểm bắt đầu một vụ kiện phái sinh. Điều này bác bỏ lập luận của nguyên đơn rằng đề nghị bác bỏ của các bị đơn đã chứng minh sự thù địch của hội đồng quản trị và tính vô ích của yêu cầu.</w:t>
      </w:r>
    </w:p>
    <w:p>
      <w:pPr>
        <w:spacing w:after="80"/>
      </w:pPr>
      <w:r>
        <w:rPr>
          <w:b w:val="0"/>
          <w:i w:val="0"/>
        </w:rPr>
        <w:t>Sau đó Phó Chánh án xử lý lập luận của nguyên đơn rằng Fink, với tư cách là cổ đông nắm 47% cổ phần của Meyers, chi phối và kiểm soát từng giám đốc, do đó khiến yêu cầu trở nên vô ích. Sau khi lưu ý đến các giả định theo quy tắc phán đoán kinh doanh rằng các hành động của hội đồng quản trị được thực hiện với thiện chí và vì lợi ích tốt nhất của công ty, Tòa án Chancery đã phán quyết rằng việc hội đồng quản trị chỉ đơn thuần phê duyệt một giao dịch mang lại lợi ích cho một cổ đông đáng kể nhưng không chiếm đa số sẽ không thể bác bỏ giả định về tính thích đáng.</w:t>
      </w:r>
    </w:p>
    <w:p>
      <w:pPr>
        <w:spacing w:after="80"/>
      </w:pPr>
      <w:r>
        <w:rPr>
          <w:b w:val="0"/>
          <w:i w:val="0"/>
        </w:rPr>
        <w:t>Chuyển sang các cáo buộc của nguyên đơn về việc hội đồng quản trị phê duyệt, tham gia và/hoặc ngầm đồng ý với sai trái, tòa án xét xử tập trung vào giao dịch cơ bản để xác định liệu hành động của hội đồng quản trị có sai trái hay không và có được bảo vệ bởi quy tắc phán đoán kinh doanh hay không.</w:t>
      </w:r>
    </w:p>
    <w:p>
      <w:pPr>
        <w:spacing w:after="80"/>
      </w:pPr>
      <w:r>
        <w:rPr>
          <w:b w:val="0"/>
          <w:i w:val="0"/>
        </w:rPr>
        <w:t>Sau đó tòa án xét xử tuyên bố rằng việc hội đồng quản trị phê duyệt thỏa thuận Meyers-Fink, cho phép thù lao tư vấn của Fink không bị ảnh hưởng bởi khả năng thực hiện bất kỳ dịch vụ nào của ông, có thể là một giao dịch lãng phí ngay trên bề mặt. Do đó, yêu cầu đã được miễn trừ vì vô ích, bởi vì các giám đốc của Meyers đối mặt với trách nhiệm tiềm tàng về sự lãng phí và không thể xem xét yêu cầu một cách vô tư. . . .</w:t>
      </w:r>
    </w:p>
    <w:p>
      <w:pPr>
        <w:spacing w:after="80"/>
      </w:pPr>
      <w:r>
        <w:rPr>
          <w:b w:val="0"/>
          <w:i w:val="0"/>
        </w:rPr>
        <w:t>Một nguyên tắc cốt lõi của Luật Công ty Tổng quát của Bang Delaware là các giám đốc, chứ không phải cổ đông, quản lý hoạt động kinh doanh và các vấn đề của công ty. Một cổ đông không phải là bất lực trong việc thách thức hành động của giám đốc dẫn đến tổn hại cho công ty. Vụ kiện phái sinh được phát triển trong luật công bằng để cho phép cổ đông kiện nhân danh công ty khi những người kiểm soát công ty từ chối đòi một khiếu nại thuộc về công ty. Bản chất của vụ kiện này có hai mặt. Thứ nhất, nó tương đương với một vụ kiện của các cổ đông để buộc công ty phải kiện. Thứ hai, nó là một vụ kiện của công ty, được các cổ đông đưa ra thay mặt công ty, chống lại những người có trách nhiệm với công ty.</w:t>
      </w:r>
    </w:p>
    <w:p>
      <w:pPr>
        <w:spacing w:after="80"/>
      </w:pPr>
      <w:r>
        <w:rPr>
          <w:b w:val="0"/>
          <w:i w:val="0"/>
        </w:rPr>
        <w:t>Do chính bản chất của nó, vụ kiện phái sinh xâm phạm quyền tự do quản lý của các giám đốc. Do đó, yêu cầu về yêu cầu cầu khiến theo Quy tắc 23.1 của Chancery tồn tại ngay từ ngưỡng đầu tiên, trước tiên để đảm bảo rằng một cổ đông đã cạn kiệt các biện pháp khắc phục nội bộ công ty của mình, và sau đó để cung cấp một biện pháp bảo vệ chống lại các vụ kiện mang tính tống tiền. Như vậy, bằng cách thúc đẩy hình thức giải quyết tranh chấp thay thế này, thay vì viện đến kiện tụng ngay lập tức, yêu cầu về yêu cầu cầu khiến là sự công nhận nguyên tắc cơ bản rằng các giám đốc quản lý hoạt động kinh doanh và các vấn đề của công ty.</w:t>
      </w:r>
    </w:p>
    <w:p>
      <w:pPr>
        <w:spacing w:after="80"/>
      </w:pPr>
      <w:r>
        <w:rPr>
          <w:b w:val="0"/>
          <w:i w:val="0"/>
        </w:rPr>
        <w:t>Theo quan điểm của chúng tôi, toàn bộ vấn đề về tính vô ích của yêu cầu gắn bó chặt chẽ với các vấn đề về phán đoán kinh doanh và các tiêu chuẩn áp dụng của học thuyết đó. Quy tắc phán đoán kinh doanh là sự công nhận các đặc quyền quản lý của các giám đốc Delaware. Đó là một giả định rằng khi đưa ra một quyết định kinh doanh, các giám đốc của một công ty đã hành động trên cơ sở được thông tin đầy đủ, với thiện chí và với niềm tin trung thực rằng hành động được thực hiện là vì lợi ích tốt nhất của công ty. Nếu không có sự lạm dụng quyền tùy ý, phán đoán đó sẽ được tòa án tôn trọng. Nghĩa vụ chứng minh thuộc về bên thách thức quyết định để thiết lập các sự kiện bác bỏ giả định đó.</w:t>
      </w:r>
    </w:p>
    <w:p>
      <w:pPr>
        <w:spacing w:after="80"/>
      </w:pPr>
      <w:r>
        <w:rPr>
          <w:b w:val="0"/>
          <w:i w:val="0"/>
        </w:rPr>
        <w:t>Chức năng của quy tắc phán đoán kinh doanh có tầm quan trọng tối cao trong bối cảnh một vụ kiện phái sinh. Nó phát huy tác dụng theo nhiều cách—khi giải quyết một yêu cầu, khi xác định tính vô ích của yêu cầu, trong nỗ lực của các giám đốc độc lập không có lợi ích nhằm bác bỏ vụ kiện vì cho rằng nó bất lợi cho lợi ích tốt nhất của công ty, và nói chung, như một biện pháp bảo vệ đối với nội dung của vụ kiện. Tuy nhiên, trong mỗi tình huống này đều có những nguyên tắc chung nhất định chi phối việc áp dụng và vận hành của quy tắc.</w:t>
      </w:r>
    </w:p>
    <w:p>
      <w:pPr>
        <w:spacing w:after="80"/>
      </w:pPr>
      <w:r>
        <w:rPr>
          <w:b w:val="0"/>
          <w:i w:val="0"/>
        </w:rPr>
        <w:t>Thứ nhất, các biện pháp bảo vệ của nó chỉ có thể được yêu cầu bởi các giám đốc không có lợi ích mà hành vi của họ đáp ứng các bài kiểm tra của phán đoán kinh doanh. Từ quan điểm về lợi ích, điều này có nghĩa là các giám đốc không thể đứng ở cả hai phía của một giao dịch cũng như không thể mong đợi thu được bất kỳ lợi ích tài chính cá nhân nào từ nó theo nghĩa tự giao dịch, trái ngược với một lợi ích thuộc về công ty hoặc tất cả các cổ đông nói chung. Do đó, nếu có lợi ích của giám đốc như vậy, và giao dịch không được phê duyệt bởi đa số bao gồm các giám đốc không có lợi ích, thì quy tắc phán đoán kinh doanh hoàn toàn không được áp dụng trong việc xác định tính vô ích của yêu cầu.</w:t>
      </w:r>
    </w:p>
    <w:p>
      <w:pPr>
        <w:spacing w:after="80"/>
      </w:pPr>
      <w:r>
        <w:rPr>
          <w:b w:val="0"/>
          <w:i w:val="0"/>
        </w:rPr>
        <w:t>Thứ hai, để viện dẫn sự bảo vệ của quy tắc, các giám đốc có nghĩa vụ tự thông tin cho mình, trước khi đưa ra quyết định kinh doanh, về tất cả thông tin trọng yếu có sẵn một cách hợp lý cho họ. Sau khi đã được thông tin như vậy, họ phải hành động với sự cẩn trọng cần thiết trong việc thực hiện nhiệm vụ của mình. Mặc dù các án lệ Delaware sử dụng nhiều thuật ngữ khác nhau để mô tả tiêu chuẩn chăm sóc áp dụng, phân tích của chúng tôi khiến chúng tôi hài lòng rằng theo quy tắc phán đoán kinh doanh, trách nhiệm của giám đốc được dựa trên các khái niệm về sự sơ suất nghiêm trọng.</w:t>
      </w:r>
    </w:p>
    <w:p>
      <w:pPr>
        <w:spacing w:after="80"/>
      </w:pPr>
      <w:r>
        <w:rPr>
          <w:b w:val="0"/>
          <w:i w:val="0"/>
        </w:rPr>
        <w:t>Tuy nhiên, cần lưu ý rằng quy tắc phán đoán kinh doanh (business judgment rule) chỉ vận hành trong bối cảnh hành động của giám đốc. Về mặt kỹ thuật, nó không có vai trò gì khi các giám đốc đã thoái thác chức năng của mình, hoặc không có quyết định có ý thức mà đã không hành động. Nhưng cũng theo đó, dưới các nguyên tắc hiện hành, một quyết định có ý thức về việc không hành động vẫn có thể là một sự thực thi hợp lệ quyền phán đoán kinh doanh và được hưởng các bảo vệ của quy tắc này.</w:t>
      </w:r>
    </w:p>
    <w:p>
      <w:pPr>
        <w:spacing w:after="80"/>
      </w:pPr>
      <w:r>
        <w:rPr>
          <w:b w:val="0"/>
          <w:i w:val="0"/>
        </w:rPr>
        <w:t xml:space="preserve">Lỗ hổng trong luật của chúng ta, mà chúng ta giải quyết hôm nay, phát sinh từ phán quyết của Tòa án này trong vụ </w:t>
      </w:r>
      <w:r>
        <w:rPr>
          <w:b w:val="0"/>
          <w:i/>
        </w:rPr>
        <w:t>Zapata Corp. v. Maldonado.</w:t>
      </w:r>
      <w:r>
        <w:rPr>
          <w:b w:val="0"/>
          <w:i w:val="0"/>
        </w:rPr>
        <w:t xml:space="preserve"> Theo </w:t>
      </w:r>
      <w:r>
        <w:rPr>
          <w:b w:val="0"/>
          <w:i/>
        </w:rPr>
        <w:t>Zapata</w:t>
      </w:r>
      <w:r>
        <w:rPr>
          <w:b w:val="0"/>
          <w:i w:val="0"/>
        </w:rPr>
        <w:t>, Tòa án Chancery, khi xem xét đơn yêu cầu bác bỏ một vụ kiện phái sinh (derivative action) trong trường hợp được miễn yêu cầu (demand excused), phải áp dụng một bài kiểm tra hai bước. Thứ nhất, tòa án phải điều tra về tính độc lập và thiện chí của ủy ban và xem xét tính hợp lý và thiện chí trong cuộc điều tra của ủy ban. Thứ hai, tòa án phải áp dụng phán đoán kinh doanh độc lập của chính mình để quyết định liệu đơn yêu cầu bác bỏ có nên được chấp thuận hay không.</w:t>
      </w:r>
    </w:p>
    <w:p>
      <w:pPr>
        <w:spacing w:after="80"/>
      </w:pPr>
      <w:r>
        <w:rPr>
          <w:b w:val="0"/>
          <w:i w:val="0"/>
        </w:rPr>
        <w:t xml:space="preserve">Sau </w:t>
      </w:r>
      <w:r>
        <w:rPr>
          <w:b w:val="0"/>
          <w:i/>
        </w:rPr>
        <w:t>Zapata</w:t>
      </w:r>
      <w:r>
        <w:rPr>
          <w:b w:val="0"/>
          <w:i w:val="0"/>
        </w:rPr>
        <w:t xml:space="preserve">, nhiều vụ kiện phái sinh đã được nộp mà không có yêu cầu trước gửi đến hội đồng quản trị. Các đơn khởi kiện trong những vụ như vậy đều cáo buộc rằng yêu cầu được miễn vì lợi ích, sự chấp thuận hoặc sự thỏa hiệp của hội đồng đối với hành vi sai trái. Dù sao đi nữa, sự phân nhánh giữa miễn yêu cầu/từ chối yêu cầu của </w:t>
      </w:r>
      <w:r>
        <w:rPr>
          <w:b w:val="0"/>
          <w:i/>
        </w:rPr>
        <w:t>Zapata</w:t>
      </w:r>
      <w:r>
        <w:rPr>
          <w:b w:val="0"/>
          <w:i w:val="0"/>
        </w:rPr>
        <w:t xml:space="preserve"> đã để lại một vấn đề then chốt chưa được giải đáp: khi nào thì yêu cầu là vô ích và do đó được miễn?</w:t>
      </w:r>
    </w:p>
    <w:p>
      <w:pPr>
        <w:spacing w:after="80"/>
      </w:pPr>
      <w:r>
        <w:rPr>
          <w:b w:val="0"/>
          <w:i w:val="0"/>
        </w:rPr>
        <w:t>Các tòa án Delaware đã giải quyết vấn đề yêu cầu vô ích (demand futility) trong một số dịp trước đây. Quy tắc nổi lên từ những phán quyết này là khi các cán bộ và giám đốc chịu ảnh hưởng làm tê liệt quyền tùy nghi của họ, họ không thể được coi là những người phù hợp để tiến hành tố tụng thay mặt cho công ty. Do đó, yêu cầu sẽ là vô ích.</w:t>
      </w:r>
    </w:p>
    <w:p>
      <w:pPr>
        <w:spacing w:after="80"/>
      </w:pPr>
      <w:r>
        <w:rPr>
          <w:b w:val="0"/>
          <w:i w:val="0"/>
        </w:rPr>
        <w:t>Tuy nhiên, những vụ án đó không thể được hiểu là bất kỳ sự chấp thuận nào của hội đồng đối với một giao dịch bị thách thức đều tự động ngụ ý "lợi ích thù địch" và "sự tham gia có tội" của các giám đốc, hay một số hình thức ảnh hưởng làm tê liệt nào khác đối với họ. Nếu đúng như vậy, các yêu cầu về demand trong luật của chúng ta sẽ trở nên vô nghĩa, khiến mệnh lệnh rõ ràng của Quy tắc Chancery 23.1 mất đi mục đích và thực chất của nó.</w:t>
      </w:r>
    </w:p>
    <w:p>
      <w:pPr>
        <w:spacing w:after="80"/>
      </w:pPr>
      <w:r>
        <w:rPr>
          <w:b w:val="0"/>
          <w:i w:val="0"/>
        </w:rPr>
        <w:t>Tòa án sơ thẩm đã nhận định đúng rằng yêu cầu vô ích gắn bó chặt chẽ với các vấn đề phán đoán kinh doanh, nhưng lại tuyên bố bài kiểm tra phải dựa trên các cáo buộc về sự kiện mà, nếu đúng, "cho thấy có một suy luận hợp lý" rằng quy tắc phán đoán kinh doanh không được áp dụng cho mục đích của một yêu cầu trước khi khởi kiện.</w:t>
      </w:r>
    </w:p>
    <w:p>
      <w:pPr>
        <w:spacing w:after="80"/>
      </w:pPr>
      <w:r>
        <w:rPr>
          <w:b w:val="0"/>
          <w:i w:val="0"/>
        </w:rPr>
        <w:t>Vấn đề với cách diễn đạt này là khái niệm về các suy luận hợp lý được rút ra chống lại hội đồng quản trị dựa trên các cáo buộc trong đơn khởi kiện. Như rõ ràng từ vụ án này, và các cáo buộc mang tính kết luận mà Phó Chánh án dựa vào, yêu cầu vô ích trở nên gần như tự động dưới một bài kiểm tra như vậy. Ghi nhớ các giả định bao bọc lấy hành động của giám đốc, chúng tôi tin rằng vấn đề phải được tiếp cận theo một cách cân bằng hơn.</w:t>
      </w:r>
    </w:p>
    <w:p>
      <w:pPr>
        <w:spacing w:after="80"/>
      </w:pPr>
      <w:r>
        <w:rPr>
          <w:b w:val="0"/>
          <w:i w:val="0"/>
        </w:rPr>
        <w:t>Quan điểm của chúng tôi là khi xác định yêu cầu vô ích, Tòa án Chancery trong việc thực thi đúng đắn quyền tùy nghi của mình phải quyết định liệu, dựa trên các sự kiện cụ thể được cáo buộc, có tạo ra một nghi ngờ hợp lý rằng: (1) các giám đốc không có lợi ích và độc lập và (2) giao dịch bị thách thức là sản phẩm của một sự thực thi hợp lệ quyền phán đoán kinh doanh. Do đó, Tòa án Chancery phải thực hiện hai cuộc điều tra, một về tính độc lập và không có lợi ích của các giám đốc và một về bản chất thực chất của giao dịch bị thách thức và sự chấp thuận của hội đồng đối với giao dịch đó. Đối với cuộc điều tra thứ hai, tòa án không giả định rằng giao dịch là một sai trái đối với công ty đòi hỏi các bước khắc phục của hội đồng. Thay vào đó, sai trái được cáo buộc được xem xét về mặt thực chất dựa trên bối cảnh sự kiện được cáo buộc trong đơn khởi kiện. Đối với cuộc điều tra thứ nhất, tính độc lập và không có lợi ích của giám đốc, tòa án xem xét các cáo buộc về sự kiện để quyết định liệu chúng có nêu lên một nghi ngờ hợp lý, như một vấn đề ngưỡng ban đầu, rằng các bảo vệ của quy tắc phán đoán kinh doanh có sẵn cho hội đồng hay không. Chắc chắn, nếu đây là một giao dịch của giám đốc "có lợi ích", đến mức quy tắc phán đoán kinh doanh không thể áp dụng cho đa số hội đồng chấp thuận giao dịch, thì cuộc điều tra chấm dứt. Trong trường hợp đó, tính vô ích của yêu cầu đã được xác lập theo bất kỳ tiêu chuẩn khách quan hay chủ quan nào. Điều này bao gồm các tình huống liên quan đến các giám đốc tự giao dịch (self-dealing).</w:t>
      </w:r>
    </w:p>
    <w:p>
      <w:pPr>
        <w:spacing w:after="80"/>
      </w:pPr>
      <w:r>
        <w:rPr>
          <w:b w:val="0"/>
          <w:i w:val="0"/>
        </w:rPr>
        <w:t>Tuy nhiên, chỉ riêng mối đe dọa về trách nhiệm cá nhân vì đã chấp thuận một giao dịch bị nghi vấn là không đủ để thách thức tính độc lập hoặc không có lợi ích của các giám đốc, mặc dù trong những trường hợp hiếm hoi, một giao dịch có thể quá trắng trợn ngay trên bề mặt đến mức sự chấp thuận của hội đồng không thể đáp ứng bài kiểm tra phán đoán kinh doanh, và do đó tồn tại một khả năng đáng kể về trách nhiệm của giám đốc. Tóm lại, toàn bộ việc xem xét mang tính chất sự kiện. Tòa án Chancery trong việc thực thi quyền tùy nghi sáng suốt của mình phải hài lòng rằng nguyên đơn đã cáo buộc các sự kiện với tính cụ thể mà, nếu được coi là đúng, hỗ trợ một nghi ngờ hợp lý rằng giao dịch bị thách thức là sản phẩm của một sự thực thi hợp lệ quyền phán đoán kinh doanh. Chỉ trong bối cảnh đó thì yêu cầu mới được miễn. . . .</w:t>
      </w:r>
    </w:p>
    <w:p>
      <w:pPr>
        <w:spacing w:after="80"/>
      </w:pPr>
      <w:r>
        <w:rPr>
          <w:b w:val="0"/>
          <w:i w:val="0"/>
        </w:rPr>
        <w:t>Sau khi đã phác thảo khuôn khổ pháp lý trong đó các vấn đề này sẽ được xác định, chúng tôi xem xét các tuyên bố về tính vô ích của nguyên đơn ở đây: sự thống trị và kiểm soát của Fink đối với các giám đốc, sự chấp thuận của hội đồng đối với thỏa thuận lao động Fink-Meyers, và sự thù địch của hội đồng đối với vụ kiện phái sinh của nguyên đơn do tình trạng của các giám đốc là bị đơn.</w:t>
      </w:r>
    </w:p>
    <w:p>
      <w:pPr>
        <w:spacing w:after="80"/>
      </w:pPr>
      <w:r>
        <w:rPr>
          <w:b w:val="0"/>
          <w:i w:val="0"/>
        </w:rPr>
        <w:t>Tuyên bố của nguyên đơn rằng Fink thống trị và kiểm soát hội đồng của Meyers dựa trên: (1) việc Fink sở hữu 47% cổ phần đang lưu hành của Meyers, và (2) rằng ông "cá nhân lựa chọn" từng giám đốc của Meyers. Nguyên đơn cũng cáo buộc rằng chỉ riêng việc chấp thuận thỏa thuận lao động đã minh họa cho sự thống trị và kiểm soát của Fink đối với hội đồng. Ngoài ra, nguyên đơn lập luận khi kháng cáo rằng việc sở hữu 47% cổ phần, dù ít hơn đa số, đã cấu thành sự kiểm soát do số lượng lớn cổ phần đang lưu hành, 1,245,745.</w:t>
      </w:r>
    </w:p>
    <w:p>
      <w:pPr>
        <w:spacing w:after="80"/>
      </w:pPr>
      <w:r>
        <w:rPr>
          <w:b w:val="0"/>
          <w:i w:val="0"/>
        </w:rPr>
        <w:t>Những lập luận như vậy không hỗ trợ bất kỳ tuyên bố nào theo luật Delaware rằng các giám đốc này thiếu tính độc lập. Trong bối cảnh yêu cầu, ngay cả bằng chứng về việc sở hữu đa số một công ty cũng không tước đi các giả định về tính độc lập của các giám đốc, và rằng các hành vi của họ đã được thực hiện với thiện chí và vì lợi ích tốt nhất của công ty. Phải đi kèm với cáo buộc về kiểm soát là những sự kiện như sẽ chứng minh rằng thông qua các mối quan hệ cá nhân hoặc khác, các giám đốc mang ơn người kiểm soát. Cho đến nay, các phán quyết chính giải quyết vấn đề kiểm soát hoặc thống trị chỉ phát sinh sau một phiên xét xử đầy đủ về nội dung. Do đó, chúng có thể phân biệt được trong bối cảnh yêu cầu trừ khi các sự kiện cụ thể tương tự được cáo buộc để đáp ứng bài kiểm tra của Quy tắc Chancery 23.1.</w:t>
      </w:r>
    </w:p>
    <w:p>
      <w:pPr>
        <w:spacing w:after="80"/>
      </w:pPr>
      <w:r>
        <w:rPr>
          <w:b w:val="0"/>
          <w:i w:val="0"/>
        </w:rPr>
        <w:t>Yêu cầu về tính độc lập của giám đốc vốn có trong quan niệm và lý lẽ của quy tắc phán đoán kinh doanh. Giả định về tính đúng đắn xuất phát từ việc thực thi quyền phán đoán kinh doanh một phần dựa trên nguyên tắc không lay chuyển này. Tính độc lập có nghĩa là quyết định của một giám đốc dựa trên các giá trị công ty của vấn đề trước hội đồng thay vì những cân nhắc hoặc ảnh hưởng ngoại lai. Mặc dù các giám đốc có thể hội ý, tranh luận và giải quyết những khác biệt của mình thông qua thỏa hiệp, hoặc bằng cách dựa dẫm hợp lý vào chuyên môn của các đồng nghiệp và những người có trình độ khác, kết quả cuối cùng, dù sao đi nữa, phải là mỗi giám đốc đã đưa ra phán đoán kinh doanh được thông tin của riêng mình để áp dụng một cách cụ thể vào các giá trị công ty của các vấn đề mà không quan tâm đến hoặc khuất phục trước những ảnh hưởng biến một quyết định kinh doanh vốn hợp lệ thành một hành vi bất trung.</w:t>
      </w:r>
    </w:p>
    <w:p>
      <w:pPr>
        <w:spacing w:after="80"/>
      </w:pPr>
      <w:r>
        <w:rPr>
          <w:b w:val="0"/>
          <w:i w:val="0"/>
        </w:rPr>
        <w:t>Do đó, không đủ để cáo buộc rằng một giám đốc được đề cử bởi hoặc được bầu theo yêu cầu của những người kiểm soát kết quả của một cuộc bầu cử công ty. Đó là cách thông thường mà một người trở thành giám đốc công ty. Chính sự chăm sóc, sự quan tâm và ý thức trách nhiệm cá nhân đối với việc thực hiện nhiệm vụ của mình, chứ không phải phương thức bầu cử, thường liên quan đến tính độc lập. . . .</w:t>
      </w:r>
    </w:p>
    <w:p>
      <w:pPr>
        <w:spacing w:after="80"/>
      </w:pPr>
      <w:r>
        <w:rPr>
          <w:b w:val="0"/>
          <w:i w:val="0"/>
        </w:rPr>
        <w:t>Chúng tôi kết luận rằng trong bối cảnh yêu cầu vô ích, một nguyên đơn cáo buộc sự thống trị và kiểm soát của một hoặc nhiều giám đốc phải cáo buộc các sự kiện cụ thể thể hiện "một sự định hướng hành vi công ty theo cách phù hợp với mong muốn hoặc lợi ích của công ty (hoặc người) đang kiểm soát." Câu khẩu hiệu tóm tắt "các giám đốc bị thống trị và kiểm soát" là không đủ. Chúng tôi nhấn mạnh rằng nguyên đơn chỉ cần cáo buộc các sự kiện cụ thể; anh ta không cần phải trình bày bằng chứng. Nếu không, anh ta sẽ bị buộc phải đưa ra những cáo buộc có thể không phù hợp với nghĩa vụ của mình theo Quy tắc Chancery 11.</w:t>
      </w:r>
    </w:p>
    <w:p>
      <w:pPr>
        <w:spacing w:after="80"/>
      </w:pPr>
      <w:r>
        <w:rPr>
          <w:b w:val="0"/>
          <w:i w:val="0"/>
        </w:rPr>
        <w:t>Ở đây, nguyên đơn đã không cáo buộc bất kỳ sự kiện nào đủ để hỗ trợ một tuyên bố về kiểm soát. Cáo buộc về việc cá nhân lựa chọn giám đốc đứng một mình, không được hỗ trợ. Cùng lắm đó là một kết luận không có cơ sở sự kiện. Mối liên hệ nhân quả giữa sự kiểm soát của Fink và việc chấp thuận thỏa thuận lao động được ám chỉ, nhưng không được nêu rõ ở đâu cả. Sự chấp thuận của giám đốc, một mình, không xác lập sự kiểm soát, ngay cả khi đối mặt với việc Fink sở hữu 47% cổ phần. Tuyên bố rằng Fink khó có thể thực hiện bất kỳ dịch vụ nào theo thỏa thuận, vì tuổi tác của ông, và công việc tư vấn xung đột của ông với Prudential, không thêm gì vào tuyên bố về kiểm soát. Do đó, chúng tôi không thể kết luận rằng đơn khởi kiện đã cụ thể hóa về mặt sự kiện bất kỳ hoàn cảnh nào về kiểm soát và thống trị để vượt qua giả định về tính độc lập của hội đồng, và do đó khiến yêu cầu trở nên vô ích.</w:t>
      </w:r>
    </w:p>
    <w:p>
      <w:pPr>
        <w:spacing w:after="80"/>
      </w:pPr>
      <w:r>
        <w:rPr>
          <w:b w:val="0"/>
          <w:i w:val="0"/>
        </w:rPr>
        <w:t>Chuyển sang việc hội đồng quản trị phê duyệt thỏa thuận lao động Meyers-Fink, lập luận của nguyên đơn rất đơn giản: tất cả các giám đốc Meyers đều là bị đơn được nêu tên, bởi vì họ đã phê duyệt thỏa thuận lãng phí đó; nếu nguyên đơn thắng kiện về mặt nội dung, tất cả các giám đốc sẽ phải chịu trách nhiệm liên đới và riêng rẽ; do đó, lợi ích của các giám đốc trong việc tránh trách nhiệm cá nhân đương nhiên và tuyệt đối loại họ khỏi việc xem xét yêu cầu của cổ đông.</w:t>
      </w:r>
    </w:p>
    <w:p>
      <w:pPr>
        <w:spacing w:after="80"/>
      </w:pPr>
      <w:r>
        <w:rPr>
          <w:b w:val="0"/>
          <w:i w:val="0"/>
        </w:rPr>
        <w:t>Những cáo buộc như vậy cùng lắm chỉ là kết luận suông. Ở Delaware, chỉ riêng việc giám đốc phê duyệt một giao dịch, mà không có các sự kiện cụ thể hỗ trợ cho khiếu nại vi phạm nghĩa vụ tín thác, hoặc không chứng minh được sự thiếu độc lập hay thiếu vô tư của đa số giám đốc, thì không đủ để miễn trừ yêu cầu. Ở đây, vụ kiện của nguyên đơn dựa trên quan điểm rằng thỏa thuận lao động Meyers-Fink là một sự lãng phí tài sản của công ty. Vậy nên, lập luận cho rằng, bằng việc phê duyệt sự lãng phí đó, các giám đốc giờ đây đối mặt với trách nhiệm cá nhân tiềm tàng, do đó khiến mọi yêu cầu buộc họ khởi kiện trở nên vô ích. Đáng tiếc thay, khiếu nại của nguyên đơn thất bại ngay từ tiền đề ban đầu. Đơn kiện không nêu các sự kiện cụ thể cho thấy thỏa thuận đó là sự lãng phí tài sản của công ty. Thật vậy, đơn kiện với bản thảo hiện tại thậm chí có thể không đưa ra được một nguyên nhân khởi kiện, xét đến quyền lực công ty rộng lớn của các giám đốc trong việc ấn định thù lao cho các cán bộ.</w:t>
      </w:r>
    </w:p>
    <w:p>
      <w:pPr>
        <w:spacing w:after="80"/>
      </w:pPr>
      <w:r>
        <w:rPr>
          <w:b w:val="0"/>
          <w:i w:val="0"/>
        </w:rPr>
        <w:t xml:space="preserve">Về bản chất, nguyên đơn cáo buộc sự thiếu đối giá từ phía Fink đối với Meyers, vì thỏa thuận lao động quy định rằng thù lao không phụ thuộc vào khả năng thực hiện bất kỳ dịch vụ nào của Fink. Khẳng định trống rỗng rằng Fink thực hiện "rất ít hoặc không thực hiện dịch vụ nào" là kết luận của nguyên đơn chỉ dựa trên tuổi của Fink và </w:t>
      </w:r>
      <w:r>
        <w:rPr>
          <w:b w:val="0"/>
          <w:i/>
        </w:rPr>
        <w:t>sự tồn tại</w:t>
      </w:r>
      <w:r>
        <w:rPr>
          <w:b w:val="0"/>
          <w:i w:val="0"/>
        </w:rPr>
        <w:t xml:space="preserve"> của thỏa thuận lao động Fink-Prudential. Còn về các khoản cho vay của Meyers dành cho Fink, ngoài cáo buộc trống rỗng rằng chúng đã được thực hiện, đơn kiện không nêu các sự kiện cho thấy sự lãng phí của những thỏa thuận đó. Một lần nữa, chỉ riêng sự tồn tại của những khoản cho vay như vậy, xét đến quyền lực công ty rộng lớn được luật Delaware trao cho, thậm chí không đưa ra được một khiếu nại.</w:t>
      </w:r>
    </w:p>
    <w:p>
      <w:pPr>
        <w:spacing w:after="80"/>
      </w:pPr>
      <w:r>
        <w:rPr>
          <w:b w:val="0"/>
          <w:i w:val="0"/>
        </w:rPr>
        <w:t>Lập luận cuối cùng của nguyên đơn là câu thần chú rằng yêu cầu được miễn trừ vì nếu không các giám đốc sẽ phải kiện chính mình, do đó đặt việc tiến hành tố tụng vào tay những kẻ thù địch và ngăn cản việc truy tố hiệu quả. Lập luận tự lực này đã được đưa ra và bị các tòa án khác bác bỏ. Việc chấp nhận nó sẽ thực sự bãi bỏ Quy tắc 23.1 và làm suy yếu quyền lực quản lý của các giám đốc. Trừ khi các sự kiện được cáo buộc một cách cụ thể để vượt qua các giả định về tính độc lập và việc thực thi đúng đắn phán đoán kinh doanh, trong trường hợp đó không thể mong đợi các giám đốc tự kiện chính mình, một khiếu nại trống rỗng kiểu này không đặt ra vấn đề nào có thể nhận thức được về mặt pháp lý theo luật công ty Delaware.</w:t>
      </w:r>
    </w:p>
    <w:p>
      <w:pPr>
        <w:spacing w:after="80"/>
      </w:pPr>
      <w:r>
        <w:rPr>
          <w:b w:val="0"/>
          <w:i w:val="0"/>
        </w:rPr>
        <w:t>Tóm lại, chúng tôi kết luận rằng nguyên đơn đã không cáo buộc các sự kiện một cách cụ thể cho thấy các giám đốc Meyers bị vấy bẩn bởi lợi ích, thiếu độc lập, hoặc đã hành động trái với lợi ích tốt nhất của Meyers nhằm tạo ra nghi ngờ hợp lý về khả năng áp dụng quy tắc phán đoán kinh doanh. Chỉ khi có nghi ngờ hợp lý như vậy thì một yêu cầu mới có thể được coi là vô ích. Do đó, chúng tôi đảo ngược quyết định của Tòa án Chancery bác bỏ đề nghị bãi bỏ đơn kiện, và chuyển lại với chỉ thị rằng nguyên đơn được cho phép sửa đổi đơn kiện để đưa nó tuân thủ Quy tắc 23.1 dựa trên các nguyên tắc mà chúng tôi đã tuyên bố hôm nay.</w:t>
      </w:r>
    </w:p>
    <w:p>
      <w:pPr>
        <w:pStyle w:val="Heading5"/>
      </w:pPr>
      <w:r>
        <w:rPr>
          <w:rFonts w:ascii="Calibri" w:hAnsi="Calibri"/>
          <w:b/>
          <w:i/>
          <w:sz w:val="22"/>
        </w:rPr>
        <w:t>Bình luận và Câu hỏi</w:t>
      </w:r>
    </w:p>
    <w:p>
      <w:pPr>
        <w:spacing w:after="80"/>
      </w:pPr>
      <w:r>
        <w:rPr>
          <w:b w:val="0"/>
          <w:i w:val="0"/>
        </w:rPr>
        <w:t>1. Nhớ lại từ Chương 5 và 6 rằng tính vô tư phụ thuộc vào các sự kiện có thể chứng minh được; nghĩa là, liệu thành viên hội đồng quản trị được đề cập có nhận được bất kỳ lợi ích tài chính cá nhân trực tiếp nào từ giao dịch bị thách thức hay không. Tuy nhiên, tính độc lập phụ thuộc vào trạng thái tinh thần của thành viên hội đồng quản trị; nghĩa là, liệu giám đốc đó có thể quyết định một cách khách quan về việc theo đuổi các khiếu nại của công ty, chỉ dựa trên nội dung vụ việc, và một cách công bằng, không xét đến mối quan hệ của cô ấy với bất kỳ giám đốc có lợi ích nào hay không. Làm thế nào các cổ đông khiếu nại có thể phát hiện và đánh giá các nguồn ảnh hưởng tiềm tàng gây nghi ngờ về tính độc lập của các giám đốc?</w:t>
      </w:r>
    </w:p>
    <w:p>
      <w:pPr>
        <w:spacing w:after="80"/>
      </w:pPr>
      <w:r>
        <w:rPr>
          <w:b w:val="0"/>
          <w:i w:val="0"/>
        </w:rPr>
        <w:t>2. Liệu một cổ đông có thể lẩn tránh yêu cầu bằng cách nêu tên mọi thành viên hội đồng quản trị làm bị đơn không? Tại sao có hoặc tại sao không?</w:t>
      </w:r>
    </w:p>
    <w:p>
      <w:pPr>
        <w:spacing w:after="80"/>
      </w:pPr>
      <w:r>
        <w:rPr>
          <w:b w:val="0"/>
          <w:i w:val="0"/>
        </w:rPr>
        <w:t xml:space="preserve">3. Tòa án trong vụ </w:t>
      </w:r>
      <w:r>
        <w:rPr>
          <w:b w:val="0"/>
          <w:i/>
        </w:rPr>
        <w:t>Aronson</w:t>
      </w:r>
      <w:r>
        <w:rPr>
          <w:b w:val="0"/>
          <w:i w:val="0"/>
        </w:rPr>
        <w:t xml:space="preserve"> nhận định rằng "trong những trường hợp hiếm hoi, một giao dịch có thể quá trắng trợn ngay trên bề mặt đến mức việc hội đồng quản trị phê duyệt không thể đáp ứng được bài kiểm tra phán đoán kinh doanh, và do đó tồn tại khả năng đáng kể về trách nhiệm của giám đốc." Tuyên bố này cho thấy điều gì về mối quan hệ giữa quy tắc phán đoán kinh doanh và tiêu chuẩn để chứng minh sự vô ích của yêu cầu?</w:t>
      </w:r>
    </w:p>
    <w:p>
      <w:pPr>
        <w:spacing w:after="80"/>
      </w:pPr>
      <w:r>
        <w:rPr>
          <w:b w:val="0"/>
          <w:i w:val="0"/>
        </w:rPr>
        <w:t>4. Một lý do thường được nêu cho quy tắc phán đoán kinh doanh là các thẩm phán kém đủ trình độ hơn so với hội đồng quản trị trong việc đưa ra các quyết định kinh doanh. Liệu các thẩm phán có tương tự kém đủ trình độ hơn so với hội đồng quản trị trong việc quyết định nội dung của các khiếu nại vi phạm nghĩa vụ tín thác chống lại các giám đốc và cán bộ công ty không? Tại sao có hoặc tại sao không?</w:t>
      </w:r>
    </w:p>
    <w:p>
      <w:pPr>
        <w:spacing w:after="80"/>
      </w:pPr>
      <w:r>
        <w:rPr>
          <w:b w:val="0"/>
          <w:i w:val="0"/>
        </w:rPr>
        <w:t xml:space="preserve">5. Khi nào thì bài kiểm tra </w:t>
      </w:r>
      <w:r>
        <w:rPr>
          <w:b w:val="0"/>
          <w:i/>
        </w:rPr>
        <w:t>Aronson</w:t>
      </w:r>
      <w:r>
        <w:rPr>
          <w:b w:val="0"/>
          <w:i w:val="0"/>
        </w:rPr>
        <w:t xml:space="preserve"> không thể áp dụng? Tòa án Tối cao Delaware đã trả lời câu hỏi này trong vụ </w:t>
      </w:r>
      <w:r>
        <w:rPr>
          <w:b w:val="0"/>
          <w:i/>
        </w:rPr>
        <w:t>Rales v. Blasband</w:t>
      </w:r>
      <w:r>
        <w:rPr>
          <w:b w:val="0"/>
          <w:i w:val="0"/>
        </w:rPr>
        <w:t xml:space="preserve"> . Khi biện hộ về sự vô ích của yêu cầu, cổ đông Blasband cáo buộc rằng hội đồng quản trị của Easco đã sử dụng sai hơn 61,9 triệu đô la tiền thu được từ một đợt phát hành trái phiếu công khai. Tuy nhiên, trong khoảng thời gian giữa hành vi sai trái bị cáo buộc và vụ kiện của Blasband, Easco đã sáp nhập với một công ty khác. Tòa án Tối cao Delaware kết luận rằng bài kiểm tra </w:t>
      </w:r>
      <w:r>
        <w:rPr>
          <w:b w:val="0"/>
          <w:i/>
        </w:rPr>
        <w:t>Aronson</w:t>
      </w:r>
      <w:r>
        <w:rPr>
          <w:b w:val="0"/>
          <w:i w:val="0"/>
        </w:rPr>
        <w:t xml:space="preserve"> về sự vô ích của yêu cầu không áp dụng trong bối cảnh đó vì hội đồng quản trị lẽ ra sẽ xem xét yêu cầu của Blasband đã không thực hiện hành vi sai trái bị cáo buộc trong đơn kiện của ông. Thay vào đó, các tòa án xem xét "phải xác định liệu các cáo buộc sự kiện cụ thể của một đơn kiện cổ đông phái sinh có tạo ra nghi ngờ hợp lý rằng, tính đến thời điểm đơn kiện được nộp, hội đồng quản trị có thể đã thực thi đúng đắn phán đoán kinh doanh độc lập và vô tư của mình trong việc phản hồi một yêu cầu hay không." Nếu nguyên đơn thỏa mãn gánh nặng này, tòa án sẽ miễn trừ yêu cầu vì vô ích.</w:t>
      </w:r>
    </w:p>
    <w:p>
      <w:pPr>
        <w:spacing w:after="80"/>
      </w:pPr>
      <w:r>
        <w:rPr>
          <w:b w:val="0"/>
          <w:i w:val="0"/>
        </w:rPr>
        <w:t xml:space="preserve">Bài kiểm tra </w:t>
      </w:r>
      <w:r>
        <w:rPr>
          <w:b w:val="0"/>
          <w:i/>
        </w:rPr>
        <w:t>Rales</w:t>
      </w:r>
      <w:r>
        <w:rPr>
          <w:b w:val="0"/>
          <w:i w:val="0"/>
        </w:rPr>
        <w:t xml:space="preserve"> thường áp dụng trong ba trường hợp: (1) khi đa số các giám đốc đã đưa ra quyết định kinh doanh không còn phục vụ trong hội đồng quản trị nữa; (2) khi vụ kiện phái sinh không thách thức một quyết định kinh doanh do hội đồng quản trị đưa ra (ví dụ: các khiếu nại </w:t>
      </w:r>
      <w:r>
        <w:rPr>
          <w:b w:val="0"/>
          <w:i/>
        </w:rPr>
        <w:t>Caremark</w:t>
      </w:r>
      <w:r>
        <w:rPr>
          <w:b w:val="0"/>
          <w:i w:val="0"/>
        </w:rPr>
        <w:t>); và (3) khi vụ kiện phái sinh thách thức một quyết định do hội đồng quản trị của một công ty khác đưa ra. Khi một hội đồng quản trị giao phó các quyết định mà các giám đốc không có lợi ích cá nhân và mặt khác là độc lập, câu hỏi đặt ra là liệu điều lệ của công ty có bao gồm một điều khoản miễn trừ trách nhiệm hay không và, nếu có, liệu hành động được khiếu nại có được điều khoản đó bao phủ hay không.</w:t>
      </w:r>
    </w:p>
    <w:p>
      <w:pPr>
        <w:spacing w:after="80"/>
      </w:pPr>
      <w:r>
        <w:rPr>
          <w:b w:val="0"/>
          <w:i w:val="0"/>
        </w:rPr>
        <w:t xml:space="preserve">6. Liệu các điều khoản điều lệ miễn trừ trách nhiệm được thông qua theo Mục 102(b)(7) có tạo ra khoảng cách giữa tinh thần của </w:t>
      </w:r>
      <w:r>
        <w:rPr>
          <w:b w:val="0"/>
          <w:i/>
        </w:rPr>
        <w:t>Aronson</w:t>
      </w:r>
      <w:r>
        <w:rPr>
          <w:b w:val="0"/>
          <w:i w:val="0"/>
        </w:rPr>
        <w:t xml:space="preserve"> và việc áp dụng nhánh thứ hai của nó không? Bằng cách hỏi liệu quyết định cơ sở có phải là sản phẩm của một phán đoán kinh doanh hợp lệ hay không, bài kiểm tra cố gắng tiếp cận những khiếu nại thực sự có thể khiến các giám đốc phải chịu trách nhiệm cá nhân. Tuy nhiên, các điều khoản điều lệ miễn trừ trách nhiệm bảo vệ các giám đốc khỏi trách nhiệm bồi thường thiệt hại bằng tiền do vi phạm nghĩa vụ cẩn trọng của họ, bất kể liệu quy tắc phán đoán kinh doanh có bảo vệ quyết định bị thách thức khỏi sự xem xét của tòa án hay không. Nói cách khác, bài kiểm tra </w:t>
      </w:r>
      <w:r>
        <w:rPr>
          <w:b w:val="0"/>
          <w:i/>
        </w:rPr>
        <w:t>Aronson</w:t>
      </w:r>
      <w:r>
        <w:rPr>
          <w:b w:val="0"/>
          <w:i w:val="0"/>
        </w:rPr>
        <w:t xml:space="preserve"> có thể tạo ra những tình huống trong đó yêu cầu được coi là vô ích, nhưng các giám đốc không đối mặt với mối đe dọa thực sự nào về trách nhiệm cá nhân. Để có một lập luận rằng hoàn cảnh này hạn chế một cách không thích đáng thẩm quyền của hội đồng quản trị, xem Andrew C.W. Lund, </w:t>
      </w:r>
      <w:r>
        <w:rPr>
          <w:b w:val="0"/>
          <w:i/>
        </w:rPr>
        <w:t>Rethinking</w:t>
      </w:r>
      <w:r>
        <w:rPr>
          <w:b w:val="0"/>
          <w:i w:val="0"/>
        </w:rPr>
        <w:t xml:space="preserve"> Aronson, 11 U. Pa. J. Bus. L. 703 (2009).</w:t>
      </w:r>
    </w:p>
    <w:p>
      <w:pPr>
        <w:spacing w:after="80"/>
      </w:pPr>
      <w:r>
        <w:rPr>
          <w:b w:val="0"/>
          <w:i w:val="0"/>
        </w:rPr>
        <w:t>7. Không giống như Delaware, nhiều bang không còn công nhận học thuyết vô ích của yêu cầu nữa. Thay vào đó, các khu vực tài phán yêu cầu rằng cổ đông nguyên đơn phải đưa ra một yêu cầu trước khi nộp bất kỳ vụ kiện phái sinh nào. Quy tắc này, cái được gọi là yêu cầu phổ quát, hiện là luật ở khoảng một nửa các bang. Bạn nghĩ tại sao các nhà lập pháp bang lại ban hành các đạo luật yêu cầu phổ quát? Các lập luận chống lại yêu cầu phổ quát là gì? Bạn có thể nghĩ ra cách nào để cải thiện học thuyết vô ích của yêu cầu mà không loại bỏ nó không?</w:t>
      </w:r>
    </w:p>
    <w:p>
      <w:pPr>
        <w:spacing w:after="80"/>
      </w:pPr>
      <w:r>
        <w:rPr>
          <w:b w:val="0"/>
          <w:i w:val="0"/>
        </w:rPr>
        <w:t>8. Các yêu cầu về việc biện hộ một cách cụ thể áp dụng cho các vụ kiện phái sinh khác biệt đáng kể so với các quy tắc biện hộ thông báo dễ dãi hơn được áp dụng cho các tranh tụng tín thác khác. Các cổ đông nguyên đơn không thể thỏa mãn Quy tắc 23.1 bằng những tuyên bố kết luận suông. Thay vào đó, đơn kiện phải nêu các tuyên bố sự kiện cụ thể (đôi khi được gọi là "sự kiện tối hậu") thiết yếu cho khiếu nại. Tuy nhiên, các thẩm phán Delaware không hiếm khi nhắc nhở các nguyên đơn và luật sư của họ rằng họ cũng phải soạn thảo các đơn kiện "đơn giản, súc tích và trực tiếp".</w:t>
      </w:r>
    </w:p>
    <w:p>
      <w:pPr>
        <w:pStyle w:val="Heading3"/>
      </w:pPr>
      <w:r>
        <w:rPr>
          <w:rFonts w:ascii="Calibri" w:hAnsi="Calibri"/>
          <w:b/>
          <w:i w:val="0"/>
          <w:sz w:val="26"/>
        </w:rPr>
        <w:t>C. Các Ủy ban Tranh tụng Đặc biệt</w:t>
      </w:r>
    </w:p>
    <w:p>
      <w:pPr>
        <w:pStyle w:val="Heading4"/>
      </w:pPr>
      <w:r>
        <w:rPr>
          <w:rFonts w:ascii="Calibri" w:hAnsi="Calibri"/>
          <w:b/>
          <w:i w:val="0"/>
          <w:sz w:val="23"/>
        </w:rPr>
        <w:t>1. Lựa chọn, Thành phần và Nhiệm vụ</w:t>
      </w:r>
    </w:p>
    <w:p>
      <w:pPr>
        <w:spacing w:after="80"/>
      </w:pPr>
      <w:r>
        <w:rPr>
          <w:b w:val="0"/>
          <w:i w:val="0"/>
        </w:rPr>
        <w:t>Ủy ban tranh tụng đặc biệt (special litigation committee - SLC) là một công cụ mạnh mẽ được các công ty sử dụng để xử lý các vụ kiện phái sinh của cổ đông (shareholder derivative lawsuits). SLC điều tra tính xác đáng trong các cáo buộc của cổ đông và xác định liệu việc theo đuổi kiện tụng chống lại một hoặc nhiều người được ủy thác của công ty (company fiduciaries) có vì lợi ích tốt nhất của công ty hay không. Thật vậy, SLC là “trường hợp duy nhất trong Luật học Hoa Kỳ mà một bị đơn có thể tự giải thoát mình khỏi một vụ kiện chỉ bằng cách bổ nhiệm một ủy ban để xem xét các cáo buộc trong đơn kiện. . . .” Chính xác hơn, việc bổ nhiệm một ủy ban tranh tụng đặc biệt tách biệt các giám đốc có liên quan lợi ích (thường là các bị đơn trong vụ kiện) khỏi việc quản lý tranh tụng cho công ty, qua đó làm tăng khả năng tòa án sẽ áp dụng quy tắc phán đoán kinh doanh (business judgment rule) để quyết định đối với đề nghị bác bỏ khiếu nại của nguyên đơn mà công ty chắc chắn sẽ đưa ra. Ngay cả khi yêu cầu trước khi khởi kiện (pre-suit demand) là vô ích hoặc được miễn trừ vì các lý do khác, hội đồng quản trị vẫn có thể duy trì quyền kiểm soát đối với một vụ kiện phái sinh bằng cách giao việc giám sát khiếu nại cho một ủy ban tranh tụng đặc biệt gồm các giám đốc không có liên quan lợi ích.</w:t>
      </w:r>
    </w:p>
    <w:p>
      <w:pPr>
        <w:spacing w:after="80"/>
      </w:pPr>
      <w:r>
        <w:rPr>
          <w:b w:val="0"/>
          <w:i w:val="0"/>
        </w:rPr>
        <w:t>Luật Delaware không quy định số lượng thành viên hội đồng quản trị cần thiết để thành lập các ủy ban tranh tụng đặc biệt hoạt động được, cũng không áp đặt các hạn chế đối với tiêu chuẩn của giám đốc để phục vụ trong SLC. Nếu hầu hết hoặc tất cả các thành viên hội đồng quản trị đều bị nêu tên là bị đơn hoặc không độc lập hay không không có liên quan lợi ích, thì một hoặc nhiều giám đốc mới có thể tham gia hội đồng quản trị để thành lập một SLC không có liên quan lợi ích. Ở giai đoạn yêu cầu trước khi khởi kiện, hội đồng quản trị được hưởng lợi từ một suy đoán về tính độc lập. Tuy nhiên, SLC có nghĩa vụ chứng minh tính độc lập của mình. Hơn nữa, nguyên đơn có thể tiến hành việc điều tra giới hạn (limited discovery) liên quan đến tính độc lập của ủy ban cũng như chiều sâu và phạm vi của cuộc điều tra của ủy ban và các vấn đề liên quan.</w:t>
      </w:r>
    </w:p>
    <w:p>
      <w:pPr>
        <w:spacing w:after="80"/>
      </w:pPr>
      <w:r>
        <w:rPr>
          <w:b w:val="0"/>
          <w:i w:val="0"/>
        </w:rPr>
        <w:t>Sau khi được thành lập, SLC sẽ điều tra tính xác đáng trong các cáo buộc của nguyên đơn để đưa ra quyết định về việc liệu công ty nên theo đuổi kiện tụng hay tìm cách bác bỏ vụ kiện. Khi quyết định có theo đuổi kiện tụng hay không, các SLC thường sẽ xem xét tính xác đáng của các cáo buộc, số tiền thiệt hại tiềm năng hoặc biện pháp khắc phục khác, khả năng thu hồi được một phán quyết, tổn hại có thể có đối với công ty từ việc đưa ra các khiếu nại, các chi phí gián tiếp của việc kiện tụng (ví dụ: ảnh hưởng đến các vụ kiện tiềm năng khác), tác động đến các mối quan hệ với khách hàng, nhà cung cấp hoặc các bên liên quan khác, và các bước khắc phục mà công ty đã thực hiện hoặc đang lên kế hoạch thực hiện để giải quyết các hành vi bị khiếu nại và ngăn chặn chúng tái diễn. SLC thường thuê luật sư độc lập và các chuyên gia khác để hỗ trợ điều tra thực tế, giúp đánh giá các khiếu nại pháp lý, và soạn thảo một báo cáo mở rộng, không bảo mật trình bày chi tiết các phát hiện và khuyến nghị của mình. Nếu (như thường thấy hơn) SLC xác định rằng việc theo đuổi vụ kiện không vì lợi ích tốt nhất của công ty, thì ủy ban sẽ tìm cách bác bỏ khiếu nại.</w:t>
      </w:r>
    </w:p>
    <w:p>
      <w:pPr>
        <w:spacing w:after="80"/>
      </w:pPr>
      <w:r>
        <w:rPr>
          <w:b w:val="0"/>
          <w:i w:val="0"/>
        </w:rPr>
        <w:t>Các điều khoản miễn trừ trong điều lệ (exculpatory charter provisions) thường đóng một vai trò quan trọng trong quyết định của SLC. Nếu nguyên đơn đã kiện các giám đốc đòi bồi thường thiệt hại bằng tiền dựa trên các khiếu nại được điều chỉnh bởi Mục 102(b)(7), thì SLC có thể sẽ được giao nhiệm vụ đánh giá điều khoản miễn trừ của công ty khi nó áp dụng cho các khiếu nại đó. Giả sử rằng SLC được tư vấn đầy đủ về luật hiện hành, ủy ban có thể kết luận rằng vụ kiện của nguyên đơn nên bị bác bỏ vì bất kỳ việc thu hồi thiệt hại bằng tiền nào cũng sẽ bị cấm. Một SLC dựa vào một điều khoản miễn trừ trong điều lệ một cách không thích đáng làm cơ sở để bác bỏ, hoặc không điều tra đầy đủ về khả năng áp dụng của nó, sẽ làm suy yếu uy tín của mình trước tòa án và có nguy cơ vụ kiện sẽ tiếp tục, trái với khuyến nghị của SLC.</w:t>
      </w:r>
    </w:p>
    <w:p>
      <w:pPr>
        <w:pStyle w:val="Heading4"/>
      </w:pPr>
      <w:r>
        <w:rPr>
          <w:rFonts w:ascii="Calibri" w:hAnsi="Calibri"/>
          <w:b/>
          <w:i w:val="0"/>
          <w:sz w:val="23"/>
        </w:rPr>
        <w:t>2. Việc Tòa án Xem xét các Quyết định của SLC</w:t>
      </w:r>
    </w:p>
    <w:p>
      <w:pPr>
        <w:spacing w:after="80"/>
      </w:pPr>
      <w:r>
        <w:rPr>
          <w:b w:val="0"/>
          <w:i w:val="0"/>
        </w:rPr>
        <w:t>Ý thức rằng thẩm quyền theo luật định của hội đồng quản trị để quản lý các công việc của công ty phải bao gồm quyền quyết định có thực thi các khiếu nại của công ty chống lại các giám đốc và cán bộ hay không, các tòa án tuy vậy vẫn thừa nhận rằng sự thiên vị tự nhiên của các giám đốc có thể ngăn cản họ theo đuổi các khiếu nại có căn cứ chống lại các đồng nghiệp và người cùng cấp của mình. Do đó, các thẩm phán đã cố gắng bảo vệ quyền kiểm soát của hội đồng quản trị trong khi vẫn cung cấp cho cổ đông một cơ chế để buộc những người được ủy thác của công ty phải chịu trách nhiệm về sự bất trung và hành vi sai trái cố ý. Áp dụng quy tắc phán đoán kinh doanh, một số tòa án, bao gồm các tòa án ở New York, sẵn sàng chấp nhận các khuyến nghị của SLC về việc bác bỏ các vụ kiện của cổ đông. Tuy nhiên, các tòa án khác đã thể hiện sự sẵn lòng đưa ra đánh giá độc lập về tính xác đáng của các vụ kiện. Tiêu chuẩn xem xét nào mà các tòa án nên áp dụng khi đánh giá các quyết định của SLC nhằm chấm dứt các vụ kiện phái sinh? Liệu các thẩm phán xem xét có nên tôn trọng các phán đoán kinh doanh của SLC không? Trong vụ án sau đây, Tòa án Tối cao Delaware đã thiết lập một bài kiểm tra hai phần để đánh giá các khuyến nghị của SLC, trao cho các thẩm phán quyền tùy nghi xem xét tính xác đáng và xác định liệu vụ kiện có nên tiếp tục hay không.</w:t>
      </w:r>
    </w:p>
    <w:p>
      <w:pPr>
        <w:pStyle w:val="Heading4"/>
      </w:pPr>
      <w:r>
        <w:rPr>
          <w:rFonts w:ascii="Calibri" w:hAnsi="Calibri"/>
          <w:b/>
          <w:i w:val="0"/>
          <w:sz w:val="23"/>
        </w:rPr>
        <w:t>Zapata Corp. v. Maldonado</w:t>
      </w:r>
    </w:p>
    <w:p>
      <w:pPr>
        <w:spacing w:after="80"/>
      </w:pPr>
      <w:r>
        <w:rPr>
          <w:b w:val="0"/>
          <w:i w:val="0"/>
        </w:rPr>
        <w:t>Tòa án Tối cao Delaware</w:t>
      </w:r>
      <w:r>
        <w:br/>
      </w:r>
      <w:r>
        <w:rPr>
          <w:b w:val="0"/>
          <w:i w:val="0"/>
        </w:rPr>
        <w:t xml:space="preserve"> 430 A.2d 779 (1980)</w:t>
      </w:r>
    </w:p>
    <w:p>
      <w:pPr>
        <w:spacing w:after="80"/>
      </w:pPr>
      <w:r>
        <w:rPr>
          <w:b w:val="0"/>
          <w:i w:val="0"/>
        </w:rPr>
        <w:t>THẨM PHÁN QUILLEN :</w:t>
      </w:r>
    </w:p>
    <w:p>
      <w:pPr>
        <w:spacing w:after="80"/>
      </w:pPr>
      <w:r>
        <w:rPr>
          <w:b w:val="0"/>
          <w:i w:val="0"/>
        </w:rPr>
        <w:t>Vào tháng 6 năm 1975, William Maldonado, một cổ đông của Zapata, đã khởi kiện một vụ kiện phái sinh tại Tòa án Chancery thay mặt cho Zapata chống lại mười cán bộ và/hoặc giám đốc của Zapata, với cáo buộc cơ bản là vi phạm nghĩa vụ ủy thác. Maldonado đã không yêu cầu hội đồng quản trị đưa ra vụ kiện này trước, mà thay vào đó nói rằng yêu cầu đó là vô ích vì tất cả các giám đốc đều bị nêu tên là bị đơn và bị cáo buộc đã tham gia vào các hành vi được nêu rõ. Vào tháng 6 năm 1977, Maldonado khởi kiện một vụ án tại Tòa án Quận Hoa Kỳ cho Quận Phía Nam New York chống lại các bị đơn tương tự, trừ một người, với cáo buộc vi phạm luật chứng khoán liên bang cũng như các khiếu nại theo luật thông thường tương tự đã được đưa ra trước đó tại Tòa án Chancery.</w:t>
      </w:r>
    </w:p>
    <w:p>
      <w:pPr>
        <w:spacing w:after="80"/>
      </w:pPr>
      <w:r>
        <w:rPr>
          <w:b w:val="0"/>
          <w:i w:val="0"/>
        </w:rPr>
        <w:t>Đến tháng 6 năm 1979, bốn trong số các giám đốc bị đơn không còn trong hội đồng quản trị nữa, và các giám đốc còn lại đã bổ nhiệm hai giám đốc bên ngoài mới vào hội đồng quản trị. Hội đồng quản trị sau đó đã thành lập một “Ủy ban Điều tra Độc lập” (Committee), chỉ gồm hai giám đốc mới, để điều tra các hành động của Maldonado, cũng như một vụ kiện phái sinh tương tự đang chờ xử lý ở Texas, và để xác định liệu công ty có nên tiếp tục bất kỳ hoặc tất cả các vụ kiện hay không. Quyết định của Ủy ban được tuyên bố là “cuối cùng, . . . không . . . phải chịu sự xem xét của Hội đồng Quản trị và . . . trong mọi khía cạnh . . . ràng buộc đối với Công ty.”</w:t>
      </w:r>
    </w:p>
    <w:p>
      <w:pPr>
        <w:spacing w:after="80"/>
      </w:pPr>
      <w:r>
        <w:rPr>
          <w:b w:val="0"/>
          <w:i w:val="0"/>
        </w:rPr>
        <w:t>Sau một cuộc điều tra, vào tháng 9 năm 1979, Ủy ban kết luận rằng mỗi vụ kiện nên “bị bác bỏ ngay lập tức vì việc duy trì chúng là có hại cho lợi ích tốt nhất của Công ty.”</w:t>
      </w:r>
    </w:p>
    <w:p>
      <w:pPr>
        <w:spacing w:after="80"/>
      </w:pPr>
      <w:r>
        <w:rPr>
          <w:b w:val="0"/>
          <w:i w:val="0"/>
        </w:rPr>
        <w:t>Vào ngày 18 tháng 3 năm 1980, Tòa án Chancery đã bác bỏ đề nghị phán quyết tóm tắt (summary judgment) của Zapata, cho rằng luật Delaware không cho phép biện pháp bác bỏ này. Cụ thể hơn, tòa án cho rằng quy tắc “phán đoán kinh doanh” không phải là sự trao quyền để bác bỏ các vụ kiện phái sinh và rằng một cổ đông có quyền cá nhân để duy trì các vụ kiện phái sinh trong một số trường hợp nhất định. Chúng tôi giới hạn việc xem xét trong kháng cáo trung gian này vào câu hỏi liệu Ủy ban có quyền khiến vụ kiện hiện tại bị bác bỏ hay không.</w:t>
      </w:r>
    </w:p>
    <w:p>
      <w:pPr>
        <w:spacing w:after="80"/>
      </w:pPr>
      <w:r>
        <w:rPr>
          <w:b w:val="0"/>
          <w:i w:val="0"/>
        </w:rPr>
        <w:t>Các công ty, tồn tại nhờ ân huệ của cơ quan lập pháp, sở hữu thẩm quyền như được cơ quan lập pháp trao cho. Các giám đốc của các công ty Delaware có được quyền ra quyết định quản lý của mình, bao gồm các quyết định về việc có khởi kiện hay không khởi kiện, từ Mục 141(a). Đạo luật này là nguồn gốc của các quyền hạn của giám đốc. Quy tắc “phán đoán kinh doanh” là một sáng tạo tư pháp giả định tính đúng đắn, trong những trường hợp nhất định, trong quyết định của hội đồng quản trị. Nhìn từ góc độ phòng vệ, nó không tạo ra thẩm quyền. Theo nghĩa này, quy tắc “phán đoán kinh doanh” không liên quan trong việc ra quyết định của công ty cho đến sau khi một quyết định được đưa ra. Nó thường được sử dụng như một biện pháp phòng vệ trước sự tấn công vào tính hợp lý của quyết định. Tuy nhiên, quyền ra quyết định quản lý của hội đồng quản trị đến từ Mục 141(a). Sáng tạo tư pháp và sự trao quyền của cơ quan lập pháp có liên quan với nhau vì quy tắc “phán đoán kinh doanh” đã phát triển để công nhận và tôn trọng chuyên môn kinh doanh của các giám đốc khi họ thực hiện quyền quản lý của mình theo Mục 141(a).</w:t>
      </w:r>
    </w:p>
    <w:p>
      <w:pPr>
        <w:spacing w:after="80"/>
      </w:pPr>
      <w:r>
        <w:rPr>
          <w:b w:val="0"/>
          <w:i w:val="0"/>
        </w:rPr>
        <w:t>Trong vụ án trước chúng tôi, mặc dù quyết định của công ty về việc đề nghị bác bỏ hoặc phán quyết tóm tắt, theo nghĩa đen, là một quyết định xuất phát từ việc thực hiện phán đoán kinh doanh của các giám đốc (được giao cho Ủy ban), nhưng câu hỏi về “phán đoán kinh doanh”, theo nghĩa phòng vệ, sẽ không trở nên liên quan cho đến khi và trừ khi quyết định tìm cách chấm dứt vụ kiện phái sinh bị tấn công là không thích đáng.</w:t>
      </w:r>
    </w:p>
    <w:p>
      <w:pPr>
        <w:spacing w:after="80"/>
      </w:pPr>
      <w:r>
        <w:rPr>
          <w:b w:val="0"/>
          <w:i w:val="0"/>
        </w:rPr>
        <w:t>Trước tiên, chúng ta xem xét các kết luận của Tòa án Công lý (Court of Chancery) liên quan đến quyền của một cổ đông nguyên đơn trong một vụ kiện phái sinh (derivative action). Chúng tôi nhận thấy rằng phán quyết của tòa rằng một cổ đông, một khi đã đưa ra yêu cầu (demand) và bị từ chối, sẽ sở hữu một quyền độc lập, riêng biệt để tiếp tục vụ kiện phái sinh vì các hành vi vi phạm nghĩa vụ tín thác (fiduciary duty) bất chấp sự phản đối của công ty, như một quy tắc tuyệt đối, là sai lầm.</w:t>
      </w:r>
    </w:p>
    <w:p>
      <w:pPr>
        <w:spacing w:after="80"/>
      </w:pPr>
      <w:r>
        <w:rPr>
          <w:b w:val="0"/>
          <w:i w:val="0"/>
        </w:rPr>
        <w:t>Một yêu cầu, khi được đòi hỏi và bị từ chối (nếu không phải là bất hợp pháp), sẽ chấm dứt khả năng pháp lý của cổ đông để khởi xướng một vụ kiện phái sinh. Nhưng khi yêu cầu được miễn trừ một cách hợp lý, cổ đông thực sự sở hữu khả năng khởi xướng vụ kiện thay mặt cho công ty của mình. . . . Ngay cả trong tình huống này, có thể cần đến tranh tụng để xác định việc cổ đông thiếu quyền lực, tức là tư cách nguyên đơn (standing). Tuy nhiên, những kết luận này không quyết định vấn đề trước mắt chúng ta. Thay vào đó, chúng chỉ đưa chúng ta đến câu hỏi cần được giải quyết. Các vụ kiện phái sinh thực thi các quyền của công ty và bất kỳ khoản bồi thường nào thu được đều thuộc về công ty. “Do đó, quyền của một cổ đông được nộp đơn để tranh tụng các quyền của công ty chỉ nhằm mục đích duy nhất là ngăn chặn sự bất công khi rõ ràng rằng các quyền lợi quan trọng của công ty sẽ không được bảo vệ theo cách khác.” Chúng tôi không thấy có lý do cố hữu nào để “hai giai đoạn” của một vụ kiện phái sinh — vụ kiện của cổ đông nhằm buộc công ty khởi kiện và vụ kiện của công ty — lại tự động dẫn đến việc đặt quyền kiểm soát duy nhất đối với quyền của công ty suốt quá trình tranh tụng vào tay cổ đông đang tranh tụng. Ngược lại, chúng tôi cho rằng một quy tắc cứng nhắc như vậy sẽ công nhận lợi ích của một người hoặc một nhóm người và loại trừ tất cả những người khác trong thực thể công ty.</w:t>
      </w:r>
    </w:p>
    <w:p>
      <w:pPr>
        <w:spacing w:after="80"/>
      </w:pPr>
      <w:r>
        <w:rPr>
          <w:b w:val="0"/>
          <w:i w:val="0"/>
        </w:rPr>
        <w:t>Câu hỏi cần được giải quyết trở thành: Khi nào, nếu có, một ủy ban hội đồng quản trị được ủy quyền nên được phép khiến một vụ kiện, được khởi xướng hợp lệ bởi một cổ đông phái sinh với tư cách của chính mình, bị bác bỏ? Như đã nêu ở trên, hội đồng quản trị có quyền chọn không theo đuổi tranh tụng khi có yêu cầu đưa ra với họ, miễn là quyết định đó không phải là bất hợp pháp. Nếu hội đồng quản trị xác định rằng một vụ kiện sẽ gây bất lợi cho công ty, quyết định của hội đồng quản trị sẽ chiếm ưu thế. Ngay cả khi yêu cầu có thể được miễn trừ, các tình huống có thể phát sinh khi việc tiếp tục tranh tụng sẽ không vì lợi ích tốt nhất của công ty. Câu hỏi của chúng ta là liệu, trong những tình huống như vậy, có một thủ tục được phép theo Mục 141(a) mà qua đó một công ty có thể loại bỏ tranh tụng gây bất lợi hay không. Nếu không có, một cổ đông duy nhất trong một trường hợp cực đoan có thể kiểm soát vận mệnh của toàn bộ công ty. Nhưng khi xem xét các phương tiện, bao gồm cơ chế ủy ban được xem xét trong trường hợp này, cần phải nhận ra những khả năng lạm dụng. Điều này đưa chúng ta đến khía cạnh thứ hai và thứ ba của vấn đề đang được kháng cáo.</w:t>
      </w:r>
    </w:p>
    <w:p>
      <w:pPr>
        <w:spacing w:after="80"/>
      </w:pPr>
      <w:r>
        <w:rPr>
          <w:b w:val="0"/>
          <w:i w:val="0"/>
        </w:rPr>
        <w:t>Trước khi chúng ta chuyển sang các cân nhắc công bằng về cơ chế đang được đề cập ở đây, cần phải rõ ràng rằng một ủy ban độc lập sở hữu quyền lực của công ty để tìm cách chấm dứt một vụ kiện phái sinh. Mục 141(c) cho phép hội đồng quản trị ủy quyền toàn bộ thẩm quyền của mình cho một ủy ban. Theo đó, một ủy ban được ủy quyền đúng cách sẽ có quyền đề nghị bác bỏ hoặc phán quyết tóm tắt (summary judgment) nếu toàn bộ hội đồng quản trị cũng làm như vậy.</w:t>
      </w:r>
    </w:p>
    <w:p>
      <w:pPr>
        <w:spacing w:after="80"/>
      </w:pPr>
      <w:r>
        <w:rPr>
          <w:b w:val="0"/>
          <w:i w:val="0"/>
        </w:rPr>
        <w:t>Mặc dù yêu cầu không được đưa ra trong trường hợp này và quyết định ban đầu về việc có nên tranh tụng hay không không được đặt trước hội đồng quản trị, hội đồng quản trị của Zapata, theo chúng tôi thấy, vẫn giữ toàn bộ quyền lực của công ty liên quan đến các quyết định tranh tụng. Nếu Maldonado đã đưa ra yêu cầu với hội đồng quản trị trong trường hợp này, họ có thể đã từ chối khởi kiện. Maldonado sau đó có thể đã khẳng định rằng quyết định không kiện là bất hợp pháp và, nếu đúng, sẽ được phép duy trì vụ kiện. Tuy nhiên, hội đồng quản trị sẽ không bao giờ mất đi thẩm quyền quản lý theo luật định của mình. Bản thân yêu cầu đòi hỏi đã chứng minh rằng quyền lực quản lý được hội đồng quản trị giữ lại. Khi một nguyên đơn phái sinh được phép khởi kiện sau một sự từ chối bất hợp pháp, thẩm quyền của hội đồng quản trị để chọn có theo đuổi tranh tụng hay không không bị thách thức, mặc dù kết luận của nó — đạt được thông qua việc thực thi thẩm quyền đó — không được tôn trọng vì nó là bất hợp pháp. Tương tự, Quy tắc 23.1, bằng cách miễn trừ yêu cầu trong một số trường hợp nhất định, không tước đi quyền lực của công ty khỏi hội đồng quản trị. Nó chỉ tiết kiệm cho nguyên đơn chi phí và sự chậm trễ của việc đưa ra một yêu cầu vô ích dẫn đến một sự thực thi thẩm quyền có khả năng bị ô nhiễm trong một sự từ chối của hội đồng quản trị hoặc trong việc trao quyền kiểm soát tranh tụng cho phía đối lập. Nhưng thực thể hội đồng quản trị vẫn được trao quyền theo Mục 141(a) để đưa ra các quyết định liên quan đến tranh tụng của công ty. Vấn đề là vấn đề về việc mất tư cách của thành viên, không phải sự thiếu vắng quyền lực trong hội đồng quản trị.</w:t>
      </w:r>
    </w:p>
    <w:p>
      <w:pPr>
        <w:spacing w:after="80"/>
      </w:pPr>
      <w:r>
        <w:rPr>
          <w:b w:val="0"/>
          <w:i w:val="0"/>
        </w:rPr>
        <w:t>Do đó, câu hỏi về quyền lực của công ty tập trung vào việc liệu hội đồng quản trị, bị ô nhiễm bởi lợi ích cá nhân của đa số thành viên, có thể ủy quyền hợp pháp cho một ủy ban gồm hai giám đốc không có lợi ích cá nhân hay không. Chúng tôi nhận thấy luật định của chúng ta rõ ràng đòi hỏi một câu trả lời khẳng định cho câu hỏi này. Như đã được lưu ý, theo một điều khoản rõ ràng của luật định, một ủy ban có thể thực thi toàn bộ thẩm quyền của hội đồng quản trị trong phạm vi được quy định trong nghị quyết của hội đồng quản trị.</w:t>
      </w:r>
    </w:p>
    <w:p>
      <w:pPr>
        <w:spacing w:after="80"/>
      </w:pPr>
      <w:r>
        <w:rPr>
          <w:b w:val="0"/>
          <w:i w:val="0"/>
        </w:rPr>
        <w:t>Chúng tôi không cho rằng sự ô nhiễm lợi ích của đa số hội đồng quản trị tự nó là một rào cản pháp lý đối với việc ủy quyền thẩm quyền của hội đồng quản trị cho một ủy ban độc lập gồm các thành viên hội đồng quản trị không có lợi ích cá nhân. Ủy ban có thể hành động đúng cách thay mặt cho công ty để đề nghị bác bỏ tranh tụng phái sinh được cho là gây bất lợi cho lợi ích tốt nhất của công ty.</w:t>
      </w:r>
    </w:p>
    <w:p>
      <w:pPr>
        <w:spacing w:after="80"/>
      </w:pPr>
      <w:r>
        <w:rPr>
          <w:b w:val="0"/>
          <w:i w:val="0"/>
        </w:rPr>
        <w:t>Nếu, một mặt, các công ty có thể liên tục giành lấy các vụ kiện phái sinh chân chính khỏi tay các nguyên đơn phái sinh có thiện chí thông qua việc sử dụng cơ chế ủy ban, thì vụ kiện phái sinh sẽ mất đi phần lớn, nếu không phải tất cả, hiệu quả được công nhận rộng rãi của nó như một phương tiện nội bộ công ty để giám sát các hội đồng quản trị. Nếu, mặt khác, các công ty không thể loại bỏ tranh tụng không có giá trị hoặc có hại và các vụ kiện mang tính tống tiền (strike suits), thì vụ kiện phái sinh, được tạo ra để mang lại lợi ích cho công ty, sẽ tạo ra kết quả ngược lại, ngoài ý muốn. Do đó, có vẻ như mong muốn đối với chúng tôi là tìm một điểm cân bằng nơi quyền lực chân chính của cổ đông để đưa ra các nguyên nhân kiện tụng của công ty không thể bị hội đồng quản trị chà đạp một cách bất công, nhưng công ty có thể loại bỏ tranh tụng gây bất lợi.</w:t>
      </w:r>
    </w:p>
    <w:p>
      <w:pPr>
        <w:spacing w:after="80"/>
      </w:pPr>
      <w:r>
        <w:rPr>
          <w:b w:val="0"/>
          <w:i w:val="0"/>
        </w:rPr>
        <w:t>Bối cảnh ở đây là một vụ kiện chống lại các giám đốc nơi yêu cầu với hội đồng quản trị được miễn trừ. Chúng tôi cho rằng cần phải bày tỏ sự tôn trọng đối với thực tế rằng vụ kiện đã được khởi xướng hợp lệ. Đây không phải là một trường hợp hội đồng quản trị từ chối. Hơn nữa, đơn kiện này được nộp vào tháng 6 năm 1975 và, mặc dù các bên chắc chắn sẽ có quan điểm khác nhau về mức độ hoạt động tranh tụng, chúng tôi phải quan tâm đến việc thành lập một “Ủy ban Điều tra Độc lập” bốn năm sau đó, sau cuộc bầu cử hai giám đốc bên ngoài mới. Các tình huống có thể phát triển nơi những đề nghị như vậy có thể được nộp sau nhiều năm tranh tụng mạnh mẽ vì những lý do không liên quan đến giá trị của vụ kiện.</w:t>
      </w:r>
    </w:p>
    <w:p>
      <w:pPr>
        <w:spacing w:after="80"/>
      </w:pPr>
      <w:r>
        <w:rPr>
          <w:b w:val="0"/>
          <w:i w:val="0"/>
        </w:rPr>
        <w:t>Hơn nữa, bất chấp niềm tin của chúng tôi rằng luật Delaware giao phó quyền lực của công ty cho một ủy ban được ủy quyền đúng cách, chúng ta phải lưu tâm rằng các giám đốc đang đưa ra phán xét về các đồng nghiệp giám đốc trong cùng một công ty và các đồng nghiệp giám đốc, trong trường hợp này, là những người đã chỉ định họ phục vụ cả với tư cách giám đốc và thành viên ủy ban. Câu hỏi đương nhiên nảy sinh liệu sự đồng cảm kiểu “nếu không nhờ ơn Chúa thì tôi cũng vậy” có thể đóng một vai trò nào đó không. Và câu hỏi tiếp theo nảy sinh liệu việc điều tra về tính độc lập, thiện chí và điều tra hợp lý có đủ để bảo vệ chống lại sự lạm dụng, có lẽ là sự lạm dụng trong tiềm thức, hay không.</w:t>
      </w:r>
    </w:p>
    <w:p>
      <w:pPr>
        <w:spacing w:after="80"/>
      </w:pPr>
      <w:r>
        <w:rPr>
          <w:b w:val="0"/>
          <w:i w:val="0"/>
        </w:rPr>
        <w:t>Cuối cùng, nếu ủy ban thực sự được trao địa vị để phát ngôn thay mặt cho công ty với tư cách là nguyên đơn có lợi ích, thì theo chúng tôi thấy có một sự tương tự với Quy tắc 41(a)(2) của Tòa án Công lý, nơi nguyên đơn tìm cách bác bỏ sau khi có câu trả lời. Chắc chắn, vị trí trong hồ sơ của cổ đông đang tranh tụng là đối lập với vị trí được công ty biện hộ trong đề nghị bác bỏ. Theo đó, có lẽ có chút khôn ngoan thu được từ chỉ dẫn trong Quy tắc 41(a)(2) rằng “một vụ kiện sẽ không bị bác bỏ theo yêu cầu của nguyên đơn trừ khi có lệnh của Tòa án và theo các điều khoản và điều kiện mà Tòa án cho là phù hợp.”</w:t>
      </w:r>
    </w:p>
    <w:p>
      <w:pPr>
        <w:spacing w:after="80"/>
      </w:pPr>
      <w:r>
        <w:rPr>
          <w:b w:val="0"/>
          <w:i w:val="0"/>
        </w:rPr>
        <w:t>Liệu Tòa án Công lý có bị thuyết phục bởi việc thực thi thẩm quyền của ủy ban dẫn đến một đề nghị tóm tắt để bác bỏ một vụ kiện phái sinh, nơi một yêu cầu chưa được đưa ra ban đầu, theo phán đoán của chúng tôi, nên nằm trong sự quyết định độc lập của Tòa án Công lý. Do đó, chúng tôi chọn một con đường trung dung giữa những trường hợp nhượng bộ phán đoán kinh doanh độc lập của một ủy ban hội đồng quản trị và trường hợp này như được xác định dưới đây, vốn sẽ nhượng bộ cho sự kiểm soát không bị kiềm chế của cổ đông nguyên đơn. Trong việc theo đuổi con đường này, chúng tôi nhận ra rằng “phán đoán thực chất cuối cùng về việc liệu một vụ kiện cụ thể có nên được duy trì hay không đòi hỏi sự cân bằng của nhiều yếu tố — đạo đức, thương mại, quảng bá, quan hệ công chúng, quan hệ nhân viên, tài chính cũng như pháp lý.” Nhưng chúng tôi hài lòng rằng những yếu tố như vậy không “nằm ngoài tầm với tư pháp” của Tòa án Công lý, nơi thường xuyên và thành thạo xử lý các mối quan hệ tín thác, việc định đoạt tài sản tín thác, phê duyệt các dàn xếp và hàng loạt vấn đề tương tự. Chúng tôi nhận ra nguy cơ tư pháp vượt quá thẩm quyền, nhưng các lựa chọn thay thế dường như đối với chúng tôi bị vượt trội bởi cái nhìn mới mẻ của một người ngoài tư pháp. Hơn nữa, nếu chúng tôi không cân bằng tất cả các lợi ích liên quan, chúng tôi sẽ, nhân danh tính thực tiễn và tính kinh tế tư pháp, khép lại một quyết định tư pháp về giá trị của vụ kiện. Tại thời điểm này, chúng tôi không tin rằng điều đó là cần thiết hoặc mong muốn.</w:t>
      </w:r>
    </w:p>
    <w:p>
      <w:pPr>
        <w:spacing w:after="80"/>
      </w:pPr>
      <w:r>
        <w:rPr>
          <w:b w:val="0"/>
          <w:i w:val="0"/>
        </w:rPr>
        <w:t>Sau một cuộc điều tra khách quan và kỹ lưỡng về một vụ kiện phái sinh, một ủy ban độc lập có thể khiến công ty của mình nộp một đề nghị trước khi xét xử để bác bỏ tại Tòa án Công lý. Cơ sở của đề nghị là lợi ích tốt nhất của công ty, như được xác định bởi ủy ban. Đề nghị nên bao gồm một hồ sơ bằng văn bản kỹ lưỡng về cuộc điều tra và các phát hiện và khuyến nghị của nó. Dưới sự giám sát thích hợp của Tòa án, tương tự như các thủ tục về phán quyết tóm tắt, mỗi bên nên có cơ hội để lập hồ sơ về đề nghị. Đối với các vấn đề hạn chế được trình bày bởi đề nghị được nêu dưới đây, bên đề nghị nên chuẩn bị để đáp ứng gánh nặng thông thường theo Quy tắc 56 rằng không có vấn đề thực sự nào về bất kỳ sự kiện quan trọng nào và bên đề nghị được quyền bác bỏ như một vấn đề pháp lý.</w:t>
      </w:r>
    </w:p>
    <w:p>
      <w:pPr>
        <w:spacing w:after="80"/>
      </w:pPr>
      <w:r>
        <w:rPr>
          <w:b w:val="0"/>
          <w:i w:val="0"/>
        </w:rPr>
        <w:t>Đầu tiên, Tòa án nên điều tra về tính độc lập và thiện chí của ủy ban và các cơ sở hỗ trợ cho kết luận của nó. Việc khám phá hạn chế có thể được ra lệnh để tạo điều kiện cho những cuộc điều tra như vậy. Công ty nên có gánh nặng chứng minh tính độc lập, thiện chí và một cuộc điều tra hợp lý, thay vì giả định tính độc lập, thiện chí và tính hợp lý. Nếu Tòa án xác định rằng ủy ban không độc lập hoặc không đưa ra được các cơ sở hợp lý cho kết luận của nó, hoặc, nếu Tòa án không hài lòng vì những lý do khác liên quan đến quy trình, bao gồm nhưng không giới hạn ở thiện chí của ủy ban, Tòa án sẽ bác bỏ đề nghị của công ty. Tuy nhiên, nếu Tòa án hài lòng theo các tiêu chuẩn của Quy tắc 56 rằng ủy ban độc lập và đưa ra được các cơ sở hợp lý cho các phát hiện và khuyến nghị thiện chí, Tòa án có thể tiến hành, theo quyết định của mình, đến bước tiếp theo.</w:t>
      </w:r>
    </w:p>
    <w:p>
      <w:pPr>
        <w:spacing w:after="80"/>
      </w:pPr>
      <w:r>
        <w:rPr>
          <w:b w:val="0"/>
          <w:i w:val="0"/>
        </w:rPr>
        <w:t>Bước thứ hai cung cấp, chúng tôi tin, chìa khóa thiết yếu trong việc tạo ra sự cân bằng giữa các khiếu nại chính đáng của công ty được thể hiện trong một vụ kiện cổ đông phái sinh và lợi ích tốt nhất của công ty được thể hiện bởi một ủy ban điều tra độc lập. Tòa án nên xác định, áp dụng phán đoán kinh doanh độc lập của chính mình, liệu đề nghị có nên được chấp thuận hay không. Điều này có nghĩa, tất nhiên, rằng các trường hợp có thể phát sinh nơi một ủy ban có thể thiết lập tính độc lập và các cơ sở vững chắc cho các quyết định thiện chí của mình và vẫn bị bác bỏ đề nghị của công ty. Bước thứ hai nhằm ngăn chặn những trường hợp nơi các hành động của công ty đáp ứng các tiêu chí của bước một, nhưng kết quả dường như không thỏa mãn tinh thần của nó, hoặc nơi các hành động của công ty sẽ chỉ đơn giản chấm dứt sớm một khiếu nại của cổ đông xứng đáng được xem xét thêm vì lợi ích của công ty. Tất nhiên, Tòa án Công lý phải cẩn thận xem xét và cân nhắc mức độ thuyết phục của lợi ích công ty trong việc bác bỏ khi đối mặt với một vụ kiện không phù phiếm. Tòa án Công lý nên, khi thích hợp, xem xét đặc biệt các vấn đề pháp lý và chính sách công ngoài lợi ích tốt nhất của công ty.</w:t>
      </w:r>
    </w:p>
    <w:p>
      <w:pPr>
        <w:spacing w:after="80"/>
      </w:pPr>
      <w:r>
        <w:rPr>
          <w:b w:val="0"/>
          <w:i w:val="0"/>
        </w:rPr>
        <w:t>Nếu phán đoán kinh doanh độc lập của Tòa án được thỏa mãn, Tòa án có thể tiến hành chấp thuận đề nghị, tất nhiên, tùy thuộc vào bất kỳ điều khoản hoặc điều kiện công bằng nào mà Tòa án cho là cần thiết hoặc mong muốn.</w:t>
      </w:r>
    </w:p>
    <w:p>
      <w:pPr>
        <w:pStyle w:val="Heading5"/>
      </w:pPr>
      <w:r>
        <w:rPr>
          <w:rFonts w:ascii="Calibri" w:hAnsi="Calibri"/>
          <w:b/>
          <w:i/>
          <w:sz w:val="22"/>
        </w:rPr>
        <w:t>Bình luận và Câu hỏi</w:t>
      </w:r>
    </w:p>
    <w:p>
      <w:pPr>
        <w:spacing w:after="80"/>
      </w:pPr>
      <w:r>
        <w:rPr>
          <w:b w:val="0"/>
          <w:i w:val="0"/>
        </w:rPr>
        <w:t xml:space="preserve">1. Tại sao tòa án trong vụ </w:t>
      </w:r>
      <w:r>
        <w:rPr>
          <w:b w:val="0"/>
          <w:i/>
        </w:rPr>
        <w:t>Zapata</w:t>
      </w:r>
      <w:r>
        <w:rPr>
          <w:b w:val="0"/>
          <w:i w:val="0"/>
        </w:rPr>
        <w:t xml:space="preserve"> lại chọn một tiêu chuẩn ít tôn trọng quyết định của hội đồng quản trị hơn so với quy tắc phán đoán kinh doanh (business judgment rule)? Tại sao tòa án lại được tin tưởng giao phó việc cân nhắc lợi ích doanh nghiệp trong bối cảnh này (xem xét đơn kiện phái sinh của cổ đông khi yêu cầu khởi kiện được miễn trừ), trong khi thẩm quyền của các giám đốc trong việc quyết định điều gì là tốt nhất cho công ty lại là bất khả xâm phạm trong nhiều tình huống khác?</w:t>
      </w:r>
    </w:p>
    <w:p>
      <w:pPr>
        <w:spacing w:after="80"/>
      </w:pPr>
      <w:r>
        <w:rPr>
          <w:b w:val="0"/>
          <w:i w:val="0"/>
        </w:rPr>
        <w:t xml:space="preserve">2. So sánh phán quyết trong </w:t>
      </w:r>
      <w:r>
        <w:rPr>
          <w:b w:val="0"/>
          <w:i/>
        </w:rPr>
        <w:t>Zapata</w:t>
      </w:r>
      <w:r>
        <w:rPr>
          <w:b w:val="0"/>
          <w:i w:val="0"/>
        </w:rPr>
        <w:t xml:space="preserve"> với quyết định trong </w:t>
      </w:r>
      <w:r>
        <w:rPr>
          <w:b w:val="0"/>
          <w:i/>
        </w:rPr>
        <w:t>Auerbach v. Bennett</w:t>
      </w:r>
      <w:r>
        <w:rPr>
          <w:b w:val="0"/>
          <w:i w:val="0"/>
        </w:rPr>
        <w:t xml:space="preserve">. Trong vụ đó, hội đồng quản trị của General Telephone &amp; Electronics đã thành lập một ủy ban tranh tụng đặc biệt (special litigation committee - SLC) để điều tra các khiếu nại phái sinh phát sinh từ việc GTE công bố rằng họ đã chi hơn 11 triệu đô-la tiền hối lộ và lại quả cho các quan chức nước ngoài và các đảng phái chính trị. SLC cuối cùng xác định rằng việc theo đuổi các khiếu nại cáo buộc chống lại một số thành viên hội đồng quản trị và kiểm toán viên bên ngoài của công ty không phải là điều tốt nhất cho GTE. Áp dụng quy tắc phán đoán kinh doanh, Tòa phúc thẩm New York đã tôn trọng quyết định của SLC. Theo tòa án, quyết định không truy tố các khiếu nại của SLC "nằm gọn trong phạm vi của học thuyết phán đoán kinh doanh, vì nó liên quan đến việc cân nhắc và cân bằng các yếu tố pháp lý, đạo đức, thương mại, quảng bá, quan hệ công chúng, tài chính và các yếu tố khác vốn quen thuộc trong việc giải quyết nhiều, nếu không muốn nói là hầu hết, các vấn đề doanh nghiệp. Ở mức độ này, kết luận mà ủy ban tranh tụng đặc biệt đưa ra nằm ngoài phạm vi xem xét của chúng tôi. Do đó, tòa án không thể hỏi những yếu tố nào đã được ủy ban đó xem xét hoặc trọng số tương đối dành cho chúng khi đưa ra quyết định thực chất đó." Những chính sách nào ủng hộ cách tiếp cận tôn trọng được áp dụng trong </w:t>
      </w:r>
      <w:r>
        <w:rPr>
          <w:b w:val="0"/>
          <w:i/>
        </w:rPr>
        <w:t>Auerbach</w:t>
      </w:r>
      <w:r>
        <w:rPr>
          <w:b w:val="0"/>
          <w:i w:val="0"/>
        </w:rPr>
        <w:t xml:space="preserve">? Quyết định nào, </w:t>
      </w:r>
      <w:r>
        <w:rPr>
          <w:b w:val="0"/>
          <w:i/>
        </w:rPr>
        <w:t>Zapata</w:t>
      </w:r>
      <w:r>
        <w:rPr>
          <w:b w:val="0"/>
          <w:i w:val="0"/>
        </w:rPr>
        <w:t xml:space="preserve"> hay </w:t>
      </w:r>
      <w:r>
        <w:rPr>
          <w:b w:val="0"/>
          <w:i/>
        </w:rPr>
        <w:t>Auerbach</w:t>
      </w:r>
      <w:r>
        <w:rPr>
          <w:b w:val="0"/>
          <w:i w:val="0"/>
        </w:rPr>
        <w:t>, mà bạn thấy thuyết phục hơn? Tại sao?</w:t>
      </w:r>
    </w:p>
    <w:p>
      <w:pPr>
        <w:spacing w:after="80"/>
      </w:pPr>
      <w:r>
        <w:rPr>
          <w:b w:val="0"/>
          <w:i w:val="0"/>
        </w:rPr>
        <w:t xml:space="preserve">3. Thiên lệch cấu trúc (structural bias) là gì? Thiên lệch cấu trúc có thể ảnh hưởng đến các quyết định của ủy ban tranh tụng đặc biệt như thế nào? Bạn có nghĩ rằng mối lo ngại của Tòa án Tối cao Delaware về thiên lệch cấu trúc, như được nêu trong </w:t>
      </w:r>
      <w:r>
        <w:rPr>
          <w:b w:val="0"/>
          <w:i/>
        </w:rPr>
        <w:t>Zapata</w:t>
      </w:r>
      <w:r>
        <w:rPr>
          <w:b w:val="0"/>
          <w:i w:val="0"/>
        </w:rPr>
        <w:t xml:space="preserve">, là chính đáng không? Tại sao có hoặc tại sao không? Mối lo ngại về thiên lệch cấu trúc có biện minh cho bước thứ hai của cuộc điều tra được công bố trong </w:t>
      </w:r>
      <w:r>
        <w:rPr>
          <w:b w:val="0"/>
          <w:i/>
        </w:rPr>
        <w:t>Zapata</w:t>
      </w:r>
      <w:r>
        <w:rPr>
          <w:b w:val="0"/>
          <w:i w:val="0"/>
        </w:rPr>
        <w:t xml:space="preserve"> không; nghĩa là, quyết định của tòa án xem xét áp dụng phán đoán kinh doanh độc lập của chính mình để xác định liệu công ty có nên theo đuổi các khiếu nại chống lại các giám đốc hay không? Tại sao thiên lệch cấu trúc lại không ảnh hưởng đến Tòa án Tối cao Delaware trong </w:t>
      </w:r>
      <w:r>
        <w:rPr>
          <w:b w:val="0"/>
          <w:i/>
        </w:rPr>
        <w:t>Aronson</w:t>
      </w:r>
      <w:r>
        <w:rPr>
          <w:b w:val="0"/>
          <w:i w:val="0"/>
        </w:rPr>
        <w:t xml:space="preserve"> để trao quyền tùy nghi tương tự (để xem xét thực chất các khiếu nại của nguyên đơn) cho các thẩm phán được giao nhiệm vụ quyết định việc yêu cầu khởi kiện là vô ích?</w:t>
      </w:r>
    </w:p>
    <w:p>
      <w:pPr>
        <w:spacing w:after="80"/>
      </w:pPr>
      <w:r>
        <w:rPr>
          <w:b w:val="0"/>
          <w:i w:val="0"/>
        </w:rPr>
        <w:t>4. Trong chừng mực mà một tòa án xem xét có thể thực hiện quyền tùy nghi của mình để tiến hành xem xét thực chất một quyết định thiện chí bác bỏ các khiếu nại phái sinh do một SLC độc lập đưa ra, tại sao tòa án trước tiên phải điều tra tính độc lập và thiện chí của ủy ban cũng như các cơ sở hỗ trợ cho kết luận của ủy ban? Nói cách khác, quyền tùy nghi của tòa án xem xét để tiến hành phân tích giai đoạn thứ hai có làm cho bước thứ nhất trở nên vô nghĩa không?</w:t>
      </w:r>
    </w:p>
    <w:p>
      <w:pPr>
        <w:spacing w:after="80"/>
      </w:pPr>
      <w:r>
        <w:rPr>
          <w:b w:val="0"/>
          <w:i w:val="0"/>
        </w:rPr>
        <w:t xml:space="preserve">5. Trên thực tế, các tòa án áp dụng luật Delaware hiếm khi thực hiện quyền tùy nghi của mình để tham gia vào nhánh thứ hai của bài kiểm tra </w:t>
      </w:r>
      <w:r>
        <w:rPr>
          <w:b w:val="0"/>
          <w:i/>
        </w:rPr>
        <w:t>Zapata</w:t>
      </w:r>
      <w:r>
        <w:rPr>
          <w:b w:val="0"/>
          <w:i w:val="0"/>
        </w:rPr>
        <w:t>. Bạn có thể nghĩ ra lý do tại sao các thẩm phán xem xét có thể ngần ngại áp dụng phán đoán kinh doanh độc lập của chính mình và quyết định liệu vụ kiện có nên tiếp tục hay không? Ngay cả khi các tòa án thường từ chối xem xét thực chất các khiếu nại, tại sao khả năng phân tích giai đoạn thứ hai vẫn có thể ảnh hưởng đến hành vi của hội đồng quản trị và các ủy ban tranh tụng đặc biệt của họ?</w:t>
      </w:r>
    </w:p>
    <w:p>
      <w:pPr>
        <w:spacing w:after="80"/>
      </w:pPr>
      <w:r>
        <w:rPr>
          <w:b w:val="0"/>
          <w:i w:val="0"/>
        </w:rPr>
        <w:t xml:space="preserve">6. Như được chỉ ra bởi phán quyết trong </w:t>
      </w:r>
      <w:r>
        <w:rPr>
          <w:b w:val="0"/>
          <w:i/>
        </w:rPr>
        <w:t>Zapata</w:t>
      </w:r>
      <w:r>
        <w:rPr>
          <w:b w:val="0"/>
          <w:i w:val="0"/>
        </w:rPr>
        <w:t>, các tòa án và các nhà bình luận đã bày tỏ sự hoài nghi về việc liệu các giám đốc có bao giờ quyết định rằng công ty nên truy tố các vụ kiện phái sinh của cổ đông hay không. Những người hoài nghi coi quy trình SLC là một phương pháp mà qua đó các giám đốc vốn đã có định kiến từ trước hợp pháp hóa các quyết định của họ để phản đối các khiếu nại của cổ đông. Các học giả pháp lý đã điều tra lời chỉ trích này vào những năm 1980 phát hiện rằng các SLC gần như luôn luôn quyết định rằng việc theo đuổi các khiếu nại của nguyên đơn không phải là điều tốt nhất cho công ty của họ.</w:t>
      </w:r>
    </w:p>
    <w:p>
      <w:pPr>
        <w:spacing w:after="80"/>
      </w:pPr>
      <w:r>
        <w:rPr>
          <w:b w:val="0"/>
          <w:i w:val="0"/>
        </w:rPr>
        <w:t>Tuy nhiên, gần đây hơn, các phát hiện nghiên cứu đã làm dấy lên một số nghi ngờ. Giáo sư Minor Myers, người đã nghiên cứu các quyết định của 106 SLC được thành lập trong giai đoạn 1995–2004, phát hiện rằng hơn bốn mươi phần trăm trường hợp, các SLC quyết định dàn xếp các khiếu nại hoặc theo đuổi ít nhất một số cáo buộc chống lại một hoặc nhiều bị đơn. Hơn nữa, các quyết định theo đuổi hoặc dàn xếp các khiếu nại thường dẫn đến các khoản thu hồi tài chính đáng kể cho các công ty, cho thấy rằng các SLC không phải lúc nào cũng "dễ dãi" với các bị đơn. Tuy nhiên, khi phân tích một bộ dữ liệu gốc được thu thập thủ công gồm hơn 180 vụ kiện phái sinh của cổ đông được nộp tại các tòa án liên bang từ 2005–06, Giáo sư Jessica Erickson chỉ tìm thấy một trường hợp mà SLC đề nghị công ty theo đuổi các khiếu nại chống lại một bị đơn. Trong mọi trường hợp, các SLC đều đề nghị bác bỏ các khiếu nại chống lại ít nhất một (và thường là nhiều hơn một) bị đơn.</w:t>
      </w:r>
    </w:p>
    <w:p>
      <w:pPr>
        <w:spacing w:after="80"/>
      </w:pPr>
      <w:r>
        <w:rPr>
          <w:b w:val="0"/>
          <w:i w:val="0"/>
        </w:rPr>
        <w:t>Điều gì có thể giải thích những phát hiện có vẻ mâu thuẫn này? Liệu các khiếu nại phái sinh của cổ đông có nhiều giá trị hơn không? Liệu các hội đồng quản trị doanh nghiệp có thể đã trở nên độc lập hơn không?</w:t>
      </w:r>
    </w:p>
    <w:p>
      <w:pPr>
        <w:spacing w:after="80"/>
      </w:pPr>
      <w:r>
        <w:rPr>
          <w:b w:val="0"/>
          <w:i w:val="0"/>
        </w:rPr>
        <w:t xml:space="preserve">7. Bất kể tính độc lập của ủy ban tranh tụng đặc biệt và tính hợp lý của cuộc điều tra của nó, các khu vực tài phán khác yêu cầu các tòa án xem xét phải xác định liệu ủy ban tranh tụng đặc biệt có đưa ra một quyết định hợp lý và có nguyên tắc trên cơ sở bằng chứng được trình bày hay không. Trong </w:t>
      </w:r>
      <w:r>
        <w:rPr>
          <w:b w:val="0"/>
          <w:i/>
        </w:rPr>
        <w:t>Houle v. Low</w:t>
      </w:r>
      <w:r>
        <w:rPr>
          <w:b w:val="0"/>
          <w:i w:val="0"/>
        </w:rPr>
        <w:t xml:space="preserve">, ví dụ, Tòa án Tư pháp Tối cao Massachusetts đã ra lệnh cho các thẩm phán xác định thực chất của vụ kiện, nhưng Tòa án đã hạn chế phân tích thực chất của các tòa án cấp dưới về thực chất, chỉ đạo rằng họ xem xét các yếu tố như khả năng có phán quyết có lợi cho nguyên đơn, khoản thu hồi dự kiến so với chi phí thực tế, liệu công ty có tự thực hiện hành động khắc phục hay không, liệu sự cân bằng lợi ích doanh nghiệp có biện minh cho việc bác bỏ hay không, và liệu việc bác bỏ có cho phép bất kỳ bị đơn nào kiểm soát công ty giữ lại một lợi ích không chính đáng đáng kể hay không. Theo </w:t>
      </w:r>
      <w:r>
        <w:rPr>
          <w:b w:val="0"/>
          <w:i/>
        </w:rPr>
        <w:t>Houle</w:t>
      </w:r>
      <w:r>
        <w:rPr>
          <w:b w:val="0"/>
          <w:i w:val="0"/>
        </w:rPr>
        <w:t xml:space="preserve">, việc xem xét hạn chế như vậy "tránh được vấn đề ở cấp độ thứ hai của bài kiểm tra </w:t>
      </w:r>
      <w:r>
        <w:rPr>
          <w:b w:val="0"/>
          <w:i/>
        </w:rPr>
        <w:t>Zapata</w:t>
      </w:r>
      <w:r>
        <w:rPr>
          <w:b w:val="0"/>
          <w:i w:val="0"/>
        </w:rPr>
        <w:t>, vốn yêu cầu thẩm phán thực hiện phán đoán kinh doanh của chính mình. Các tòa án có khả năng xác định thực chất của một vụ kiện tốt hơn là liệu một quyết định có đúng đắn dựa trên đánh giá chủ quan về các chính sách kinh doanh liên quan hay không." Bạn có đồng ý không?</w:t>
      </w:r>
    </w:p>
    <w:p>
      <w:pPr>
        <w:pStyle w:val="Heading4"/>
      </w:pPr>
      <w:r>
        <w:rPr>
          <w:rFonts w:ascii="Calibri" w:hAnsi="Calibri"/>
          <w:b/>
          <w:i w:val="0"/>
          <w:sz w:val="23"/>
        </w:rPr>
        <w:t>3. Khi Nào Các Giám đốc Được Coi là "Độc lập"?</w:t>
      </w:r>
    </w:p>
    <w:p>
      <w:pPr>
        <w:spacing w:after="80"/>
      </w:pPr>
      <w:r>
        <w:rPr>
          <w:b w:val="0"/>
          <w:i w:val="0"/>
        </w:rPr>
        <w:t>Tính độc lập của các giám đốc quan trọng trong ít nhất hai giai đoạn của một vụ kiện phái sinh. Thứ nhất, các tòa án phân tích tính độc lập của các giám đốc khi quyết định một đề nghị của các bị đơn yêu cầu bác bỏ đơn kiện vì nguyên đơn không thực hiện yêu cầu khởi kiện lên hội đồng quản trị. Tòa án sẽ xem xét các cáo buộc cụ thể của nguyên đơn và xác định liệu đơn kiện có tạo ra nghi ngờ hợp lý về tính độc lập của các giám đốc trong việc đánh giá một yêu cầu khởi kiện hay không. Một lần nữa, ở giai đoạn này của thủ tục tố tụng, cổ đông nguyên đơn có nghĩa vụ chứng minh về vấn đề độc lập, nhưng không có sẵn quy trình khám phá chứng cứ (discovery), nguyên đơn phải sử dụng "các công cụ trong tay" — chẳng hạn như các tài liệu thu được từ việc kiểm tra sổ sách và hồ sơ của công ty — để trình bày các sự kiện đủ để đánh bại đề nghị bác bỏ của các bị đơn. Thứ hai, giả sử yêu cầu khởi kiện được miễn trừ và hội đồng quản trị đã giao phó việc quản lý vụ kiện cho một ủy ban tranh tụng đặc biệt, các tòa án quyết định đề nghị bác bỏ của các bị đơn phải phân tích tính độc lập của SLC. Trong vụ án sau đây, Tòa án Tối cao Delaware đã xem xét khi nào các mối quan hệ kinh doanh và xã hội giữa các giám đốc không có quyền lợi liên quan và các giám đốc bị đơn tạo ra nghi ngờ hợp lý về tính độc lập của các giám đốc.</w:t>
      </w:r>
    </w:p>
    <w:p>
      <w:pPr>
        <w:pStyle w:val="Heading4"/>
      </w:pPr>
      <w:r>
        <w:rPr>
          <w:rFonts w:ascii="Calibri" w:hAnsi="Calibri"/>
          <w:b/>
          <w:i w:val="0"/>
          <w:sz w:val="23"/>
        </w:rPr>
        <w:t>Beam ex rel. Martha Stewart Living Omnimedia, Inc. v. Stewart</w:t>
      </w:r>
    </w:p>
    <w:p>
      <w:pPr>
        <w:spacing w:after="80"/>
      </w:pPr>
      <w:r>
        <w:rPr>
          <w:b w:val="0"/>
          <w:i w:val="0"/>
        </w:rPr>
        <w:t>Tòa án Tối cao Delaware</w:t>
      </w:r>
      <w:r>
        <w:br/>
      </w:r>
      <w:r>
        <w:rPr>
          <w:b w:val="0"/>
          <w:i w:val="0"/>
        </w:rPr>
        <w:t xml:space="preserve"> 845 A.2d 1040 (2004)</w:t>
      </w:r>
    </w:p>
    <w:p>
      <w:pPr>
        <w:spacing w:after="80"/>
      </w:pPr>
      <w:r>
        <w:rPr>
          <w:b w:val="0"/>
          <w:i w:val="0"/>
        </w:rPr>
        <w:t>VEASEY, CHÁNH ÁN:</w:t>
      </w:r>
    </w:p>
    <w:p>
      <w:pPr>
        <w:spacing w:after="80"/>
      </w:pPr>
      <w:r>
        <w:rPr>
          <w:b w:val="0"/>
          <w:i w:val="0"/>
        </w:rPr>
        <w:t>Vấn đề duy nhất trước chúng tôi là việc yêu cầu khởi kiện là vô ích. Nhưng, theo thẩm quyền xem xét phúc thẩm toàn diện của chúng tôi, chúng tôi tiến hành giải thích thêm một số điểm được Thẩm phán (Chancellor) đề cập, bao gồm cả vấn đề độc lập của giám đốc.</w:t>
      </w:r>
    </w:p>
    <w:p>
      <w:pPr>
        <w:spacing w:after="80"/>
      </w:pPr>
      <w:r>
        <w:rPr>
          <w:b w:val="0"/>
          <w:i w:val="0"/>
        </w:rPr>
        <w:t>Nguyên đơn, Monica A. Beam, sở hữu cổ phần của Martha Stewart Living Omnimedia, Inc. (MSO). Beam đã nộp đơn kiện phái sinh (derivative action) tại Tòa án Chancery chống lại Martha Stewart, năm thành viên khác trong hội đồng quản trị của MSO, và cựu thành viên hội đồng quản trị L. John Doerr.</w:t>
      </w:r>
    </w:p>
    <w:p>
      <w:pPr>
        <w:spacing w:after="80"/>
      </w:pPr>
      <w:r>
        <w:rPr>
          <w:b w:val="0"/>
          <w:i w:val="0"/>
        </w:rPr>
        <w:t>Trong khiếu nại duy nhất được xem xét trong kháng cáo, Beam cáo buộc rằng Stewart đã vi phạm nghĩa vụ trung thành và cẩn trọng (duties of loyalty and care) của mình bằng cách bán cổ phiếu ImClone một cách bất hợp pháp vào tháng 12 năm 2001 và xử lý sai lầm sự chú ý của truyền thông sau đó, từ đó gây nguy hiểm cho tương lai tài chính của MSO. Tòa án Chancery đã bác bỏ theo Quy tắc 23.1 của Tòa án Chancery vì Beam đã không trình bày được các tình tiết cụ thể chứng minh việc yêu cầu trước khi khởi kiện (presuit demand) là vô ích.</w:t>
      </w:r>
    </w:p>
    <w:p>
      <w:pPr>
        <w:spacing w:after="80"/>
      </w:pPr>
      <w:r>
        <w:rPr>
          <w:b w:val="0"/>
          <w:i w:val="0"/>
        </w:rPr>
        <w:t>Khi Beam nộp đơn khiếu nại tại Tòa án Chancery, hội đồng quản trị của MSO gồm sáu thành viên: Stewart, Sharon L. Patrick, Arthur C. Martinez, Darla D. Moore, Naomi O. Seligman, và Jeffrey W. Ubben. Thẩm phán kết luận rằng đơn khiếu nại đã nêu đủ tình tiết để hỗ trợ kết luận rằng hai thành viên hội đồng quản trị, Stewart và Patrick, không có quyền lợi liên quan (disinterested) hoặc độc lập (independent) cho mục đích xem xét yêu cầu trước khi khởi kiện.</w:t>
      </w:r>
    </w:p>
    <w:p>
      <w:pPr>
        <w:spacing w:after="80"/>
      </w:pPr>
      <w:r>
        <w:rPr>
          <w:b w:val="0"/>
          <w:i w:val="0"/>
        </w:rPr>
        <w:t>Tòa án Chancery nhận thấy rằng trách nhiệm dân sự và hình sự tiềm tàng của Stewart đối với các hành vi làm cơ sở cho khiếu nại của Beam khiến Stewart trở thành một bên có quyền lợi liên quan và do đó không thể xem xét yêu cầu. Tòa án cũng nhận thấy rằng vị trí của Patrick với tư cách là một quan chức điều hành và thành viên hội đồng quản trị nội bộ, cùng với khoản thù lao đáng kể mà bà nhận được từ công ty, làm dấy lên nghi ngờ hợp lý về khả năng xem xét yêu cầu một cách khách quan của bà. Các bị đơn không phản đối kết luận của Tòa án liên quan đến Patrick và Stewart.</w:t>
      </w:r>
    </w:p>
    <w:p>
      <w:pPr>
        <w:spacing w:after="80"/>
      </w:pPr>
      <w:r>
        <w:rPr>
          <w:b w:val="0"/>
          <w:i w:val="0"/>
        </w:rPr>
        <w:t>Giờ đây chúng tôi xem xét các cáo buộc của nguyên đơn liên quan đến tính độc lập của các thành viên hội đồng quản trị khác. Chúng tôi phải xác định liệu những cáo buộc sau đây trong đơn khiếu nại, và những suy luận hợp lý có thể rút ra từ chúng, có tạo ra nghi ngờ hợp lý về tính độc lập của Martinez, Moore hoặc Seligman hay không:</w:t>
      </w:r>
    </w:p>
    <w:p>
      <w:pPr>
        <w:spacing w:after="80"/>
      </w:pPr>
      <w:r>
        <w:rPr>
          <w:b w:val="0"/>
          <w:i w:val="0"/>
        </w:rPr>
        <w:t xml:space="preserve">Bị đơn Arthur C. Martinez (“Martinez”) là thành viên hội đồng quản trị của Công ty, vị trí mà ông đã giữ từ tháng 1 năm 2001. Martinez là bạn thân lâu năm của các bị đơn Stewart và Patrick. Khi còn ở Sears, Martinez đã thiết lập mối quan hệ với Công ty, đơn vị đã tiếp thị một khối lượng lớn sản phẩm thông qua Sears. Martinez được tuyển vào hội đồng quản trị bởi Charlotte Beers, bạn thân lâu năm của Stewart. Bị đơn Patrick đã được trích dẫn trong một bài báo ngày 22 tháng 3 năm 2001 đăng trên </w:t>
      </w:r>
      <w:r>
        <w:rPr>
          <w:b w:val="0"/>
          <w:i/>
        </w:rPr>
        <w:t>Directors &amp; Board</w:t>
      </w:r>
      <w:r>
        <w:rPr>
          <w:b w:val="0"/>
          <w:i w:val="0"/>
        </w:rPr>
        <w:t xml:space="preserve"> như sau: ‘Arthur là một người bạn cũ của cả tôi và Martha.’</w:t>
      </w:r>
    </w:p>
    <w:p>
      <w:pPr>
        <w:spacing w:after="80"/>
      </w:pPr>
      <w:r>
        <w:rPr>
          <w:b w:val="0"/>
          <w:i w:val="0"/>
        </w:rPr>
        <w:t xml:space="preserve">Bị đơn Darla D. Moore (“Moore”) là thành viên hội đồng quản trị của Công ty, vị trí mà bà đã giữ từ tháng 9 năm 2001. Moore là bạn lâu năm của bị đơn Stewart. Vào tháng 11 năm 1995, bà đã tham dự một buổi tiệc cưới do luật sư riêng của Stewart, Allen Grubman, tổ chức cho con gái ông. Tham dự cùng còn có Stewart và bạn của Stewart, Samuel Waksal. Vào tháng 8 năm 1996, </w:t>
      </w:r>
      <w:r>
        <w:rPr>
          <w:b w:val="0"/>
          <w:i/>
        </w:rPr>
        <w:t>Fortune</w:t>
      </w:r>
      <w:r>
        <w:rPr>
          <w:b w:val="0"/>
          <w:i w:val="0"/>
        </w:rPr>
        <w:t xml:space="preserve"> đăng một bài báo nhấn mạnh mối quan hệ cá nhân thân thiết của Moore với Charlotte Beers và bị đơn Stewart. Khi Beers, một người bạn lâu năm và là tri kỷ của Stewart, từ chức khỏi hội đồng quản trị của Công ty vào tháng 9 năm 2001, Moore được đề cử để thay thế bà.</w:t>
      </w:r>
    </w:p>
    <w:p>
      <w:pPr>
        <w:spacing w:after="80"/>
      </w:pPr>
      <w:r>
        <w:rPr>
          <w:b w:val="0"/>
          <w:i w:val="0"/>
        </w:rPr>
        <w:t xml:space="preserve">Bị đơn Naomi O. Seligman (“Seligman”) là thành viên hội đồng quản trị của Công ty, vị trí mà bà đã giữ từ tháng 9 năm 1999. Theo một bài báo đăng ngày 2 tháng 7 năm 2002 trên </w:t>
      </w:r>
      <w:r>
        <w:rPr>
          <w:b w:val="0"/>
          <w:i/>
        </w:rPr>
        <w:t>The Wall Street Journal</w:t>
      </w:r>
      <w:r>
        <w:rPr>
          <w:b w:val="0"/>
          <w:i w:val="0"/>
        </w:rPr>
        <w:t xml:space="preserve"> , Seligman đã liên hệ với Giám đốc điều hành của John Wiley &amp; Sons (một nhà xuất bản) theo yêu cầu của bị đơn Stewart vào năm ngoái để bày tỏ lo ngại về kế hoạch xuất bản một cuốn tiểu sử chỉ trích Stewart của họ.</w:t>
      </w:r>
    </w:p>
    <w:p>
      <w:pPr>
        <w:spacing w:after="80"/>
      </w:pPr>
      <w:r>
        <w:rPr>
          <w:b w:val="0"/>
          <w:i w:val="0"/>
        </w:rPr>
        <w:t>Martinez, Moore, Seligman, và Ubben sau đây được gọi chung là Các Bị đơn Thành viên Hội đồng quản trị (Director Defendants). Do quyền kiểm soát biểu quyết áp đảo của Stewart đối với Công ty, mỗi Bị đơn Thành viên Hội đồng quản trị đều phục vụ theo ý muốn của bà. Mỗi Bị đơn Thành viên Hội đồng quản trị nhận được những đặc quyền và lợi ích có giá trị nhờ việc phục vụ trong Hội đồng quản trị của Công ty.</w:t>
      </w:r>
    </w:p>
    <w:p>
      <w:pPr>
        <w:spacing w:after="80"/>
      </w:pPr>
      <w:r>
        <w:rPr>
          <w:b w:val="0"/>
          <w:i w:val="0"/>
        </w:rPr>
        <w:t>CÁC CÁO BUỘC VỀ YÊU CẦU</w:t>
      </w:r>
    </w:p>
    <w:p>
      <w:pPr>
        <w:spacing w:after="80"/>
      </w:pPr>
      <w:r>
        <w:rPr>
          <w:b w:val="0"/>
          <w:i w:val="0"/>
        </w:rPr>
        <w:t>73. . . . Không có yêu cầu nào được gửi đến Hội đồng quản trị trước khi khởi kiện vụ án này, vì đa số thành viên Hội đồng quản trị không độc lập hoặc không có quyền lợi liên quan đối với các khiếu nại được nêu ở đây.</w:t>
      </w:r>
    </w:p>
    <w:p>
      <w:pPr>
        <w:spacing w:after="80"/>
      </w:pPr>
      <w:r>
        <w:rPr>
          <w:b w:val="0"/>
          <w:i w:val="0"/>
        </w:rPr>
        <w:t>77. Bị đơn Martinez không có quyền lợi liên quan xét theo tình bạn cá nhân lâu năm của ông với cả Patrick và Stewart.</w:t>
      </w:r>
    </w:p>
    <w:p>
      <w:pPr>
        <w:spacing w:after="80"/>
      </w:pPr>
      <w:r>
        <w:rPr>
          <w:b w:val="0"/>
          <w:i w:val="0"/>
        </w:rPr>
        <w:t>78. Bị đơn Moore không có quyền lợi liên quan xét theo mối quan hệ cá nhân lâu năm của bà với bị đơn Stewart.</w:t>
      </w:r>
    </w:p>
    <w:p>
      <w:pPr>
        <w:spacing w:after="80"/>
      </w:pPr>
      <w:r>
        <w:rPr>
          <w:b w:val="0"/>
          <w:i w:val="0"/>
        </w:rPr>
        <w:t>79. Bị đơn Seligman không có quyền lợi liên quan; bà đã cho thấy rằng bà sẽ sử dụng vị trí thành viên hội đồng quản trị của mình tại một công ty khác để hành động theo yêu cầu của bị đơn Stewart khi bà liên hệ với Giám đốc điều hành của John Wiley &amp; Sons nhằm cố gắng ngăn cản nhà xuất bản này xuất bản một cuốn tiểu sử chỉ trích Stewart.</w:t>
      </w:r>
    </w:p>
    <w:p>
      <w:pPr>
        <w:spacing w:after="80"/>
      </w:pPr>
      <w:r>
        <w:rPr>
          <w:b w:val="0"/>
          <w:i w:val="0"/>
        </w:rPr>
        <w:t>80. Các Bị đơn Thành viên Hội đồng quản trị không có quyền lợi liên quan vì họ cùng chịu trách nhiệm liên đới và riêng rẽ với Stewart xét theo việc họ đã không giám sát hành động của Stewart. Hơn nữa, việc theo đuổi các khiếu nại này sẽ gây nguy hiểm cho những lợi ích đáng kể mà họ được hưởng nhờ việc phục vụ trong Hội đồng quản trị, do quyền kiểm soát biểu quyết của Stewart.</w:t>
      </w:r>
    </w:p>
    <w:p>
      <w:pPr>
        <w:spacing w:after="80"/>
      </w:pPr>
      <w:r>
        <w:rPr>
          <w:b w:val="0"/>
          <w:i/>
        </w:rPr>
        <w:t>Phán quyết của Tòa án Chancery</w:t>
      </w:r>
    </w:p>
    <w:p>
      <w:pPr>
        <w:spacing w:after="80"/>
      </w:pPr>
      <w:r>
        <w:rPr>
          <w:b w:val="0"/>
          <w:i w:val="0"/>
        </w:rPr>
        <w:t>Thủ tướng phát hiện rằng Beam đã không đưa ra đủ sự kiện để hỗ trợ kết luận rằng yêu cầu là vô ích, bởi vì ông xác định rằng đơn kiện đã không nêu lên được nghi ngờ hợp lý rằng các giám đốc bên ngoài này độc lập với Stewart. Vì Patrick và bản thân Stewart không độc lập cho mục đích yêu cầu, nên tất cả những gì nguyên đơn cần chứng minh là một trong những giám đốc còn lại không độc lập, khi chỉ có sáu thành viên hội đồng quản trị.</w:t>
      </w:r>
    </w:p>
    <w:p>
      <w:pPr>
        <w:spacing w:after="80"/>
      </w:pPr>
      <w:r>
        <w:rPr>
          <w:b w:val="0"/>
          <w:i w:val="0"/>
        </w:rPr>
        <w:t>Thật thích hợp ở đây để trích dẫn phân tích của Thủ tướng về các cáo buộc liên quan đến ba giám đốc này:</w:t>
      </w:r>
    </w:p>
    <w:p>
      <w:pPr>
        <w:spacing w:after="80"/>
      </w:pPr>
      <w:r>
        <w:rPr>
          <w:b w:val="0"/>
          <w:i w:val="0"/>
        </w:rPr>
        <w:t>. . . [T]he amended complaint does not give a single example of any action by Martinez that might be construed as evidence of even a slight inclination to disregard his duties as a fiduciary for any reason. In this context, I cannot reasonably infer, on the basis of several years of business interactions and a single affirmation of friendship by a third party, that the friendship between Stewart and Martinez raises a reasonable doubt of Martinez's ability to evaluate demand independently of Stewart's personal interests.</w:t>
      </w:r>
    </w:p>
    <w:p>
      <w:pPr>
        <w:spacing w:after="80"/>
      </w:pPr>
      <w:r>
        <w:rPr>
          <w:b w:val="0"/>
          <w:i w:val="0"/>
        </w:rPr>
        <w:t>Các cáo buộc về tình bạn giữa Moore và Stewart có phần chi tiết hơn, nhưng vẫn chưa đủ để nêu lên nghi ngờ hợp lý về khả năng Moore xem xét yêu cầu một cách thích đáng. Theo tôi, đây thực sự là một quyết định rất sát nút. Có lẽ cán cân có thể đã nghiêng nếu có thêm các cáo buộc chi tiết hơn về mức độ thân thiết hoặc bản chất của tình bạn, các chi tiết về những tương tác trong công việc và xã hội giữa hai người, hoặc các cáo buộc nêu lên những cân nhắc bổ sung có thể ảnh hưởng không thích đáng đến khả năng Moore xem xét một cách vô tư việc theo đuổi vụ kiện chống lại Stewart. Tuy nhiên, dựa trên các sự kiện được nêu, tôi không thể nói rằng tôi có nghi ngờ hợp lý về khả năng Moore xem xét yêu cầu một cách thích đáng. . . .</w:t>
      </w:r>
    </w:p>
    <w:p>
      <w:pPr>
        <w:spacing w:after="80"/>
      </w:pPr>
      <w:r>
        <w:rPr>
          <w:b w:val="0"/>
          <w:i w:val="0"/>
        </w:rPr>
        <w:t>Không có cáo buộc nào cho rằng Seligman đã có bất kỳ nỗ lực không thích đáng nào nhằm ngăn chặn việc xuất bản cuốn tiểu sử. Đơn kiện sửa đổi cũng không cho biết liệu cuối cùng cuốn tiểu sử có được xuất bản hay không và, nếu có, liệu việc hỏi thăm của Seligman có được cho là đã dẫn đến bất kỳ thay đổi nào trong nội dung cuốn sách hay không. Như được cáo buộc, vấn đề này không giúp nêu lên nghi ngờ hợp lý về tính độc lập của Seligman hay khả năng xem xét yêu cầu theo Điều khoản I. . . .</w:t>
      </w:r>
    </w:p>
    <w:p>
      <w:pPr>
        <w:spacing w:after="80"/>
      </w:pPr>
      <w:r>
        <w:rPr>
          <w:b w:val="0"/>
          <w:i/>
        </w:rPr>
        <w:t>Yêu cầu vô ích và tính độc lập của giám đốc</w:t>
      </w:r>
    </w:p>
    <w:p>
      <w:pPr>
        <w:spacing w:after="80"/>
      </w:pPr>
      <w:r>
        <w:rPr>
          <w:b w:val="0"/>
          <w:i w:val="0"/>
        </w:rPr>
        <w:t>Tòa án này xem xét lại de novo quyết định của Tòa án Chancery về việc bác bỏ một vụ kiện phái sinh theo Quy tắc 23.1. Phạm vi xem xét của Tòa án này là toàn diện. Tòa án nên đưa ra mọi suy luận hợp lý theo hướng có lợi cho nguyên đơn. . . .</w:t>
      </w:r>
    </w:p>
    <w:p>
      <w:pPr>
        <w:spacing w:after="80"/>
      </w:pPr>
      <w:r>
        <w:rPr>
          <w:b w:val="0"/>
          <w:i w:val="0"/>
        </w:rPr>
        <w:t xml:space="preserve">Theo nhánh thứ nhất của </w:t>
      </w:r>
      <w:r>
        <w:rPr>
          <w:b w:val="0"/>
          <w:i/>
        </w:rPr>
        <w:t>Aronson</w:t>
      </w:r>
      <w:r>
        <w:rPr>
          <w:b w:val="0"/>
          <w:i w:val="0"/>
        </w:rPr>
        <w:t xml:space="preserve"> , một cổ đông không thể theo đuổi vụ kiện phái sinh để đưa ra yêu cầu của công ty trừ khi: (a) trước tiên người đó đã yêu cầu các giám đốc theo đuổi yêu cầu của công ty và họ đã từ chối một cách sai trái; hoặc (b) yêu cầu đó được miễn trừ vì các giám đốc được coi là không có khả năng đưa ra quyết định vô tư liên quan đến việc theo đuổi vụ kiện. Vấn đề trong vụ án này là mức độ nghi ngờ về tính độc lập của một giám đốc như thế nào thì được coi là "hợp lý" để miễn trừ yêu cầu trước khi khởi kiện. Các bên tranh luận ở hai phía đối lập của vấn đề đó.</w:t>
      </w:r>
    </w:p>
    <w:p>
      <w:pPr>
        <w:spacing w:after="80"/>
      </w:pPr>
      <w:r>
        <w:rPr>
          <w:b w:val="0"/>
          <w:i w:val="0"/>
        </w:rPr>
        <w:t>Nguyên tắc then chốt mà lĩnh vực án lệ này dựa trên là các giám đốc được hưởng một giả định rằng họ đã trung thành với nghĩa vụ ủy thác của mình. Trong bối cảnh yêu cầu, nghĩa vụ chứng minh thuộc về nguyên đơn trong một vụ kiện phái sinh để bác bỏ giả định đó. Tòa án phải xác định liệu nguyên đơn có nêu ra các sự kiện cụ thể tạo ra nghi ngờ hợp lý về tính độc lập của một giám đốc để bác bỏ giả định ở giai đoạn nêu đơn kiện hay không. Nếu Tòa án xác định rằng các sự kiện được nêu tạo ra nghi ngờ hợp lý rằng đa số hội đồng quản trị có thể đã hành động độc lập khi phản hồi yêu cầu, thì giả định bị bác bỏ cho mục đích nêu đơn kiện và yêu cầu sẽ được miễn trừ vì vô ích.</w:t>
      </w:r>
    </w:p>
    <w:p>
      <w:pPr>
        <w:spacing w:after="80"/>
      </w:pPr>
      <w:r>
        <w:rPr>
          <w:b w:val="0"/>
          <w:i w:val="0"/>
        </w:rPr>
        <w:t>Một giám đốc sẽ được coi là không có khả năng hành động khách quan đối với một yêu cầu trước khi khởi kiện nếu người đó có lợi ích trong kết quả của vụ kiện hoặc không độc lập theo cách khác. Lợi ích của một giám đốc có thể được chứng minh bằng cách cho thấy một lợi ích cá nhân tiềm tàng hoặc tổn hại đối với giám đốc đó do kết quả của quyết định. "Trong những trường hợp như vậy, không thể mong đợi một giám đốc thực hiện phán đoán kinh doanh độc lập của mình mà không bị ảnh hưởng bởi . . . những hậu quả cá nhân phát sinh từ quyết định đó." Cơ sở chính để đo lường tính độc lập của một giám đốc là liệu quyết định của giám đốc đó có dựa trên giá trị công ty của vấn đề trước hội đồng quản trị hay không, thay vì những cân nhắc hoặc ảnh hưởng không liên quan.</w:t>
      </w:r>
    </w:p>
    <w:p>
      <w:pPr>
        <w:spacing w:after="80"/>
      </w:pPr>
      <w:r>
        <w:rPr>
          <w:b w:val="0"/>
          <w:i/>
        </w:rPr>
        <w:t>Tính độc lập là một cuộc điều tra theo bối cảnh</w:t>
      </w:r>
    </w:p>
    <w:p>
      <w:pPr>
        <w:spacing w:after="80"/>
      </w:pPr>
      <w:r>
        <w:rPr>
          <w:b w:val="0"/>
          <w:i w:val="0"/>
        </w:rPr>
        <w:t>Tính độc lập là một xác định dựa trên sự kiện cụ thể được đưa ra trong bối cảnh của một vụ án cụ thể. Tòa án phải đưa ra xác định đó bằng cách trả lời các câu hỏi: độc lập với ai và độc lập vì mục đích gì? Để miễn trừ yêu cầu trước khi khởi kiện trong vụ án này, nguyên đơn có nghĩa vụ nêu ra các sự kiện cụ thể tạo ra nghi ngờ hợp lý đủ để bác bỏ giả định rằng Moore, Seligman hoặc Martinez độc lập với bị đơn Stewart.</w:t>
      </w:r>
    </w:p>
    <w:p>
      <w:pPr>
        <w:spacing w:after="80"/>
      </w:pPr>
      <w:r>
        <w:rPr>
          <w:b w:val="0"/>
          <w:i w:val="0"/>
        </w:rPr>
        <w:t>Để cho thấy sự thiếu độc lập, đơn kiện của một cổ đông-nguyên đơn phải tạo ra nghi ngờ hợp lý rằng một giám đốc không quá "mắc nợ" một giám đốc có lợi ích (trong trường hợp này là Stewart) đến mức "sự tùy nghi của người đó bị vô hiệu hóa." Án lệ của chúng ta giải thích yêu cầu về yêu cầu:</w:t>
      </w:r>
    </w:p>
    <w:p>
      <w:pPr>
        <w:spacing w:after="80"/>
      </w:pPr>
      <w:r>
        <w:rPr>
          <w:b w:val="0"/>
          <w:i w:val="0"/>
        </w:rPr>
        <w:t>được thiết kế để tạo ra một môi trường cân bằng nhằm: (1) một mặt, ngăn chặn các vụ kiện tốn kém, vô căn cứ bằng cách tạo ra một cơ chế sàng lọc để loại bỏ các yêu cầu chỉ dựa trên sự nghi ngờ được diễn đạt thuần túy bằng các kết luận; và (2) mặt khác, cho phép một cổ đông có khả năng trình bày các sự kiện cụ thể cho thấy có nghi ngờ hợp lý rằng hoặc (a) đa số hội đồng quản trị độc lập cho mục đích phản hồi yêu cầu, hoặc (b) giao dịch cơ bản được bảo vệ bởi quy tắc phán đoán kinh doanh.</w:t>
      </w:r>
    </w:p>
    <w:p>
      <w:pPr>
        <w:spacing w:after="80"/>
      </w:pPr>
      <w:r>
        <w:rPr>
          <w:b w:val="0"/>
          <w:i w:val="0"/>
        </w:rPr>
        <w:t>Tiêu chuẩn "nghi ngờ hợp lý" "đủ linh hoạt và khả thi để cung cấp cho cổ đông 'chìa khóa vào tòa án' trong một trường hợp thích hợp khi yêu cầu không dựa trên sự nghi ngờ đơn thuần hoặc chỉ được nêu bằng các kết luận."</w:t>
      </w:r>
    </w:p>
    <w:p>
      <w:pPr>
        <w:spacing w:after="80"/>
      </w:pPr>
      <w:r>
        <w:rPr>
          <w:b w:val="0"/>
          <w:i/>
        </w:rPr>
        <w:t>Tình bạn cá nhân</w:t>
      </w:r>
    </w:p>
    <w:p>
      <w:pPr>
        <w:spacing w:after="80"/>
      </w:pPr>
      <w:r>
        <w:rPr>
          <w:b w:val="0"/>
          <w:i w:val="0"/>
        </w:rPr>
        <w:t>Nhiều động cơ khác nhau, bao gồm cả tình bạn, có thể ảnh hưởng đến việc xem xét tính vô ích của yêu cầu (demand futility). Nhưng để khiến một giám đốc không thể xem xét yêu cầu, một mối quan hệ phải mang tính chất tạo ra thiên vị. Những cáo buộc chỉ về tình bạn cá nhân đơn thuần hoặc một mối quan hệ kinh doanh bên ngoài đơn thuần, tự chúng, không đủ để làm dấy lên nghi ngờ hợp lý về tính độc lập của một giám đốc. Về điểm này, chúng tôi lấy làm của mình phân tích của Thẩm phán Chưởng ấn (Chancellor) trong vụ án này:</w:t>
      </w:r>
    </w:p>
    <w:p>
      <w:pPr>
        <w:spacing w:after="80"/>
      </w:pPr>
      <w:r>
        <w:rPr>
          <w:b w:val="0"/>
          <w:i w:val="0"/>
        </w:rPr>
        <w:t xml:space="preserve">Một số tình bạn nghề nghiệp hoặc cá nhân, có thể gần như hoặc thậm chí vượt quá lòng trung thành và sự gần gũi của gia đình, có thể làm dấy lên nghi ngờ hợp lý liệu một giám đốc có thể xem xét yêu cầu một cách thỏa đáng hay không. Điều này đặc biệt đúng khi các cáo buộc đặt ra những câu hỏi nghiêm trọng về trách nhiệm dân sự hoặc hình sự của một người bạn thân thiết như vậy. Không phải tất cả các tình bạn, hay thậm chí hầu hết chúng, đều đạt đến mức này và Tòa án không thể đưa ra suy luận </w:t>
      </w:r>
      <w:r>
        <w:rPr>
          <w:b w:val="0"/>
          <w:i/>
        </w:rPr>
        <w:t>hợp lý</w:t>
      </w:r>
      <w:r>
        <w:rPr>
          <w:b w:val="0"/>
          <w:i w:val="0"/>
        </w:rPr>
        <w:t xml:space="preserve"> rằng một tình bạn cụ thể đạt đến mức đó mà không có các cáo buộc thực tế cụ thể để hỗ trợ kết luận như vậy.</w:t>
      </w:r>
    </w:p>
    <w:p>
      <w:pPr>
        <w:spacing w:after="80"/>
      </w:pPr>
      <w:r>
        <w:rPr>
          <w:b w:val="0"/>
          <w:i w:val="0"/>
        </w:rPr>
        <w:t>Các sự kiện mà Beam cáo buộc liên quan đến mối quan hệ giữa Stewart và các thành viên khác trong hội đồng quản trị của MSO phần lớn quy về một lập luận "thiên vị cấu trúc" (structural bias), vốn giả định rằng các mối quan hệ nghề nghiệp và xã hội hình thành một cách tự nhiên giữa các thành viên hội đồng quản trị cản trở việc ra quyết định độc lập. . . .</w:t>
      </w:r>
    </w:p>
    <w:p>
      <w:pPr>
        <w:spacing w:after="80"/>
      </w:pPr>
      <w:r>
        <w:rPr>
          <w:b w:val="0"/>
          <w:i w:val="0"/>
        </w:rPr>
        <w:t>Trong vụ án hiện tại, nguyên đơn đã cố gắng lập luận về mối quan hệ thân thiết vượt quá tình bạn đơn thuần giữa Stewart và các giám đốc khác, nhưng nỗ lực của bà không đủ để chứng minh tính vô ích của yêu cầu. Ngay cả khi những tình bạn được cáo buộc có thể đã có trước khi các giám đốc trở thành thành viên hội đồng quản trị của MSO và không nhất thiết phát sinh từ tư cách thành viên đó, những mối quan hệ này có cùng bản chất với những mối quan hệ làm phát sinh lập luận thiên vị cấu trúc.</w:t>
      </w:r>
    </w:p>
    <w:p>
      <w:pPr>
        <w:spacing w:after="80"/>
      </w:pPr>
      <w:r>
        <w:rPr>
          <w:b w:val="0"/>
          <w:i w:val="0"/>
        </w:rPr>
        <w:t>Các cáo buộc rằng Stewart và các giám đốc khác cùng lui tới những vòng xã giao giống nhau, tham dự cùng các đám cưới, phát triển các mối quan hệ kinh doanh trước khi tham gia hội đồng quản trị, và mô tả nhau là "bạn bè", ngay cả khi kết hợp với quyền biểu quyết 94% của Stewart, cũng không đủ, nếu không có gì thêm, để bác bỏ giả định về tính độc lập. Chúng không cung cấp cơ sở đủ để suy luận rằng Martinez, Moore và Seligman có thể đã chịu ơn Stewart. Dù chúng phát sinh trước khi trở thành thành viên hội đồng quản trị hay sau đó do các mối quan hệ đồng nghiệp trong hội đồng quản trị, những mối thân thiết như vậy—tự chúng—sẽ không làm cho yêu cầu trước kiện (presuit demand) trở nên vô ích.</w:t>
      </w:r>
    </w:p>
    <w:p>
      <w:pPr>
        <w:spacing w:after="80"/>
      </w:pPr>
      <w:r>
        <w:rPr>
          <w:b w:val="0"/>
          <w:i w:val="0"/>
        </w:rPr>
        <w:t>Tòa án Chancery ở cấp sơ thẩm, và Tòa án này ở cấp phúc thẩm, phải xem xét đơn kiện trên cơ sở từng vụ việc để xác định liệu đơn kiện có nêu rõ ràng các sự kiện cho thấy rằng một mối quan hệ—dù có trước hay sau tư cách thành viên hội đồng quản trị—gần gũi đến mức có thể nghi ngờ một cách hợp lý về tính độc lập của giám đốc hay không. Sự nghi ngờ này có thể phát sinh do các ràng buộc tài chính, mối thân thiết gia đình, một mối thân thiết cá nhân hoặc kinh doanh đặc biệt gần gũi hoặc thân mật, hoặc do bằng chứng rằng trong quá khứ mối quan hệ đó đã khiến giám đốc hành động không độc lập đối với một giám đốc có quyền lợi liên quan. Không có cáo buộc nào như vậy được đưa ra ở đây. Những cáo buộc chỉ rằng họ cùng lui tới các vòng kinh doanh và xã hội giống nhau, hoặc một mô tả rằng họ là bạn thân, không đủ để phủ nhận tính độc lập cho mục đích miễn trừ yêu cầu.</w:t>
      </w:r>
    </w:p>
    <w:p>
      <w:pPr>
        <w:spacing w:after="80"/>
      </w:pPr>
      <w:r>
        <w:rPr>
          <w:b w:val="0"/>
          <w:i w:val="0"/>
        </w:rPr>
        <w:t>Điều đó không có nghĩa là tình bạn cá nhân luôn không liên quan đến việc đánh giá tính độc lập. Nhưng, cho mục đích yêu cầu trước kiện, tình bạn phải đi kèm với nhiều hơn đáng kể về bản chất các cáo buộc nghiêm trọng có thể dẫn đến nghi ngờ hợp lý về tính độc lập của một giám đốc. Việc cần một mối quan hệ mạnh mẽ hơn nhiều để vượt qua giả định về tính độc lập ở giai đoạn tính vô ích của yêu cầu trở nên đặc biệt thuyết phục khi người ta xem xét những rủi ro mà các giám đốc sẽ gánh chịu khi bảo vệ những người quen xã hội của mình trước những cáo buộc rằng những người bạn đó đã có hành vi sai trái. Để tạo ra nghi ngờ hợp lý về tính độc lập của một giám đốc bên ngoài, nguyên đơn phải nêu các sự kiện có thể hỗ trợ suy luận rằng do bản chất của một mối quan hệ hoặc các hoàn cảnh bổ sung khác ngoài quyền sở hữu cổ phần hoặc quyền biểu quyết của giám đốc có quyền lợi liên quan, giám đốc không có quyền lợi liên quan sẽ sẵn sàng mạo hiểm danh tiếng của mình hơn là mạo hiểm mối quan hệ với giám đốc có quyền lợi liên quan.</w:t>
      </w:r>
    </w:p>
    <w:p>
      <w:pPr>
        <w:spacing w:after="80"/>
      </w:pPr>
      <w:r>
        <w:rPr>
          <w:b w:val="0"/>
          <w:i/>
        </w:rPr>
        <w:t>Các cáo buộc cụ thể liên quan đến Seligman và Moore</w:t>
      </w:r>
    </w:p>
    <w:p>
      <w:pPr>
        <w:spacing w:after="80"/>
      </w:pPr>
      <w:r>
        <w:rPr>
          <w:b w:val="0"/>
          <w:i w:val="0"/>
        </w:rPr>
        <w:t>1. Seligman</w:t>
      </w:r>
    </w:p>
    <w:p>
      <w:pPr>
        <w:spacing w:after="80"/>
      </w:pPr>
      <w:r>
        <w:rPr>
          <w:b w:val="0"/>
          <w:i w:val="0"/>
        </w:rPr>
        <w:t>Các cáo buộc của Beam liên quan đến việc Seligman thiếu tính độc lập đặt ra một vấn đề bổ sung không có trong mối quan hệ của Moore và Martinez. Những cáo buộc đó không nhất thiết dựa trên một tình bạn được cho là giữa Seligman và Stewart. Thay vào đó, chúng dựa trên một hành động cụ thể trong quá khứ của Seligman mà Beam cho rằng cho thấy Seligman thiếu tính độc lập khỏi Stewart. Beam cáo buộc rằng Seligman đã gọi cho John Wiley &amp; Sons (Wiley) theo yêu cầu của Stewart để ngăn chặn một tham chiếu xuất bản bất lợi đối với Stewart. Thẩm phán Chưởng ấn kết luận, theo quan điểm của chúng tôi là đúng đắn, rằng cáo buộc này không cung cấp các sự kiện cụ thể để từ đó người ta có thể suy luận một cách hợp lý về ảnh hưởng không thích đáng.</w:t>
      </w:r>
    </w:p>
    <w:p>
      <w:pPr>
        <w:spacing w:after="80"/>
      </w:pPr>
      <w:r>
        <w:rPr>
          <w:b w:val="0"/>
          <w:i w:val="0"/>
        </w:rPr>
        <w:t>Thật vậy, suy luận hợp lý là việc Seligman được cho là can thiệp thay mặt Stewart mang lại lợi ích cho MSO và danh tiếng của nó, vốn được cho là gắn liền với danh tiếng của Stewart, như Thẩm phán Chưởng ấn đã lưu ý. Động cơ của Seligman là mang lại lợi ích cho công ty cũng nhiều như chính Stewart là suy luận hợp lý duy nhất được đơn kiện hỗ trợ, khi tất cả các cáo buộc của nó được đọc trong bối cảnh.</w:t>
      </w:r>
    </w:p>
    <w:p>
      <w:pPr>
        <w:spacing w:after="80"/>
      </w:pPr>
      <w:r>
        <w:rPr>
          <w:b w:val="0"/>
          <w:i w:val="0"/>
        </w:rPr>
        <w:t>2. Moore</w:t>
      </w:r>
    </w:p>
    <w:p>
      <w:pPr>
        <w:spacing w:after="80"/>
      </w:pPr>
      <w:r>
        <w:rPr>
          <w:b w:val="0"/>
          <w:i w:val="0"/>
        </w:rPr>
        <w:t xml:space="preserve">Tòa án Chancery kết luận rằng các cáo buộc của nguyên đơn liên quan đến mối quan hệ xã hội của Moore với Stewart thể hiện "một quyết định khá sát nút" và gợi ý những cách mà "cán cân có thể đã bị nghiêng". Mặc dù chúng tôi đồng ý rằng có những cách mà cán cân có thể bị nghiêng để những cáo buộc chỉ về các mối quan hệ xã hội trở thành những cáo buộc gây nghi ngờ hợp lý về tính độc lập, chúng tôi không đồng ý rằng các sự kiện như được cáo buộc thể hiện một "quyết định sát nút" đối với tính độc lập của Moore. Những cáo buộc này tập trung vào: (a) việc Moore tham dự tiệc cưới cho con gái của luật sư của Stewart, nơi Stewart và Waksal cũng có mặt; (b) một bài báo trên tạp chí </w:t>
      </w:r>
      <w:r>
        <w:rPr>
          <w:b w:val="0"/>
          <w:i/>
        </w:rPr>
        <w:t>Fortune</w:t>
      </w:r>
      <w:r>
        <w:rPr>
          <w:b w:val="0"/>
          <w:i w:val="0"/>
        </w:rPr>
        <w:t xml:space="preserve"> tập trung vào các mối quan hệ cá nhân gần gũi giữa Moore, Stewart và Beers; và (c) việc Moore thay thế Beers trong hội đồng quản trị của MSO. Theo quan điểm của chúng tôi, những mối quan hệ xã hội trần trụi này rõ ràng không tạo ra nghi ngờ hợp lý về tính độc lập.</w:t>
      </w:r>
    </w:p>
    <w:p>
      <w:pPr>
        <w:spacing w:after="80"/>
      </w:pPr>
      <w:r>
        <w:rPr>
          <w:b w:val="0"/>
          <w:i/>
        </w:rPr>
        <w:t>Đôi lời về vụ</w:t>
      </w:r>
      <w:r>
        <w:rPr>
          <w:b w:val="0"/>
          <w:i w:val="0"/>
        </w:rPr>
        <w:t xml:space="preserve"> Oracle</w:t>
      </w:r>
    </w:p>
    <w:p>
      <w:pPr>
        <w:spacing w:after="80"/>
      </w:pPr>
      <w:r>
        <w:rPr>
          <w:b w:val="0"/>
          <w:i w:val="0"/>
        </w:rPr>
        <w:t xml:space="preserve">Trong ý kiến của mình, Thẩm phán Chưởng ấn đã đề cập nhiều lần đến phán quyết của Tòa án Chancery Delaware trong </w:t>
      </w:r>
      <w:r>
        <w:rPr>
          <w:b w:val="0"/>
          <w:i/>
        </w:rPr>
        <w:t>In re Oracle Corp. Derivative Litigation.</w:t>
      </w:r>
      <w:r>
        <w:rPr>
          <w:b w:val="0"/>
          <w:i w:val="0"/>
        </w:rPr>
        <w:t xml:space="preserve"> Oracle liên quan đến vấn đề tính độc lập của Ủy ban Tranh tụng Đặc biệt (Special Litigation Committee - SLC) được hội đồng quản trị Oracle bổ nhiệm để xác định liệu công ty có nên khiến cho một khiếu nại của công ty do các cổ đông-nguyên đơn chống lại các giám đốc bị bác bỏ hay không. Tòa án Chancery đã tiến hành một cuộc điều tra kỹ lưỡng về các mối quan hệ giữa các thành viên của SLC và Đại học Stanford trong bối cảnh sự hỗ trợ tài chính của Stanford bởi công ty và ban quản lý của nó. Phó Thẩm phán Chưởng ấn kết luận, sau khi xem xét Báo cáo của SLC và hồ sơ khám phá, rằng những mối quan hệ đó quá gần gũi cho mục đích phân tích tính độc lập của SLC.</w:t>
      </w:r>
    </w:p>
    <w:p>
      <w:pPr>
        <w:spacing w:after="80"/>
      </w:pPr>
      <w:r>
        <w:rPr>
          <w:b w:val="0"/>
          <w:i w:val="0"/>
        </w:rPr>
        <w:t xml:space="preserve">SLC là một thực thể độc đáo được đưa vào luật Delaware bởi </w:t>
      </w:r>
      <w:r>
        <w:rPr>
          <w:b w:val="0"/>
          <w:i/>
        </w:rPr>
        <w:t>Zapata v. Maldonado</w:t>
      </w:r>
      <w:r>
        <w:rPr>
          <w:b w:val="0"/>
          <w:i w:val="0"/>
        </w:rPr>
        <w:t xml:space="preserve"> vào năm 1981. Thủ tục SLC là một phương pháp đôi khi được sử dụng khi yêu cầu trước kiện đã được miễn trừ và SLC được trao toàn quyền của hội đồng quản trị để tiến hành một cuộc điều tra sâu rộng về giá trị của khiếu nại của công ty nhằm xác định liệu—theo phán đoán kinh doanh của SLC—khiếu nại của công ty có nên được theo đuổi hay không. Không giống như bối cảnh miễn trừ yêu cầu, nơi hội đồng quản trị được giả định là độc lập, SLC có trách nhiệm chứng minh tính độc lập của chính mình bằng một tiêu chuẩn phải "như vợ của Caesar"—"trên mọi sự chỉ trích". Hơn nữa, không giống như bối cảnh yêu cầu trước kiện, phân tích SLC không chỉ dự tính sự chuyển dịch trách nhiệm thuyết phục mà còn cả khả năng khám phá các vấn đề khác nhau, bao gồm cả tính độc lập.</w:t>
      </w:r>
    </w:p>
    <w:p>
      <w:pPr>
        <w:spacing w:after="80"/>
      </w:pPr>
      <w:r>
        <w:rPr>
          <w:b w:val="0"/>
          <w:i/>
        </w:rPr>
        <w:t>Mục 220</w:t>
      </w:r>
    </w:p>
    <w:p>
      <w:pPr>
        <w:spacing w:after="80"/>
      </w:pPr>
      <w:r>
        <w:rPr>
          <w:b w:val="0"/>
          <w:i w:val="0"/>
        </w:rPr>
        <w:t>Việc Beam không đưa ra đủ các tình tiết để hỗ trợ cho khiếu nại của mình về việc yêu cầu là vô ích (demand futility) có thể một phần là do cô ấy đã không tận dụng hết mọi phương tiện hợp lý sẵn có để thu thập tình tiết. Như Thẩm phán (Chancellor) đã lưu ý, nếu Beam trước tiên khởi kiện theo Mục 220 để yêu cầu được xem xét sổ sách và hồ sơ của MSO, cô ấy có thể đã phát hiện ra những tình tiết có thể tạo ra một nghi ngờ hợp lý. Ví dụ, những bất thường hoặc "chủ nghĩa thân hữu" (cronyism) trong quy trình đề cử thành viên hội đồng quản trị của MSO có thể sẽ củng cố khiếu nại của cô ấy về việc Stewart kiểm soát các giám đốc của MSO. Việc xem xét sổ sách và hồ sơ có thể đã tiết lộ liệu hội đồng quản trị có sử dụng một ủy ban đề cử để chọn giám đốc và duy trì sự tách biệt giữa quy trình chọn giám đốc và ban điều hành hay không. Việc xem xét sổ sách và hồ sơ cũng có thể đã tiết lộ liệu Stewart có kiểm soát quá mức quy trình đề cử hay liệu quy trình đó có kết hợp các biện pháp bảo vệ về thủ tục để đảm bảo tính độc lập của các giám đốc hay không. Beam cũng có thể đã xem xét biên bản các cuộc họp của hội đồng quản trị để xác định cách các giám đốc xử lý các đề xuất hoặc hành vi của Stewart trong nhiều bối cảnh khác nhau. Liệu kết quả của việc khám phá này có thể tạo ra một nghi ngờ hợp lý hay không thì ở giai đoạn này hoàn toàn chỉ là phỏng đoán. Nhưng vấn đề là việc khám phá những vấn đề này nằm trong khả năng của nguyên đơn, và cô ấy đã chọn không bỏ công sức ra làm.</w:t>
      </w:r>
    </w:p>
    <w:p>
      <w:pPr>
        <w:spacing w:after="80"/>
      </w:pPr>
      <w:r>
        <w:rPr>
          <w:b w:val="0"/>
          <w:i w:val="0"/>
        </w:rPr>
        <w:t>Nói chung, các nguyên đơn trong vụ kiện phái sinh (derivative plaintiffs) không được quyền yêu cầu cung cấp tài liệu (discovery) để chứng minh việc yêu cầu là vô ích. Tuy nhiên, việc nói chung không có sẵn công cụ discovery để hỗ trợ nguyên đơn lập luận về việc yêu cầu là vô ích không có nghĩa là nguyên đơn không có phương tiện nào để thu thập thông tin nhằm hỗ trợ cho các cáo buộc của mình về việc yêu cầu là vô ích. Cả Tòa án này lẫn Tòa án Chancery đều liên tục khuyên các nguyên đơn đang tìm cách đưa ra các tình tiết để chứng minh việc yêu cầu là vô ích rằng họ có thể đã sử dụng thành công việc xem xét sổ sách và hồ sơ theo Mục 220 để phát hiện ra những tình tiết như vậy. . . .</w:t>
      </w:r>
    </w:p>
    <w:p>
      <w:pPr>
        <w:spacing w:after="80"/>
      </w:pPr>
      <w:r>
        <w:rPr>
          <w:b w:val="0"/>
          <w:i w:val="0"/>
        </w:rPr>
        <w:t>Bởi vì Beam thậm chí không cố gắng sử dụng các công cụ thu thập tình tiết sẵn có cho mình bằng cách yêu cầu xem xét sổ sách và hồ sơ của MSO để hỗ trợ cho khiếu nại về việc yêu cầu là vô ích của mình, chúng ta không thể biết liệu nỗ lực đó có vô ích hay không, như Beam đã tuyên bố khi kháng cáo. Việc Beam không yêu cầu xem xét sổ sách và hồ sơ — điều có thể đã phát hiện ra những tình tiết cần thiết để hỗ trợ cho một nghi ngờ hợp lý về tính độc lập — đã gây ra tổn thất đáng kể cho các bên và cho hệ thống tư pháp.</w:t>
      </w:r>
    </w:p>
    <w:p>
      <w:pPr>
        <w:spacing w:after="80"/>
      </w:pPr>
      <w:r>
        <w:rPr>
          <w:b w:val="0"/>
          <w:i/>
        </w:rPr>
        <w:t>Kết luận</w:t>
      </w:r>
    </w:p>
    <w:p>
      <w:pPr>
        <w:spacing w:after="80"/>
      </w:pPr>
      <w:r>
        <w:rPr>
          <w:b w:val="0"/>
          <w:i w:val="0"/>
        </w:rPr>
        <w:t>Bởi vì Beam không đưa ra được các tình tiết đủ để hỗ trợ cho một suy luận hợp lý rằng ít nhất một giám đốc của MSO, ngoài Stewart và Patrick, không có khả năng xem xét yêu cầu, nên Beam buộc phải đưa ra yêu cầu với hội đồng quản trị trước khi theo đuổi vụ kiện phái sinh. Do đó, việc yêu cầu trước khi khởi kiện (presuit demand) không được miễn trừ. Tòa án Chancery không sai khi bác bỏ Cáo trạng (Count) 1 theo Quy tắc (Rule) 23.1.</w:t>
      </w:r>
    </w:p>
    <w:p>
      <w:pPr>
        <w:pStyle w:val="Heading5"/>
      </w:pPr>
      <w:r>
        <w:rPr>
          <w:rFonts w:ascii="Calibri" w:hAnsi="Calibri"/>
          <w:b/>
          <w:i/>
          <w:sz w:val="22"/>
        </w:rPr>
        <w:t>Bình luận và Câu hỏi</w:t>
      </w:r>
    </w:p>
    <w:p>
      <w:pPr>
        <w:spacing w:after="80"/>
      </w:pPr>
      <w:r>
        <w:rPr>
          <w:b w:val="0"/>
          <w:i w:val="0"/>
        </w:rPr>
        <w:t xml:space="preserve">1. Nguyên đơn Beam đã không thành công khi dựa vào một phán quyết của Tòa án Chancery trong </w:t>
      </w:r>
      <w:r>
        <w:rPr>
          <w:b w:val="0"/>
          <w:i/>
        </w:rPr>
        <w:t>Vụ kiện phái sinh Oracle</w:t>
      </w:r>
      <w:r>
        <w:rPr>
          <w:b w:val="0"/>
          <w:i w:val="0"/>
        </w:rPr>
        <w:t xml:space="preserve"> (Oracle Derivative Litigation). Trước </w:t>
      </w:r>
      <w:r>
        <w:rPr>
          <w:b w:val="0"/>
          <w:i/>
        </w:rPr>
        <w:t>Oracle</w:t>
      </w:r>
      <w:r>
        <w:rPr>
          <w:b w:val="0"/>
          <w:i w:val="0"/>
        </w:rPr>
        <w:t xml:space="preserve"> , các tòa án Delaware nói chung chỉ xem xét các "mối quan hệ có ý nghĩa về mặt kinh tế" giữa các giám đốc đưa ra quyết định và các bị đơn để xác định liệu các bị đơn có "chi phối và kiểm soát" các đồng nghiệp của mình, làm hỏng tính độc lập của họ hay không. Tuy nhiên, trong </w:t>
      </w:r>
      <w:r>
        <w:rPr>
          <w:b w:val="0"/>
          <w:i/>
        </w:rPr>
        <w:t>Oracle</w:t>
      </w:r>
      <w:r>
        <w:rPr>
          <w:b w:val="0"/>
          <w:i w:val="0"/>
        </w:rPr>
        <w:t xml:space="preserve"> , Phó Thẩm phán (Vice Chancellor) Strine cũng đã xem xét kỹ lưỡng các mối quan hệ cá nhân, từ thiện và kinh doanh giữa các bị đơn và các giám đốc của SLC (được tòa án gọi là "'độ dày' của các mối liên hệ xã hội và thể chế") để xác định liệu các thành viên SLC có thể đã cảm thấy "mắc nợ" (beholden) các giám đốc bị đơn hay không. Tòa án lưu ý rằng "câu hỏi về tính độc lập phụ thuộc vào việc liệu một giám đốc có, vì bất kỳ lý do đáng kể nào, không có khả năng đưa ra quyết định chỉ với lợi ích tốt nhất của công ty trong tâm trí hay không."</w:t>
      </w:r>
    </w:p>
    <w:p>
      <w:pPr>
        <w:spacing w:after="80"/>
      </w:pPr>
      <w:r>
        <w:rPr>
          <w:b w:val="0"/>
          <w:i w:val="0"/>
        </w:rPr>
        <w:t xml:space="preserve">Bối cảnh tố tụng của </w:t>
      </w:r>
      <w:r>
        <w:rPr>
          <w:b w:val="0"/>
          <w:i/>
        </w:rPr>
        <w:t>Beam</w:t>
      </w:r>
      <w:r>
        <w:rPr>
          <w:b w:val="0"/>
          <w:i w:val="0"/>
        </w:rPr>
        <w:t xml:space="preserve"> và </w:t>
      </w:r>
      <w:r>
        <w:rPr>
          <w:b w:val="0"/>
          <w:i/>
        </w:rPr>
        <w:t>Oracle</w:t>
      </w:r>
      <w:r>
        <w:rPr>
          <w:b w:val="0"/>
          <w:i w:val="0"/>
        </w:rPr>
        <w:t xml:space="preserve"> , và do đó là nghĩa vụ chứng minh, khác nhau. Khi xem xét một tranh chấp về việc yêu cầu là vô ích, như trong </w:t>
      </w:r>
      <w:r>
        <w:rPr>
          <w:b w:val="0"/>
          <w:i/>
        </w:rPr>
        <w:t>Beam</w:t>
      </w:r>
      <w:r>
        <w:rPr>
          <w:b w:val="0"/>
          <w:i w:val="0"/>
        </w:rPr>
        <w:t xml:space="preserve"> , các tòa án giả định rằng đa số hội đồng quản trị có thể đã hành động độc lập khi phản hồi một yêu cầu trước khi khởi kiện của cổ đông nguyên đơn. Khi đó, nguyên đơn phải đưa ra các tình tiết cụ thể đủ để tạo ra một nghi ngờ hợp lý về tính độc lập của các giám đốc. Khác với tranh chấp trong </w:t>
      </w:r>
      <w:r>
        <w:rPr>
          <w:b w:val="0"/>
          <w:i/>
        </w:rPr>
        <w:t>Beam</w:t>
      </w:r>
      <w:r>
        <w:rPr>
          <w:b w:val="0"/>
          <w:i w:val="0"/>
        </w:rPr>
        <w:t xml:space="preserve"> , vấn đề trước tòa án xem xét trong </w:t>
      </w:r>
      <w:r>
        <w:rPr>
          <w:b w:val="0"/>
          <w:i/>
        </w:rPr>
        <w:t>Oracle</w:t>
      </w:r>
      <w:r>
        <w:rPr>
          <w:b w:val="0"/>
          <w:i w:val="0"/>
        </w:rPr>
        <w:t xml:space="preserve"> là đơn yêu cầu bác bỏ của các bị đơn đối với một vụ kiện phái sinh được miễn trừ yêu cầu. Hội đồng quản trị của Oracle đã thành lập một ủy ban tranh tụng đặc biệt (special litigation committee - SLC) (gồm hai giám đốc mới không bị nêu tên là bị đơn) để điều tra đơn khiếu nại do các cổ đông nguyên đơn đệ trình. Sau cuộc điều tra của mình, SLC đã đề nghị rằng công ty nên yêu cầu bác bỏ các khiếu nại phái sinh. Trong bối cảnh đó, quyết định của SLC không được hưởng bất kỳ giả định nào về tính độc lập, thiện chí hay tính hợp lý. Thay vào đó, công ty phải gánh nghĩa vụ chứng minh rằng không có bất kỳ tình tiết quan trọng nào đang tranh chấp liên quan đến tính độc lập của SLC. Oracle đã không hoàn thành được nghĩa vụ của mình.</w:t>
      </w:r>
    </w:p>
    <w:p>
      <w:pPr>
        <w:spacing w:after="80"/>
      </w:pPr>
      <w:r>
        <w:rPr>
          <w:b w:val="0"/>
          <w:i w:val="0"/>
        </w:rPr>
        <w:t xml:space="preserve">2. </w:t>
      </w:r>
      <w:r>
        <w:rPr>
          <w:b w:val="0"/>
          <w:i/>
        </w:rPr>
        <w:t>Beam</w:t>
      </w:r>
      <w:r>
        <w:rPr>
          <w:b w:val="0"/>
          <w:i w:val="0"/>
        </w:rPr>
        <w:t xml:space="preserve"> đã khẳng định rằng việc xem xét tư pháp về tính độc lập của giám đốc mang tính đặc thù cao về tình tiết. Luật Delaware không quy định rõ những mối quan hệ nào giữa các giám đốc bị đơn và các thành viên hội đồng quản trị khác tạo ra những xung đột dẫn đến việc bị loại trừ tư cách. Những ưu điểm và nhược điểm của cách tiếp cận theo bối cảnh này đối với các hội đồng quản trị là gì?</w:t>
      </w:r>
    </w:p>
    <w:p>
      <w:pPr>
        <w:spacing w:after="80"/>
      </w:pPr>
      <w:r>
        <w:rPr>
          <w:b w:val="0"/>
          <w:i w:val="0"/>
        </w:rPr>
        <w:t>3. Nguyên đơn Beam đã không thuyết phục được Tòa án Tối cao Delaware rằng đa số giám đốc của MSO bị thiên vị bởi tình bạn cá nhân của họ với Stewart, đến mức đơn khiếu nại của Beam làm dấy lên một nghi ngờ hợp lý về tính độc lập của họ. Trong những hoàn cảnh nào thì tình bạn cá nhân giữa các giám đốc bị đơn và các đồng nghiệp của họ trong hội đồng quản trị có thể trở thành lý do loại trừ tư cách? Tại sao bạn nghĩ Tòa án Tối cao nhấn mạnh đến vị thế của ba giám đốc trong cộng đồng doanh nghiệp?</w:t>
      </w:r>
    </w:p>
    <w:p>
      <w:pPr>
        <w:spacing w:after="80"/>
      </w:pPr>
      <w:r>
        <w:rPr>
          <w:b w:val="0"/>
          <w:i w:val="0"/>
        </w:rPr>
        <w:t>4. Tòa án lưu ý rằng nguyên đơn Beam đã không khởi kiện theo Mục 220 của Luật Công ty Tổng quát Delaware (General Corporation Law) để xem xét sổ sách và hồ sơ của MSO. Mặc dù Tòa án thừa nhận rằng liệu một vụ kiện như vậy có phát hiện ra các tình tiết tạo ra một nghi ngờ hợp lý hay không là vấn đề "hoàn toàn phỏng đoán", bạn có nghĩ rằng việc nguyên đơn không tận dụng hết các quyền xem xét theo luật định của mình trước khi đệ trình đơn khiếu nại đã thuyết phục tòa án bác bỏ các khiếu nại hay không? Thật vậy, các tòa án Delaware đã nhiều lần khuyến khích các cổ đông sử dụng Mục 220 trước khi khởi kiện phái sinh để điều tra, trong số những vấn đề khác, tính độc lập của các giám đốc nhằm mục đích đánh giá một yêu cầu trước khi khởi kiện. Mặc dù các cổ đông nguyên đơn có thể tìm cách xem xét sổ sách và hồ sơ của công ty bằng cách đưa ra yêu cầu bằng văn bản theo Mục 220, liệu họ có khả năng phát hiện đủ bằng chứng để đáp ứng các yêu cầu lập luận cao hơn về việc yêu cầu là vô ích hay không? Hay các phán quyết của tòa án về tính độc lập của SLC nhất thiết sẽ phụ thuộc vào "việc điều tra theo bối cảnh"?</w:t>
      </w:r>
    </w:p>
    <w:p>
      <w:pPr>
        <w:spacing w:after="80"/>
      </w:pPr>
      <w:r>
        <w:rPr>
          <w:b w:val="0"/>
          <w:i w:val="0"/>
        </w:rPr>
        <w:t xml:space="preserve">5. Các nhà bình luận đã gợi ý rằng quyền được yêu cầu cung cấp tài liệu của nguyên đơn liên quan đến tính độc lập của các thành viên SLC thường mang tính quyết định kết quả. Trong </w:t>
      </w:r>
      <w:r>
        <w:rPr>
          <w:b w:val="0"/>
          <w:i/>
        </w:rPr>
        <w:t>Oracle</w:t>
      </w:r>
      <w:r>
        <w:rPr>
          <w:b w:val="0"/>
          <w:i w:val="0"/>
        </w:rPr>
        <w:t xml:space="preserve"> , ví dụ, các nguyên đơn đã phát hiện trong quá trình discovery một "chuỗi" các mối liên hệ giữa các giám đốc bị đơn và SLC, những mối quan hệ mà SLC đã không tiết lộ trong báo cáo của mình. Trong ý kiến của mình, Phó Thẩm phán khi đó là Strine đã bày tỏ "chút sốc" về những thiếu sót của SLC: "[C]ác sự thật rõ ràng là một sự khác biệt nổi bật so với bức tranh được trình bày trong Báo cáo [của SLC]." Ít nhất thì việc SLC không tiết lộ những nguồn thiên vị tiềm tàng này cũng đã đặt dấu hỏi về năng lực của ủy ban. Tuy nhiên, tòa án dường như cũng tin rằng những mối liên hệ này quá quan trọng để có thể chỉ đơn giản là bị bỏ qua. Nhắc lại ẩn dụ mà Chánh án (Chief Justice) Veasey đã sử dụng trong </w:t>
      </w:r>
      <w:r>
        <w:rPr>
          <w:b w:val="0"/>
          <w:i/>
        </w:rPr>
        <w:t>Beam</w:t>
      </w:r>
      <w:r>
        <w:rPr>
          <w:b w:val="0"/>
          <w:i w:val="0"/>
        </w:rPr>
        <w:t xml:space="preserve"> , SLC của Oracle không phải, như vợ của Caesar, ở trên mọi sự chê trách.</w:t>
      </w:r>
    </w:p>
    <w:p>
      <w:pPr>
        <w:spacing w:after="80"/>
      </w:pPr>
      <w:r>
        <w:rPr>
          <w:b w:val="0"/>
          <w:i w:val="0"/>
        </w:rPr>
        <w:t>6. Bất kể giá trị pháp lý của các khiếu nại của cổ đông, chẳng phải một ủy ban tranh tụng đặc biệt luôn có thể quyết định rằng việc theo đuổi các khiếu nại của cổ đông không vì lợi ích tốt nhất của công ty dựa trên các cân nhắc kinh doanh khác, chẳng hạn như chi phí tranh tụng, sự xao nhãng của vụ kiện đối với các giám đốc điều hành chủ chốt, tác động của dư luận tiêu cực đối với các mối quan hệ với khách hàng, nhà cung cấp và nhân viên, ảnh hưởng của sự không chắc chắn trong tranh tụng đối với giá cổ phiếu của công ty, và thậm chí cả sự không chắc chắn về việc thu hồi được phán quyết? Trong những hoàn cảnh nào bạn kỳ vọng rằng một SLC sẽ quyết định tiếp tục tranh tụng các khiếu nại về vi phạm nghĩa vụ đối với các giám đốc vẫn còn ngồi trong hội đồng quản trị hoặc các giám đốc điều hành không phải giám đốc vẫn còn được công ty tuyển dụng?</w:t>
      </w:r>
    </w:p>
    <w:p>
      <w:pPr>
        <w:spacing w:after="80"/>
      </w:pPr>
      <w:r>
        <w:rPr>
          <w:b w:val="0"/>
          <w:i w:val="0"/>
        </w:rPr>
        <w:t>—————</w:t>
      </w:r>
    </w:p>
    <w:p>
      <w:pPr>
        <w:spacing w:after="80"/>
      </w:pPr>
      <w:r>
        <w:rPr>
          <w:b w:val="0"/>
          <w:i w:val="0"/>
        </w:rPr>
        <w:t xml:space="preserve">Chỉ hơn một thập kỷ sau khi Tòa án Tối cao Delaware ra phán quyết </w:t>
      </w:r>
      <w:r>
        <w:rPr>
          <w:b w:val="0"/>
          <w:i/>
        </w:rPr>
        <w:t>Beam</w:t>
      </w:r>
      <w:r>
        <w:rPr>
          <w:b w:val="0"/>
          <w:i w:val="0"/>
        </w:rPr>
        <w:t xml:space="preserve"> , và khoảng mười hai năm sau khi ông ra phán quyết </w:t>
      </w:r>
      <w:r>
        <w:rPr>
          <w:b w:val="0"/>
          <w:i/>
        </w:rPr>
        <w:t>Oracle</w:t>
      </w:r>
      <w:r>
        <w:rPr>
          <w:b w:val="0"/>
          <w:i w:val="0"/>
        </w:rPr>
        <w:t xml:space="preserve"> tại Tòa án Chancery, nay là Chánh án Leo Strine, khi viết cho Tòa án Tối cao Delaware, đã có một cơ hội khác để xem xét cách các mối quan hệ cá nhân ảnh hưởng đến tính độc lập của giám đốc.</w:t>
      </w:r>
    </w:p>
    <w:p>
      <w:pPr>
        <w:pStyle w:val="Heading4"/>
      </w:pPr>
      <w:r>
        <w:rPr>
          <w:rFonts w:ascii="Calibri" w:hAnsi="Calibri"/>
          <w:b/>
          <w:i w:val="0"/>
          <w:sz w:val="23"/>
        </w:rPr>
        <w:t>Delaware County Employees' Retirement Fund v. A.R. Sanchez, Jr.</w:t>
      </w:r>
    </w:p>
    <w:p>
      <w:pPr>
        <w:spacing w:after="80"/>
      </w:pPr>
      <w:r>
        <w:rPr>
          <w:b w:val="0"/>
          <w:i w:val="0"/>
        </w:rPr>
        <w:t>Tòa án Tối cao Delaware</w:t>
      </w:r>
      <w:r>
        <w:br/>
      </w:r>
      <w:r>
        <w:rPr>
          <w:b w:val="0"/>
          <w:i w:val="0"/>
        </w:rPr>
        <w:t xml:space="preserve"> 2015 WL 5766264</w:t>
      </w:r>
    </w:p>
    <w:p>
      <w:pPr>
        <w:spacing w:after="80"/>
      </w:pPr>
      <w:r>
        <w:rPr>
          <w:b w:val="0"/>
          <w:i w:val="0"/>
        </w:rPr>
        <w:t>STRINE, CHÁNH ÁN:</w:t>
      </w:r>
    </w:p>
    <w:p>
      <w:pPr>
        <w:spacing w:after="80"/>
      </w:pPr>
      <w:r>
        <w:rPr>
          <w:b w:val="0"/>
          <w:i w:val="0"/>
        </w:rPr>
        <w:t>GIỚI THIỆU</w:t>
      </w:r>
    </w:p>
    <w:p>
      <w:pPr>
        <w:spacing w:after="80"/>
      </w:pPr>
      <w:r>
        <w:rPr>
          <w:b w:val="0"/>
          <w:i w:val="0"/>
        </w:rPr>
        <w:t xml:space="preserve">Việc xác định liệu một nguyên đơn có đưa ra được các tình tiết chứng minh cho suy luận rằng một giám đốc không thể hành động độc lập với một giám đốc có quyền lợi liên quan vì mục đích miễn trừ yêu cầu khởi kiện theo </w:t>
      </w:r>
      <w:r>
        <w:rPr>
          <w:b w:val="0"/>
          <w:i/>
        </w:rPr>
        <w:t>Aronson</w:t>
      </w:r>
      <w:r>
        <w:rPr>
          <w:b w:val="0"/>
          <w:i w:val="0"/>
        </w:rPr>
        <w:t xml:space="preserve"> hay không có thể rất khó khăn. Và vụ án này minh họa cho điều đó. Nhưng trong việc xác định đó, điều quan trọng là tòa án cấp sơ thẩm phải xem xét tất cả các tình tiết cụ thể mà nguyên đơn đã đưa ra về các mối quan hệ giữa giám đốc và bên có quyền lợi liên quan một cách tổng thể chứ không tách rời nhau, và đưa ra mọi suy luận hợp lý từ tổng thể các tình tiết đó theo hướng có lợi cho nguyên đơn. Trong vụ án này, nguyên đơn không chỉ đưa ra rằng giám đốc có mối quan hệ bạn bè thân thiết hơn nửa thế kỷ với bên có quyền lợi liên quan, mà còn rằng, phù hợp với tình bạn sâu đậm đó, công việc chính (và cả của anh trai ông) là làm giám đốc điều hành của một công ty mà bên có quyền lợi liên quan có ảnh hưởng đáng kể. Những tình tiết này, cùng các tình tiết khác có tính chất tương tự, khi được xem xét cùng nhau, hỗ trợ cho suy luận rằng giám đốc không thể hành động độc lập với bên có quyền lợi liên quan. Vì lý do đó, nguyên đơn đã đưa ra các tình tiết chứng minh cho suy luận rằng đa số thành viên hội đồng quản trị đã phê duyệt giao dịch có quyền lợi liên quan mà họ khiếu nại không thể xem xét yêu cầu khởi kiện một cách khách quan. Do đó, chúng tôi bác bỏ phán quyết và chuyển lại để nguyên đơn có thể tiến hành vụ kiện phái sinh này.</w:t>
      </w:r>
    </w:p>
    <w:p>
      <w:pPr>
        <w:spacing w:after="80"/>
      </w:pPr>
      <w:r>
        <w:rPr>
          <w:b w:val="0"/>
          <w:i w:val="0"/>
        </w:rPr>
        <w:t>BỐI CẢNH</w:t>
      </w:r>
    </w:p>
    <w:p>
      <w:pPr>
        <w:spacing w:after="80"/>
      </w:pPr>
      <w:r>
        <w:rPr>
          <w:b w:val="0"/>
          <w:i w:val="0"/>
        </w:rPr>
        <w:t>Vụ án này liên quan đến kháng cáo từ một giao dịch phức tạp giữa một công ty tư nhân có vốn chủ sở hữu thuộc toàn quyền sở hữu của gia đình A.R. Sanchez, Jr., Sanchez Resources, LLC (sau đây gọi là "Công ty Sanchez Tư nhân"), và một công ty đại chúng mà gia đình Sanchez là nhóm cổ đông lớn nhất với khoảng 16% cổ phần và phụ thuộc vào Công ty Sanchez Tư nhân cho toàn bộ dịch vụ quản lý của mình, Sanchez Energy Corporation ("Công ty Sanchez Đại chúng"). Giao dịch đang tranh chấp yêu cầu Công ty Sanchez Đại chúng phải trả 78 triệu đô la để: i) giúp Công ty Sanchez Tư nhân mua lại phần vốn góp của một nhà đầu tư vốn cổ phần tư nhân; ii) mua lại quyền lợi đối với một số bất động sản có tiềm năng sản xuất năng lượng từ Công ty Sanchez Tư nhân; iii) tạo điều kiện cho việc khai thác chung 80.000 mẫu đất giữa Công ty Sanchez Tư nhân và Đại chúng; và iv) tài trợ khoản thanh toán tiền mặt 14,4 triệu đô la cho Công ty Sanchez Tư nhân. Trong vụ kiện phái sinh này, nguyên đơn cáo buộc rằng giao dịch này liên quan đến việc Công ty Sanchez Đại chúng thanh toán vượt mức nghiêm trọng, mang lại lợi ích không công bằng cho Công ty Sanchez Tư nhân bằng cách cho phép công ty này sử dụng tiền của Công ty Sanchez Đại chúng để mua lại đối tác vốn cổ phần tư nhân của họ, nhận được khoản thanh toán tiền mặt lớn cho chính mình, và có được quyền theo hợp đồng đối với dòng tiền bản quyền sinh lợi mà lại quá ưu đãi cho Công ty Sanchez Tư nhân và do đó gây gánh nặng bất công cho Công ty Sanchez Đại chúng. Về điểm sau, nguyên đơn cáo buộc rằng khoản thanh toán bản quyền không chỉ bất công mà còn không được tiết lộ cho các cổ đông của Công ty Sanchez Đại chúng, và chính mong muốn của gia đình Sanchez che giấu nghĩa vụ bản quyền đã dẫn đến cấu trúc giao dịch phức tạp mà có thể được mô tả một cách công bằng như vậy.</w:t>
      </w:r>
    </w:p>
    <w:p>
      <w:pPr>
        <w:spacing w:after="80"/>
      </w:pPr>
      <w:r>
        <w:rPr>
          <w:b w:val="0"/>
          <w:i w:val="0"/>
        </w:rPr>
        <w:t xml:space="preserve">Tòa án Chancery đã bác bỏ đơn kiện, cho rằng các bị đơn đúng khi khẳng định nguyên đơn chưa đưa ra được căn cứ miễn trừ yêu cầu khởi kiện theo </w:t>
      </w:r>
      <w:r>
        <w:rPr>
          <w:b w:val="0"/>
          <w:i/>
        </w:rPr>
        <w:t>Aronson</w:t>
      </w:r>
      <w:r>
        <w:rPr>
          <w:b w:val="0"/>
          <w:i w:val="0"/>
        </w:rPr>
        <w:t xml:space="preserve">. Trong một ý kiến kỹ lưỡng và cẩn thận, Tòa án Chancery đã xem xét cả hai nhánh của </w:t>
      </w:r>
      <w:r>
        <w:rPr>
          <w:b w:val="0"/>
          <w:i/>
        </w:rPr>
        <w:t>Aronson</w:t>
      </w:r>
      <w:r>
        <w:rPr>
          <w:b w:val="0"/>
          <w:i w:val="0"/>
        </w:rPr>
        <w:t xml:space="preserve"> và kết luận rằng nguyên đơn chưa đáp ứng được nghĩa vụ lập luận để chứng minh rằng yêu cầu khởi kiện được miễn trừ theo cả hai nhánh. Khi kháng cáo, nguyên đơn lập luận rằng Tòa án Chancery đã sai ở cả hai điểm.</w:t>
      </w:r>
    </w:p>
    <w:p>
      <w:pPr>
        <w:spacing w:after="80"/>
      </w:pPr>
      <w:r>
        <w:rPr>
          <w:b w:val="0"/>
          <w:i w:val="0"/>
        </w:rPr>
        <w:t>Tuy nhiên, khi giải quyết kháng cáo này, chúng tôi chỉ tập trung vào một vấn đề duy nhất, vấn đề mang tính quyết định kết quả. Các bên đồng ý rằng hai trong số năm giám đốc trong hội đồng quản trị Công ty Sanchez Đại chúng không có quyền lợi độc lập trong giao dịch: A.R. Sanchez, Jr., Chủ tịch Công ty Đại chúng; và con trai ông, Antonio R. Sanchez, III, Chủ tịch kiêm Tổng giám đốc điều hành Công ty Sanchez Đại chúng. Để rõ ràng, chúng tôi gọi trưởng tộc của gia đình Sanchez, A.R. Sanchez, Jr., là Chủ tịch Sanchez.</w:t>
      </w:r>
    </w:p>
    <w:p>
      <w:pPr>
        <w:spacing w:after="80"/>
      </w:pPr>
      <w:r>
        <w:rPr>
          <w:b w:val="0"/>
          <w:i w:val="0"/>
        </w:rPr>
        <w:t xml:space="preserve">Do đó, câu hỏi cho mục đích </w:t>
      </w:r>
      <w:r>
        <w:rPr>
          <w:b w:val="0"/>
          <w:i/>
        </w:rPr>
        <w:t>Aronson</w:t>
      </w:r>
      <w:r>
        <w:rPr>
          <w:b w:val="0"/>
          <w:i w:val="0"/>
        </w:rPr>
        <w:t xml:space="preserve"> là liệu nguyên đơn có đưa ra được các tình tiết cụ thể làm dấy lên nghi ngờ ở giai đoạn lập luận về tính độc lập của một trong các giám đốc khác của Công ty Sanchez Đại chúng hay không. Nếu có, cả các bị đơn và chính Tòa án Chancery đều thừa nhận rằng nguyên đơn sẽ có căn cứ để được miễn trừ yêu cầu khởi kiện theo </w:t>
      </w:r>
      <w:r>
        <w:rPr>
          <w:b w:val="0"/>
          <w:i/>
        </w:rPr>
        <w:t>Aronson</w:t>
      </w:r>
      <w:r>
        <w:rPr>
          <w:b w:val="0"/>
          <w:i w:val="0"/>
        </w:rPr>
        <w:t>.</w:t>
      </w:r>
    </w:p>
    <w:p>
      <w:pPr>
        <w:spacing w:after="80"/>
      </w:pPr>
      <w:r>
        <w:rPr>
          <w:b w:val="0"/>
          <w:i w:val="0"/>
        </w:rPr>
        <w:t>PHÂN TÍCH</w:t>
      </w:r>
    </w:p>
    <w:p>
      <w:pPr>
        <w:spacing w:after="80"/>
      </w:pPr>
      <w:r>
        <w:rPr>
          <w:b w:val="0"/>
          <w:i w:val="0"/>
        </w:rPr>
        <w:t xml:space="preserve">Để lập luận về việc miễn trừ yêu cầu khởi kiện theo Quy tắc 23.1, nguyên đơn trong một vụ kiện phái sinh phải đưa ra các tình tiết cụ thể tạo ra "nghi ngờ hợp lý" rằng hoặc "(1) các giám đốc không có quyền lợi liên quan và độc lập hoặc (2) giao dịch bị khiếu nại là kết quả của việc thực thi hợp lệ quyền phán đoán kinh doanh." Mặc dù có nghĩa vụ cao hơn theo Quy tắc 23.1 để đưa ra các tình tiết cụ thể, khi có đơn yêu cầu bác bỏ vì không thực hiện yêu cầu khởi kiện, mọi suy luận hợp lý từ các tình tiết được đưa ra vẫn phải được diễn giải theo hướng có lợi cho nguyên đơn khi xác định liệu nguyên đơn có đáp ứng được nghĩa vụ của mình theo </w:t>
      </w:r>
      <w:r>
        <w:rPr>
          <w:b w:val="0"/>
          <w:i/>
        </w:rPr>
        <w:t>Aronson</w:t>
      </w:r>
      <w:r>
        <w:rPr>
          <w:b w:val="0"/>
          <w:i w:val="0"/>
        </w:rPr>
        <w:t xml:space="preserve"> hay không.</w:t>
      </w:r>
    </w:p>
    <w:p>
      <w:pPr>
        <w:spacing w:after="80"/>
      </w:pPr>
      <w:r>
        <w:rPr>
          <w:b w:val="0"/>
          <w:i w:val="0"/>
        </w:rPr>
        <w:t>Câu hỏi sát nút nhất ở cấp dưới tập trung vào giám đốc Alan Jackson. Đơn kiện đặt cơ sở thách thức tính độc lập của Jackson trên hai lý do có liên quan. Thứ nhất, đơn kiện nêu rằng "[Chủ tịch] Sanchez và Jackson đã là bạn thân thiết trong hơn năm thập kỷ." Phù hợp với cáo buộc này, đơn kiện cho thấy rằng khi Chủ tịch Sanchez tranh cử Thống đốc Texas vào năm 2012, Jackson đã quyên góp 12.500 đô la cho chiến dịch của ông.</w:t>
      </w:r>
    </w:p>
    <w:p>
      <w:pPr>
        <w:spacing w:after="80"/>
      </w:pPr>
      <w:r>
        <w:rPr>
          <w:b w:val="0"/>
          <w:i w:val="0"/>
        </w:rPr>
        <w:t>Thứ hai, đơn kiện đưa ra các tình tiết hỗ trợ cho suy luận rằng tài sản cá nhân của Jackson phần lớn là nhờ vào các lợi ích kinh doanh mà Chủ tịch Sanchez có ảnh hưởng đáng kể. Theo đơn kiện, công việc toàn thời gian và nguồn thu nhập chính của Jackson là làm giám đốc điều hành tại IBC Insurance Agency, Ltd. IBC Insurance cung cấp dịch vụ môi giới bảo hiểm cho Công ty Sanchez Đại chúng và các chi nhánh khác của Sanchez. Nhưng quan trọng hơn nữa, IBC Insurance là công ty con thuộc sở hữu toàn phần của International Bancshares Corporation ("IBC"), một công ty mà Chủ tịch Sanchez là cổ đông lớn nhất và là giám đốc mà hội đồng quản trị IBC đã xác định là không độc lập theo Quy tắc Thị trường NASDAQ. Không chỉ Jackson làm việc toàn thời gian cho IBC Insurance, mà anh trai ông cũng vậy. Cả hai người họ đều phụ trách công việc mà IBC Insurance thực hiện cho Công ty Sanchez Đại chúng và Tư nhân. Đơn kiện cũng cáo buộc rằng khoảng 165.000 đô la mà Jackson kiếm được với tư cách giám đốc Công ty Sanchez Đại chúng chiếm "30–40% tổng thu nhập của Jackson trong năm 2012."</w:t>
      </w:r>
    </w:p>
    <w:p>
      <w:pPr>
        <w:spacing w:after="80"/>
      </w:pPr>
      <w:r>
        <w:rPr>
          <w:b w:val="0"/>
          <w:i w:val="0"/>
        </w:rPr>
        <w:t xml:space="preserve">Nguyên đơn cho rằng những tình tiết được đưa ra này hỗ trợ cho suy luận rằng Jackson không thể hành động độc lập với Chủ tịch Sanchez, vì ông là bạn thân của Sanchez suốt nửa thế kỷ, có công việc chính từ một công ty mà Sanchez có quyền kiểm soát đáng kể, có anh trai ở cùng vị trí, và sự trùng hợp của những mối quan hệ cá nhân và kinh doanh này, à, không phải là ngẫu nhiên. Trong ý kiến của mình, Tòa án Chancery không đồng ý với nguyên đơn. Sau khi xem xét tất cả các yếu tố này, Tòa án Chancery kết luận rằng nguyên đơn chưa đưa ra được các tình tiết để vượt qua giả định rằng Jackson độc lập. Các bị đơn bảo vệ lập luận của Tòa án Chancery khi kháng cáo, và nhấn mạnh rằng tòa đã dựa trên tiền lệ như </w:t>
      </w:r>
      <w:r>
        <w:rPr>
          <w:b w:val="0"/>
          <w:i/>
        </w:rPr>
        <w:t>Beam v. Stewart,</w:t>
      </w:r>
      <w:r>
        <w:rPr>
          <w:b w:val="0"/>
          <w:i w:val="0"/>
        </w:rPr>
        <w:t xml:space="preserve"> và phản ánh sự đánh giá cẩn thận các tình tiết được đưa ra và liệu chúng có đủ để làm tổn hại tính độc lập của Jackson theo </w:t>
      </w:r>
      <w:r>
        <w:rPr>
          <w:b w:val="0"/>
          <w:i/>
        </w:rPr>
        <w:t>Aronson</w:t>
      </w:r>
      <w:r>
        <w:rPr>
          <w:b w:val="0"/>
          <w:i w:val="0"/>
        </w:rPr>
        <w:t xml:space="preserve"> hay không. Họ cũng lưu ý, như Tòa án Chancery đã làm, rằng Tòa án này đã khuyến cáo các nguyên đơn phái sinh sử dụng quy trình yêu cầu cung cấp sổ sách và hồ sơ để giúp họ đáp ứng tiêu chuẩn lập luận nghiêm ngặt của </w:t>
      </w:r>
      <w:r>
        <w:rPr>
          <w:b w:val="0"/>
          <w:i/>
        </w:rPr>
        <w:t>Aronson</w:t>
      </w:r>
      <w:r>
        <w:rPr>
          <w:b w:val="0"/>
          <w:i w:val="0"/>
        </w:rPr>
        <w:t xml:space="preserve"> và rằng, nếu nguyên đơn không đạt được, đó là lỗi của chính họ vì không sử dụng biện pháp này.</w:t>
      </w:r>
    </w:p>
    <w:p>
      <w:pPr>
        <w:spacing w:after="80"/>
      </w:pPr>
      <w:r>
        <w:rPr>
          <w:b w:val="0"/>
          <w:i w:val="0"/>
        </w:rPr>
        <w:t xml:space="preserve">Chúng tôi đồng ý với các bị đơn rằng Tòa án Chancery đã nỗ lực giải quyết câu hỏi sát nút này và biện minh cho quyết định rằng nguyên đơn chưa đưa ra được các tình tiết hỗ trợ cho suy luận rằng Jackson không thể hành động độc lập với Sanchez dựa trên các tiền lệ liên quan. Tuy nhiên, sử dụng thẩm quyền xem xét </w:t>
      </w:r>
      <w:r>
        <w:rPr>
          <w:b w:val="0"/>
          <w:i/>
        </w:rPr>
        <w:t>de novo</w:t>
      </w:r>
      <w:r>
        <w:rPr>
          <w:b w:val="0"/>
          <w:i w:val="0"/>
        </w:rPr>
        <w:t xml:space="preserve"> điều chỉnh kháng cáo này, chúng tôi không đi đến cùng kết luận như Tòa án Chancery. Lý do là phân tích của Tòa án Chancery dường như đã xem xét các tình tiết mà nguyên đơn đưa ra về tình bạn cá nhân của Jackson với Sanchez và các tình tiết họ đưa ra về các mối quan hệ kinh doanh của ông như những vấn đề hoàn toàn tách biệt. Sau khi phân tách chúng thành các phạm trù riêng biệt, Tòa án Chancery dường như đã kết luận rằng không phạm trù tình tiết nào tự nó đủ để làm tổn hại tính độc lập của Jackson cho mục đích miễn trừ yêu cầu khởi kiện.</w:t>
      </w:r>
    </w:p>
    <w:p>
      <w:pPr>
        <w:spacing w:after="80"/>
      </w:pPr>
      <w:r>
        <w:rPr>
          <w:b w:val="0"/>
          <w:i w:val="0"/>
        </w:rPr>
        <w:t>Vấn đề với cách tiếp cận đó là luật của chúng ta yêu cầu rằng tất cả các sự kiện được viện dẫn liên quan đến mối quan hệ của một giám đốc với bên có quyền lợi phải được xem xét trong bối cảnh đầy đủ khi đưa ra phán quyết, dù thừa nhận là không chính xác, ở giai đoạn biện hộ về tính độc lập. Trong sự xem xét đó, không thể bỏ qua rằng mặc dù nguyên đơn có nghĩa vụ viện dẫn các sự kiện cụ thể khi biện hộ một đơn kiện phái sinh, thì tòa án cũng có nghĩa vụ suy luận mọi suy diễn từ những sự kiện cụ thể đó theo hướng có lợi cho nguyên đơn, chứ không phải bị đơn, khi có yêu cầu bác bỏ một đơn kiện phái sinh.</w:t>
      </w:r>
    </w:p>
    <w:p>
      <w:pPr>
        <w:spacing w:after="80"/>
      </w:pPr>
      <w:r>
        <w:rPr>
          <w:b w:val="0"/>
          <w:i w:val="0"/>
        </w:rPr>
        <w:t xml:space="preserve">Ở đây, các nguyên đơn không viện dẫn kiểu tình bạn xã hội mỏng manh, nói theo cách dễ hiểu hơn, vốn là vấn đề trong </w:t>
      </w:r>
      <w:r>
        <w:rPr>
          <w:b w:val="0"/>
          <w:i/>
        </w:rPr>
        <w:t>Beam</w:t>
      </w:r>
      <w:r>
        <w:rPr>
          <w:b w:val="0"/>
          <w:i w:val="0"/>
        </w:rPr>
        <w:t xml:space="preserve"> . Trong vụ đó, chúng tôi đã phán quyết rằng các cáo buộc rằng các giám đốc "giao du trong cùng giới xã hội, dự cùng đám cưới, phát triển quan hệ kinh doanh trước khi tham gia hội đồng quản trị, và mô tả nhau là 'bạn bè,'. . . là không đủ, nếu không có gì thêm, để bác bỏ giả định về tính độc lập." Khi nói điều đó, chúng tôi không ngụ ý rằng không thể tồn tại những tình bạn con người sâu sắc hơn có thể có tác động làm tổn hại đến tính độc lập của một giám đốc. Khi, như ở đây, một nguyên đơn đã viện dẫn rằng một giám đốc đã là bạn thân với một bên có quyền lợi trong nửa thế kỷ, thì nguyên đơn đã viện dẫn các sự kiện hoàn toàn khác với những sự kiện trong </w:t>
      </w:r>
      <w:r>
        <w:rPr>
          <w:b w:val="0"/>
          <w:i/>
        </w:rPr>
        <w:t>Beam</w:t>
      </w:r>
      <w:r>
        <w:rPr>
          <w:b w:val="0"/>
          <w:i w:val="0"/>
        </w:rPr>
        <w:t xml:space="preserve"> . Những tình bạn thân thiết kéo dài như vậy có lẽ được nhiều người coi là quý giá, và rất hiếm. Con người xa cách nhau vì nhiều lý do, và khi một mối quan hệ thân thiết bền vững lâu như vậy, thì phát sinh một suy diễn ở giai đoạn biện hộ rằng nó quan trọng đối với các bên.</w:t>
      </w:r>
    </w:p>
    <w:p>
      <w:pPr>
        <w:spacing w:after="80"/>
      </w:pPr>
      <w:r>
        <w:rPr>
          <w:b w:val="0"/>
          <w:i w:val="0"/>
        </w:rPr>
        <w:t xml:space="preserve">Tuy nhiên, các nguyên đơn không chỉ dựa vào lập luận đó. Họ đã viện dẫn các sự kiện liên quan đến quan hệ kinh tế của Jackson và Chủ tịch Sanchez để củng cố lập luận của họ rằng họ là những người tri kỷ và rằng có nghi ngờ hợp lý rằng Jackson có thể hành động công bằng trong một vấn đề có tầm quan trọng kinh tế đối với cá nhân Sanchez. Có thể hoàn toàn là trùng hợp khi công việc toàn thời gian của Jackson là giám đốc điều hành tại một công ty con của một tập đoàn mà Chủ tịch Sanchez có ảnh hưởng đáng kể, với tư cách là cổ đông lớn nhất, giám đốc, và Chủ tịch của một nguồn công việc môi giới quan trọng. Cũng có thể là trùng hợp khi anh trai của Jackson cũng làm việc ở đó. Có thể là trùng hợp khi cả Jackson và anh trai ông đều làm công việc môi giới bảo hiểm cho các Công ty Công và Tư của Sanchez ở đó. Và có thể là trùng hợp khi Jackson thấy mình là giám đốc của Công ty Công Sanchez. Nhưng khá chắc chắn rằng, phát sinh một suy diễn ở giai đoạn biện hộ rằng các vị trí kinh tế của Jackson phần lớn bắt nguồn từ tình bạn thân thiết 50 năm của ông với Chủ tịch Sanchez, và rằng ông ở những vị trí này vì Sanchez tin tưởng, quan tâm và tôn trọng ông. Nếu điều đó là đúng, thì tất nhiên không có gì sai với điều đó. Những mối quan hệ con người như vậy là quý giá. Tuy nhiên, trong bối cảnh này, khi câu hỏi là liệu các nguyên đơn có đáp ứng được nghĩa vụ biện hộ của họ để viện dẫn các sự kiện gợi ý rằng Jackson không thể hành động độc lập với Chủ tịch Sanchez hay không, thì những suy diễn hiển nhiên phát sinh từ các sự kiện được viện dẫn này đòi hỏi rằng yêu cầu bác bỏ đơn kiện của các bị đơn phải bị từ chối. Nói cách khác, dùng đúng cách diễn đạt của </w:t>
      </w:r>
      <w:r>
        <w:rPr>
          <w:b w:val="0"/>
          <w:i/>
        </w:rPr>
        <w:t>Aronson,</w:t>
      </w:r>
      <w:r>
        <w:rPr>
          <w:b w:val="0"/>
          <w:i w:val="0"/>
        </w:rPr>
        <w:t xml:space="preserve"> các nguyên đơn đã viện dẫn các sự kiện cụ thể, mà khi được xem xét theo cách có lợi cho nguyên đơn như yêu cầu, tạo ra nghi ngờ hợp lý về tính độc lập của Jackson.</w:t>
      </w:r>
    </w:p>
    <w:p>
      <w:pPr>
        <w:spacing w:after="80"/>
      </w:pPr>
      <w:r>
        <w:rPr>
          <w:b w:val="0"/>
          <w:i w:val="0"/>
        </w:rPr>
        <w:t>Về điểm này, chúng tôi cũng thấy hữu ích khi lưu ý rằng mặc dù, giống như Tòa án Chancery, chúng tôi đồng ý rằng sẽ là lý tưởng nếu các nguyên đơn sử dụng công cụ sách và hồ sơ, như các vụ án trước đây của chúng tôi đã khuyến khích, thì công cụ đó có thể có ích dụng hạn chế đối với điểm cụ thể này. Có thể Công ty Công Sanchez có một hồ sơ các bảng câu hỏi công bố thông tin cho hội đồng quản trị sẽ cung cấp thêm chi tiết về mức độ gắn bó của mối quan hệ giữa Chủ tịch Sanchez và Jackson. Nhưng chúng tôi không thể quy trách nhiệm cho các nguyên đơn về việc không tiến hành điều tra thêm khi, như ở đây, các sự kiện được viện dẫn trong đơn kiện hỗ trợ một suy diễn rằng đa số hội đồng quản trị thiếu tính độc lập.</w:t>
      </w:r>
    </w:p>
    <w:p>
      <w:pPr>
        <w:spacing w:after="80"/>
      </w:pPr>
      <w:r>
        <w:rPr>
          <w:b w:val="0"/>
          <w:i w:val="0"/>
        </w:rPr>
        <w:t xml:space="preserve">Vì chúng tôi kết luận rằng các nguyên đơn đã viện dẫn được việc miễn trừ yêu cầu khởi kiện theo nhánh thứ nhất của </w:t>
      </w:r>
      <w:r>
        <w:rPr>
          <w:b w:val="0"/>
          <w:i/>
        </w:rPr>
        <w:t>Aronson,</w:t>
      </w:r>
      <w:r>
        <w:rPr>
          <w:b w:val="0"/>
          <w:i w:val="0"/>
        </w:rPr>
        <w:t xml:space="preserve"> nên chúng tôi không cần và do đó không xem xét các vấn đề khác được trình bày trong kháng cáo. Do đó, phán quyết của Tòa án Chancery ngày 25 tháng 11 năm 2014 bác bỏ vụ án này bị đảo ngược, và vụ án này được chuyển lại để tiến hành các thủ tục tiếp theo phù hợp với ý kiến này.</w:t>
      </w:r>
    </w:p>
    <w:p>
      <w:pPr>
        <w:pStyle w:val="Heading5"/>
      </w:pPr>
      <w:r>
        <w:rPr>
          <w:rFonts w:ascii="Calibri" w:hAnsi="Calibri"/>
          <w:b/>
          <w:i/>
          <w:sz w:val="22"/>
        </w:rPr>
        <w:t>Bình luận và Câu hỏi</w:t>
      </w:r>
    </w:p>
    <w:p>
      <w:pPr>
        <w:spacing w:after="80"/>
      </w:pPr>
      <w:r>
        <w:rPr>
          <w:b w:val="0"/>
          <w:i w:val="0"/>
        </w:rPr>
        <w:t xml:space="preserve">1. Chánh án Strine đã phân biệt tình bạn giữa các giám đốc MSO trong </w:t>
      </w:r>
      <w:r>
        <w:rPr>
          <w:b w:val="0"/>
          <w:i/>
        </w:rPr>
        <w:t>Beam</w:t>
      </w:r>
      <w:r>
        <w:rPr>
          <w:b w:val="0"/>
          <w:i w:val="0"/>
        </w:rPr>
        <w:t xml:space="preserve"> với tình bạn được cho là đe dọa tính độc lập của Jackson trong vụ này như thế nào?</w:t>
      </w:r>
    </w:p>
    <w:p>
      <w:pPr>
        <w:spacing w:after="80"/>
      </w:pPr>
      <w:r>
        <w:rPr>
          <w:b w:val="0"/>
          <w:i w:val="0"/>
        </w:rPr>
        <w:t xml:space="preserve">2. Ở giai đoạn biện hộ, việc thiếu tính độc lập phụ thuộc vào việc "liệu các nguyên đơn có viện dẫn các sự kiện mà từ đó có thể nghi ngờ khả năng của giám đốc hành động công bằng trong một vấn đề quan trọng đối với bên có quyền lợi, bởi vì giám đốc đó có thể cảm thấy hoặc bị bên có quyền lợi chi phối hoặc mang ơn bên có quyền lợi đó." Như trong </w:t>
      </w:r>
      <w:r>
        <w:rPr>
          <w:b w:val="0"/>
          <w:i/>
        </w:rPr>
        <w:t>Beam</w:t>
      </w:r>
      <w:r>
        <w:rPr>
          <w:b w:val="0"/>
          <w:i w:val="0"/>
        </w:rPr>
        <w:t xml:space="preserve"> , Tòa án Tối cao Delaware tiếp tục đề cập đến hai cách mà các giám đốc có thể bị loại trừ bởi thiên vị: (1) các giám đốc thiếu tính độc lập vì họ bị </w:t>
      </w:r>
      <w:r>
        <w:rPr>
          <w:b w:val="0"/>
          <w:i/>
        </w:rPr>
        <w:t>chi phối</w:t>
      </w:r>
      <w:r>
        <w:rPr>
          <w:b w:val="0"/>
          <w:i w:val="0"/>
        </w:rPr>
        <w:t xml:space="preserve"> bởi một bên khác; và (2) các giám đốc thiếu tính độc lập vì họ </w:t>
      </w:r>
      <w:r>
        <w:rPr>
          <w:b w:val="0"/>
          <w:i/>
        </w:rPr>
        <w:t>mang ơn</w:t>
      </w:r>
      <w:r>
        <w:rPr>
          <w:b w:val="0"/>
          <w:i w:val="0"/>
        </w:rPr>
        <w:t xml:space="preserve"> một bên khác có quyền lợi trong giao dịch. Sau khi đọc cả hai vụ án, sự khác biệt giữa các giám đốc bị chi phối và các giám đốc mang ơn là gì?</w:t>
      </w:r>
    </w:p>
    <w:p>
      <w:pPr>
        <w:spacing w:after="80"/>
      </w:pPr>
      <w:r>
        <w:rPr>
          <w:b w:val="0"/>
          <w:i w:val="0"/>
        </w:rPr>
        <w:t xml:space="preserve">3. Nhớ lại rằng trong </w:t>
      </w:r>
      <w:r>
        <w:rPr>
          <w:b w:val="0"/>
          <w:i/>
        </w:rPr>
        <w:t>Beam</w:t>
      </w:r>
      <w:r>
        <w:rPr>
          <w:b w:val="0"/>
          <w:i w:val="0"/>
        </w:rPr>
        <w:t xml:space="preserve"> , Tòa án Tối cao Delaware đã công bố một tiêu chuẩn "rủi ro về danh tiếng" để xác định khi nào các cáo buộc về tình bạn có thể làm dấy lên câu hỏi về tính độc lập:</w:t>
      </w:r>
    </w:p>
    <w:p>
      <w:pPr>
        <w:spacing w:after="80"/>
      </w:pPr>
      <w:r>
        <w:rPr>
          <w:b w:val="0"/>
          <w:i w:val="0"/>
        </w:rPr>
        <w:t>Để tạo ra nghi ngờ hợp lý về tính độc lập của một giám đốc bên ngoài, nguyên đơn phải viện dẫn các sự kiện hỗ trợ suy diễn rằng do bản chất của một mối quan hệ hoặc các hoàn cảnh bổ sung ngoài quyền sở hữu cổ phần hoặc quyền biểu quyết của giám đốc có quyền lợi, giám đốc không có quyền lợi sẽ sẵn sàng mạo hiểm danh tiếng của mình hơn là mạo hiểm mối quan hệ với giám đốc có quyền lợi.</w:t>
      </w:r>
    </w:p>
    <w:p>
      <w:pPr>
        <w:spacing w:after="80"/>
      </w:pPr>
      <w:r>
        <w:rPr>
          <w:b w:val="0"/>
          <w:i w:val="0"/>
        </w:rPr>
        <w:t xml:space="preserve">Tòa án </w:t>
      </w:r>
      <w:r>
        <w:rPr>
          <w:b w:val="0"/>
          <w:i/>
        </w:rPr>
        <w:t>Sanchez</w:t>
      </w:r>
      <w:r>
        <w:rPr>
          <w:b w:val="0"/>
          <w:i w:val="0"/>
        </w:rPr>
        <w:t xml:space="preserve"> có áp dụng tiêu chuẩn này không? Hãy biện luận cho câu trả lời của bạn.</w:t>
      </w:r>
    </w:p>
    <w:p>
      <w:pPr>
        <w:spacing w:after="80"/>
      </w:pPr>
      <w:r>
        <w:rPr>
          <w:b w:val="0"/>
          <w:i w:val="0"/>
        </w:rPr>
        <w:t xml:space="preserve">4. Sau </w:t>
      </w:r>
      <w:r>
        <w:rPr>
          <w:b w:val="0"/>
          <w:i/>
        </w:rPr>
        <w:t>Sanchez</w:t>
      </w:r>
      <w:r>
        <w:rPr>
          <w:b w:val="0"/>
          <w:i w:val="0"/>
        </w:rPr>
        <w:t xml:space="preserve"> , liệu các hội đồng quản trị và các ủy ban đề cử/quản trị của họ có nên điều tra và xem xét các tình bạn cá nhân khi lựa chọn giám đốc và phân công ủy ban, ngay cả khi không có bất kỳ quy định pháp lý nào yêu cầu họ làm vậy không? Liệu các tình bạn cá nhân có nên được coi là có khả năng gây mất tư cách nếu và chỉ nếu một giám đốc hoặc ứng viên giám đốc cũng có mối quan hệ kinh doanh đáng kể với CEO không?</w:t>
      </w:r>
    </w:p>
    <w:p>
      <w:pPr>
        <w:spacing w:after="80"/>
      </w:pPr>
      <w:r>
        <w:rPr>
          <w:b w:val="0"/>
          <w:i w:val="0"/>
        </w:rPr>
        <w:t>—————</w:t>
      </w:r>
    </w:p>
    <w:p>
      <w:pPr>
        <w:pStyle w:val="Heading4"/>
      </w:pPr>
      <w:r>
        <w:rPr>
          <w:rFonts w:ascii="Calibri" w:hAnsi="Calibri"/>
          <w:b/>
          <w:i w:val="0"/>
          <w:sz w:val="23"/>
        </w:rPr>
        <w:t>London v. Tyrrell</w:t>
      </w:r>
    </w:p>
    <w:p>
      <w:pPr>
        <w:spacing w:after="80"/>
      </w:pPr>
      <w:r>
        <w:rPr>
          <w:b w:val="0"/>
          <w:i w:val="0"/>
        </w:rPr>
        <w:t>Tòa án Chancery Delaware</w:t>
      </w:r>
      <w:r>
        <w:br/>
      </w:r>
      <w:r>
        <w:rPr>
          <w:b w:val="0"/>
          <w:i w:val="0"/>
        </w:rPr>
        <w:t xml:space="preserve"> 2010 Del. Ch. LEXIS 54 (11 tháng 3, 2010)</w:t>
      </w:r>
    </w:p>
    <w:p>
      <w:pPr>
        <w:spacing w:after="80"/>
      </w:pPr>
      <w:r>
        <w:rPr>
          <w:b w:val="0"/>
          <w:i w:val="0"/>
        </w:rPr>
        <w:t>CHANDLER , CHANCELLOR :</w:t>
      </w:r>
    </w:p>
    <w:p>
      <w:pPr>
        <w:spacing w:after="80"/>
      </w:pPr>
      <w:r>
        <w:rPr>
          <w:b w:val="0"/>
          <w:i w:val="0"/>
        </w:rPr>
        <w:t>Sau bốn tháng điều tra các khiếu nại của nguyên đơn trong vụ kiện phái sinh (derivative action) này, một ủy ban tranh tụng đặc biệt (special litigation committee - SLC) do bị đơn danh nghĩa iGov thành lập đã kiến nghị bác bỏ vụ kiện của nguyên đơn. Tôi bác bỏ đề nghị bác bỏ vụ kiện của SLC vì có những vấn đề thực tế trọng yếu (material questions of fact) liên quan đến (1) tính độc lập của SLC, (2) thiện chí trong quá trình điều tra của SLC, và (3) liệu các căn cứ mà SLC dựa vào để kiến nghị bác bỏ vụ kiện này có hợp lý hay không. Theo đó, nguyên đơn có thể tiếp tục theo đuổi vụ kiện này.</w:t>
      </w:r>
    </w:p>
    <w:p>
      <w:pPr>
        <w:spacing w:after="80"/>
      </w:pPr>
      <w:r>
        <w:rPr>
          <w:b w:val="0"/>
          <w:i/>
        </w:rPr>
        <w:t>Các sự kiện</w:t>
      </w:r>
    </w:p>
    <w:p>
      <w:pPr>
        <w:spacing w:after="80"/>
      </w:pPr>
      <w:r>
        <w:rPr>
          <w:b w:val="0"/>
          <w:i w:val="0"/>
        </w:rPr>
        <w:t>Tranh chấp này bắt nguồn từ việc phê duyệt và triển khai một kế hoạch khuyến khích bằng cổ phần (equity incentive plan) vào ngày 30 tháng 1 năm 2007 (“Kế hoạch 2007”). iGov là một công ty thầu chính phủ, ban đầu tập trung vào thị trường bán lại (reseller market) phần cứng công nghệ thông tin, chủ yếu bán cho các cơ quan quân sự và dân sự liên bang. Tuy nhiên, sau chín năm hoạt động trong thị trường bán lại có biên lợi nhuận thấp và cạnh tranh gay gắt, Công ty quyết định chuyển hướng từ bán sản phẩm sang thị trường dịch vụ chính phủ có biên lợi nhuận cao hơn. Sự chuyển hướng này, diễn ra vào năm 2005, xuất phát từ quan điểm của ban điều hành rằng iGov không thể duy trì lâu dài trong mảng kinh doanh bán lại do sự cạnh tranh ngày càng tăng từ các đối thủ lớn hơn.</w:t>
      </w:r>
    </w:p>
    <w:p>
      <w:pPr>
        <w:spacing w:after="80"/>
      </w:pPr>
      <w:r>
        <w:rPr>
          <w:b w:val="0"/>
          <w:i w:val="0"/>
        </w:rPr>
        <w:t>Vào một thời điểm nào đó trong năm 2006, các bị đơn quyết định rằng nên triển khai Kế hoạch 2007 vì lợi ích của các thành viên chủ chốt trong ban điều hành. Các bị đơn đã khiến iGov thuê Chessiecap Securities, Inc. để định giá cổ phiếu iGov nhằm mục đích ấn định giá thực hiện (exercise price) của các quyền chọn (options) theo Kế hoạch 2007. Đơn khởi kiện của nguyên đơn cáo buộc rằng các bị đơn “đã bí mật quyết định triển khai [Kế hoạch 2007] ở một mức giá bất công để trục lợi cho bản thân, gây thiệt hại cho các cổ đông khác.”</w:t>
      </w:r>
    </w:p>
    <w:p>
      <w:pPr>
        <w:spacing w:after="80"/>
      </w:pPr>
      <w:r>
        <w:rPr>
          <w:b w:val="0"/>
          <w:i w:val="0"/>
        </w:rPr>
        <w:t>Theo Kế hoạch 2007, 300,000 quyền chọn cổ phiếu sẽ được phát hành cho nhiều giám đốc và lãnh đạo cấp cao khác nhau. Tổng cộng, các bị đơn sẽ được nhận 60% số quyền chọn được cấp theo Kế hoạch 2007. Ngoài ra, Kế hoạch 2007 còn dự kiến bán 65,000 cổ phiếu cho Tyrrell [giám đốc tài chính]. Ngược lại, nguyên đơn không được nhận bất kỳ quyền chọn hay cổ phiếu nào theo Kế hoạch 2007, có lẽ vì họ đã bị loại khỏi các vị trí giám đốc và quản lý.</w:t>
      </w:r>
    </w:p>
    <w:p>
      <w:pPr>
        <w:spacing w:after="80"/>
      </w:pPr>
      <w:r>
        <w:rPr>
          <w:b w:val="0"/>
          <w:i w:val="0"/>
        </w:rPr>
        <w:t>Nguyên đơn cáo buộc rằng Kế hoạch 2007 được thiết kế nhằm giảm đáng kể tỷ lệ sở hữu của họ trong iGov và tăng tỷ lệ sở hữu của các bị đơn lên mức cho phép các bị đơn củng cố vị trí của mình với tư cách giám đốc và quản lý của iGov. Để ủng hộ lập luận này, nguyên đơn khẳng định rằng việc triển khai Kế hoạch 2007 ngay lập tức làm giảm tỷ lệ sở hữu chung của họ từ 44% xuống 40%. Trên cơ sở pha loãng hoàn toàn (fully diluted basis), Kế hoạch 2007 được cho là đã giảm tỷ lệ sở hữu chung của nguyên đơn từ 42.3% xuống 28.7%. Đồng thời, Kế hoạch 2007 được cho là đã tăng tỷ lệ sở hữu chung của các bị đơn từ 50.1% lên 54.1% và, trên cơ sở pha loãng hoàn toàn, tỷ lệ sở hữu chung của các bị đơn được cho là đã tăng từ 48.2% lên 54.2%.</w:t>
      </w:r>
    </w:p>
    <w:p>
      <w:pPr>
        <w:spacing w:after="80"/>
      </w:pPr>
      <w:r>
        <w:rPr>
          <w:b w:val="0"/>
          <w:i w:val="0"/>
        </w:rPr>
        <w:t>Nguyên đơn cho rằng các bị đơn đã thao túng Định giá cuối cùng (Final Valuation) bằng cách loại trừ những diễn biến tích cực xảy ra sau ngày 31 tháng 7 năm 2006. Nguyên đơn cũng cho rằng các bị đơn đã sai trái khi từ chối cập nhật Dự báo điều chỉnh (Revised Forecast) hoặc Định giá cuối cùng trước khi phê duyệt Kế hoạch 2007, đồng thời xuyên tạc rằng không có thay đổi trọng yếu nào xảy ra giữa ngày 31 tháng 7 năm 2006 và ngày 30 tháng 1 năm 2007.</w:t>
      </w:r>
    </w:p>
    <w:p>
      <w:pPr>
        <w:spacing w:after="80"/>
      </w:pPr>
      <w:r>
        <w:rPr>
          <w:b w:val="0"/>
          <w:i w:val="0"/>
        </w:rPr>
        <w:t>Sau khi Kế hoạch 2007 được phê duyệt, nguyên đơn đã đưa ra yêu cầu cung cấp sổ sách và hồ sơ (books and records request) theo 8 Del. C. § 220. Căn cứ cho yêu cầu này là việc nguyên đơn phản đối iGov sử dụng Định giá cuối cùng làm cơ sở cho giá thực hiện. Nguyên đơn cũng thuê McLean Group, một công ty định giá, tiến hành các đợt định giá riêng biệt đối với vốn cổ phần của iGov tính đến ngày 31 tháng 10 năm 2006 và ngày 31 tháng 12 năm 2006.</w:t>
      </w:r>
    </w:p>
    <w:p>
      <w:pPr>
        <w:spacing w:after="80"/>
      </w:pPr>
      <w:r>
        <w:rPr>
          <w:b w:val="0"/>
          <w:i w:val="0"/>
        </w:rPr>
        <w:t>Trong khi các Định giá McLean đang được tiến hành, iGov đã mở rộng hội đồng quản trị từ ba thành viên lên năm thành viên. Vào tháng 8 năm 2007, Vincent Salvatori và John Vinter trở thành giám đốc của iGov. Cả hai người đều được Tyrrell tiếp cận trước tiên và đều có mối liên hệ với ông này. Cả hai người cũng có kinh nghiệm sâu rộng trong lĩnh vực thầu chính phủ, điều dễ hiểu khiến họ trở thành những ứng viên hấp dẫn cho hội đồng quản trị của iGov.</w:t>
      </w:r>
    </w:p>
    <w:p>
      <w:pPr>
        <w:spacing w:after="80"/>
      </w:pPr>
      <w:r>
        <w:rPr>
          <w:b w:val="0"/>
          <w:i w:val="0"/>
        </w:rPr>
        <w:t>Vào ngày 31 tháng 10 năm 2007, sau khi các nỗ lực giải quyết tranh chấp thất bại, nguyên đơn đã nộp đơn khởi kiện. Các cáo buộc trong đơn khởi kiện được phân loại là phái sinh và cá nhân, với cáo buộc gây thiệt hại cho iGov với tư cách là một công ty và cho nguyên đơn với tư cách cá nhân.</w:t>
      </w:r>
    </w:p>
    <w:p>
      <w:pPr>
        <w:spacing w:after="80"/>
      </w:pPr>
      <w:r>
        <w:rPr>
          <w:b w:val="0"/>
          <w:i w:val="0"/>
        </w:rPr>
        <w:t>Trong Ý kiến ngày 24 tháng 6 năm 2008 của tôi, tôi nhận thấy rằng đơn khởi kiện của nguyên đơn “dễ dàng vượt qua” đề nghị bác bỏ của các bị đơn; yêu cầu khởi kiện (demand) được miễn trừ vì đa số thành viên hội đồng quản trị có quyền lợi trong giao dịch. Sau đó, vào ngày 21 tháng 11 năm 2008, hội đồng quản trị iGov đã bỏ phiếu thành lập một SLC gồm hai thành viên là Salvatori và Vinter để xem xét liệu việc theo đuổi các khiếu nại phái sinh trong đơn khởi kiện của nguyên đơn có vì lợi ích tốt nhất của iGov hay không.</w:t>
      </w:r>
    </w:p>
    <w:p>
      <w:pPr>
        <w:spacing w:after="80"/>
      </w:pPr>
      <w:r>
        <w:rPr>
          <w:b w:val="0"/>
          <w:i w:val="0"/>
        </w:rPr>
        <w:t>Sau khi được thành lập, SLC đã thuê các cố vấn. Từ tháng 4 năm 2009 đến tháng 7 năm 2009, SLC tiến hành điều tra. Quá trình thu thập chứng cứ (discovery) bị tạm dừng trong thời gian này. Khi tiến hành điều tra, SLC đã phỏng vấn mười hai nhân chứng và xem xét các tài liệu liên quan do các bên cung cấp. Để phục vụ cho cuộc điều tra, SLC đã tìm kiếm lời khuyên của luật sư về các nguyên tắc pháp lý xác định liệu các bị đơn có tuân thủ nghĩa vụ ủy thác (fiduciary duties) của mình hay không.</w:t>
      </w:r>
    </w:p>
    <w:p>
      <w:pPr>
        <w:spacing w:after="80"/>
      </w:pPr>
      <w:r>
        <w:rPr>
          <w:b w:val="0"/>
          <w:i w:val="0"/>
        </w:rPr>
        <w:t>SLC kết luận rằng họ có thể đưa ra khuyến nghị về vụ kiện này và về lợi ích tốt nhất của iGov mà không cần tuyên bố bên nào thắng trong cuộc tranh luận giữa các chuyên gia của nguyên đơn và bị đơn. Báo cáo SLC kết luận rằng vụ kiện không vì lợi ích tốt nhất của Công ty và kiến nghị bác bỏ vụ kiện. SLC cho rằng quá trình thu thập chứng cứ sẽ tiếp tục nếu vụ kiện được phép tiếp diễn sẽ gây gián đoạn cực kỳ nghiêm trọng đến hoạt động của iGov. SLC cũng cho rằng dư luận tiêu cực liên quan đến vụ kiện sẽ ngay lập tức gây tổn hại đến uy tín và danh tiếng của Công ty trong cộng đồng thầu chính phủ.</w:t>
      </w:r>
    </w:p>
    <w:p>
      <w:pPr>
        <w:spacing w:after="80"/>
      </w:pPr>
      <w:r>
        <w:rPr>
          <w:b w:val="0"/>
          <w:i w:val="0"/>
        </w:rPr>
        <w:t>Đối với các khiếu nại thực tế được nêu trong đơn khởi kiện của nguyên đơn, Báo cáo SLC kết luận như sau. Thứ nhất, đối với Cáo buộc I, SLC kết luận rằng các bị đơn đã hành động đúng đắn khi thông qua Kế hoạch 2007 và không vi phạm nghĩa vụ cẩn trọng (duty of care) hay nghĩa vụ trung thành (duty of loyalty). SLC kết luận rằng không nên theo đuổi khiếu nại về nghĩa vụ cẩn trọng vì hành vi vi phạm nghĩa vụ cẩn trọng của các bị đơn, nếu có xảy ra, sẽ được bảo vệ bởi điều khoản § 102(b)(7) trong điều lệ thành lập của iGov. Đối với nghĩa vụ trung thành, SLC kết luận rằng việc các bị đơn phê duyệt Kế hoạch 2007 và các hành động dẫn đến việc phê duyệt đó sẽ đáp ứng tiêu chuẩn công bằng hoàn toàn (entire fairness standard) vì quy trình được sử dụng là công bằng và giá thực hiện $4.92 là công bằng.</w:t>
      </w:r>
    </w:p>
    <w:p>
      <w:pPr>
        <w:spacing w:after="80"/>
      </w:pPr>
      <w:r>
        <w:rPr>
          <w:b w:val="0"/>
          <w:i w:val="0"/>
        </w:rPr>
        <w:t xml:space="preserve">Sau khi xem xét Báo cáo SLC, nguyên đơn đã nộp bản lập luận phản đối, cho rằng SLC chưa đáp ứng tiêu chuẩn mà </w:t>
      </w:r>
      <w:r>
        <w:rPr>
          <w:b w:val="0"/>
          <w:i/>
        </w:rPr>
        <w:t>Zapata Corporation v. Maldonado</w:t>
      </w:r>
      <w:r>
        <w:rPr>
          <w:b w:val="0"/>
          <w:i w:val="0"/>
        </w:rPr>
        <w:t xml:space="preserve"> và các án lệ tiếp theo yêu cầu để bác bỏ một khiếu nại dựa trên khuyến nghị của SLC trong trường hợp được miễn trừ yêu cầu khởi kiện. Giờ tôi xem xét liệu SLC đã đáp ứng tiêu chuẩn </w:t>
      </w:r>
      <w:r>
        <w:rPr>
          <w:b w:val="0"/>
          <w:i/>
        </w:rPr>
        <w:t>Zapata</w:t>
      </w:r>
      <w:r>
        <w:rPr>
          <w:b w:val="0"/>
          <w:i w:val="0"/>
        </w:rPr>
        <w:t xml:space="preserve"> hay chưa và do đó, liệu vụ kiện nên bị bác bỏ hay được phép tiếp tục.</w:t>
      </w:r>
    </w:p>
    <w:p>
      <w:pPr>
        <w:spacing w:after="80"/>
      </w:pPr>
      <w:r>
        <w:rPr>
          <w:b w:val="0"/>
          <w:i/>
        </w:rPr>
        <w:t>Tiêu chuẩn</w:t>
      </w:r>
    </w:p>
    <w:p>
      <w:pPr>
        <w:spacing w:after="80"/>
      </w:pPr>
      <w:r>
        <w:rPr>
          <w:b w:val="0"/>
          <w:i w:val="0"/>
        </w:rPr>
        <w:t xml:space="preserve">Trong </w:t>
      </w:r>
      <w:r>
        <w:rPr>
          <w:b w:val="0"/>
          <w:i/>
        </w:rPr>
        <w:t>Zapata</w:t>
      </w:r>
      <w:r>
        <w:rPr>
          <w:b w:val="0"/>
          <w:i w:val="0"/>
        </w:rPr>
        <w:t>, Tòa án Tối cao đã bác bỏ quan điểm cho rằng khuyến nghị của SLC, được đưa ra dưới dạng một kiến nghị bác bỏ đơn kiện, nên được xem xét theo tiêu chuẩn phán đoán kinh doanh (business judgment). Thay vào đó, Tòa án Tối cao đã thiết lập một phân tích hai bước phải được áp dụng cho kiến nghị bác bỏ đơn kiện của SLC. Bước thứ nhất của phân tích là bắt buộc. Tòa án xem xét tính độc lập của các thành viên SLC và xem xét liệu SLC có tiến hành một cuộc điều tra thiện chí với phạm vi hợp lý hay không, mang lại những cơ sở hợp lý hỗ trợ cho kết luận của mình. Bước thứ hai của phân tích là tùy nghi. Tòa án áp dụng phán đoán kinh doanh của riêng mình đối với các sự kiện để xác định liệu việc bác bỏ vụ kiện có phục vụ lợi ích tốt nhất của công ty hay không. Bước thứ hai được thiết kế cho những tình huống mà các yêu cầu kỹ thuật của bước một đã được đáp ứng nhưng kết quả dường như không thỏa mãn tinh thần của các yêu cầu đó.</w:t>
      </w:r>
    </w:p>
    <w:p>
      <w:pPr>
        <w:spacing w:after="80"/>
      </w:pPr>
      <w:r>
        <w:rPr>
          <w:b w:val="0"/>
          <w:i w:val="0"/>
        </w:rPr>
        <w:t>Tòa án xử lý kiến nghị của SLC theo cách tương tự như một kiến nghị theo Quy tắc 56 (Rule 56) về phán quyết tóm tắt (summary judgment); SLC phải chịu trách nhiệm chứng minh rằng không có vấn đề thực tế trọng yếu nào đang tranh chấp (genuine issues of material fact) về tính độc lập của mình, về tính hợp lý và thiện chí trong cuộc điều tra của mình, và rằng có những cơ sở hợp lý cho các kết luận của mình. Nếu Tòa án xác định rằng có một sự kiện trọng yếu đang tranh chấp về bất kỳ vấn đề nào trong số này, Tòa án phải bác bỏ kiến nghị của SLC.</w:t>
      </w:r>
    </w:p>
    <w:p>
      <w:pPr>
        <w:spacing w:after="80"/>
      </w:pPr>
      <w:r>
        <w:rPr>
          <w:b w:val="0"/>
          <w:i/>
        </w:rPr>
        <w:t>Phân tích</w:t>
      </w:r>
    </w:p>
    <w:p>
      <w:pPr>
        <w:spacing w:after="80"/>
      </w:pPr>
      <w:r>
        <w:rPr>
          <w:b w:val="0"/>
          <w:i/>
        </w:rPr>
        <w:t>Các thành viên SLC có độc lập không?</w:t>
      </w:r>
    </w:p>
    <w:p>
      <w:pPr>
        <w:spacing w:after="80"/>
      </w:pPr>
      <w:r>
        <w:rPr>
          <w:b w:val="0"/>
          <w:i w:val="0"/>
        </w:rPr>
        <w:t>Việc một thành viên SLC có độc lập hay không "là một xác định dựa trên sự kiện cụ thể, được đưa ra trong bối cảnh của một vụ án cụ thể." Khi một thành viên SLC không có lợi ích cá nhân trong các giao dịch đang tranh chấp, Tòa án sẽ xem xét kỹ mối quan hệ của thành viên đó với các giám đốc có lợi ích liên quan, vì đó sẽ là nguồn gốc của bất kỳ sự suy giảm tính độc lập nào có thể tồn tại.</w:t>
      </w:r>
    </w:p>
    <w:p>
      <w:pPr>
        <w:spacing w:after="80"/>
      </w:pPr>
      <w:r>
        <w:rPr>
          <w:b w:val="0"/>
          <w:i w:val="0"/>
        </w:rPr>
        <w:t>Một thành viên SLC không nhất thiết phải không quen biết hoặc không có liên hệ với các giám đốc đồng nghiệp để được coi là độc lập. Nhưng một thành viên SLC không độc lập nếu người đó không có khả năng, vì bất kỳ lý do quan trọng nào, đưa ra quyết định chỉ với lợi ích tốt nhất của công ty trong tâm trí.</w:t>
      </w:r>
    </w:p>
    <w:p>
      <w:pPr>
        <w:spacing w:after="80"/>
      </w:pPr>
      <w:r>
        <w:rPr>
          <w:b w:val="0"/>
          <w:i w:val="0"/>
        </w:rPr>
        <w:t xml:space="preserve">Không giống như một hội đồng quản trị trong bối cảnh yêu cầu khởi kiện trước (pre-suit demand), các thành viên SLC không được hưởng lợi thế của sự nghi ngờ về tính công bằng và khách quan của họ. Chính họ, chứ không phải nguyên đơn, phải chịu trách nhiệm chứng minh rằng không có vấn đề thực tế trọng yếu nào về tính độc lập của họ. Do đó, có thể hình dung rằng một tòa án có thể xác định một giám đốc là độc lập trong bối cảnh yêu cầu khởi kiện trước nhưng không độc lập trong bối cảnh </w:t>
      </w:r>
      <w:r>
        <w:rPr>
          <w:b w:val="0"/>
          <w:i/>
        </w:rPr>
        <w:t>Zapata</w:t>
      </w:r>
      <w:r>
        <w:rPr>
          <w:b w:val="0"/>
          <w:i w:val="0"/>
        </w:rPr>
        <w:t xml:space="preserve"> dựa trên cùng một tập hợp các cáo buộc thực tế do hai bên đưa ra.</w:t>
      </w:r>
    </w:p>
    <w:p>
      <w:pPr>
        <w:spacing w:after="80"/>
      </w:pPr>
      <w:r>
        <w:rPr>
          <w:b w:val="0"/>
          <w:i w:val="0"/>
        </w:rPr>
        <w:t>Không có gì tranh cãi rằng cả hai thành viên SLC đều không có lợi ích cá nhân trong các giao dịch bị thách thức. Cả Salvatori và Vinter đều không nhận được cổ phần hoặc quyền chọn theo Kế hoạch 2007 và cả hai đều không đối mặt với bất kỳ rủi ro trách nhiệm cá nhân nào trong vụ kiện này. Hơn nữa, Salvatori và Vinter không được bổ nhiệm vào hội đồng quản trị cho đến sau khi Kế hoạch 2007 được thông qua. Ngoài ra, nguyên đơn không cáo buộc rằng bất kỳ bị đơn nào chi phối hoặc kiểm soát Salvatori hay Vinter. Do đó, trọng tâm phải là liệu các mối quan hệ mà Salvatori và Vinter có với các bị đơn có tính chất đến mức có thể khiến Salvatori và Vinter cân nhắc các yếu tố khác ngoài lợi ích tốt nhất của công ty khi đưa ra quyết định đề nghị bác bỏ đơn kiện hay không. Một mối quan hệ như vậy sẽ làm dấy lên một vấn đề thực tế trọng yếu về tính độc lập của SLC. Sau khi xem xét cẩn thận các bằng chứng được đưa ra từ quá trình khám phá hạn chế được phép cho đến nay, tôi kết luận rằng có một vấn đề thực tế trọng yếu về tính độc lập của cả hai thành viên SLC dựa trên mối quan hệ của họ với Tyrrell.</w:t>
      </w:r>
    </w:p>
    <w:p>
      <w:pPr>
        <w:spacing w:after="80"/>
      </w:pPr>
      <w:r>
        <w:rPr>
          <w:b w:val="0"/>
          <w:i w:val="0"/>
        </w:rPr>
        <w:t>Nguyên đơn lập luận rằng tính độc lập của Vinter bị suy giảm bởi một sự thật đơn giản; vợ của Vinter là em họ của Tyrrell. Theo nguyên đơn, chính mối liên hệ đó đã khiến Tyrrell tiếp cận Vinter về việc tham gia hội đồng quản trị của iGov.</w:t>
      </w:r>
    </w:p>
    <w:p>
      <w:pPr>
        <w:spacing w:after="80"/>
      </w:pPr>
      <w:r>
        <w:rPr>
          <w:b w:val="0"/>
          <w:i w:val="0"/>
        </w:rPr>
        <w:t>Chính Công ty, chứ không phải nguyên đơn, phải là bên giải thích ngay từ đầu nếu có những mối liên hệ làm lu mờ tính độc lập. Thẳng thắn mà nói, việc bổ nhiệm một thành viên gia đình của một giám đốc có lợi ích liên quan vào một SLC sẽ luôn đặt công ty vào thế bất lợi. Từ đó, công ty phải chiến đấu một trận khó khăn để chứng minh rằng, bất chấp quan hệ họ hàng, không có vấn đề thực tế trọng yếu nào về tính khách quan của thành viên SLC.</w:t>
      </w:r>
    </w:p>
    <w:p>
      <w:pPr>
        <w:spacing w:after="80"/>
      </w:pPr>
      <w:r>
        <w:rPr>
          <w:b w:val="0"/>
          <w:i w:val="0"/>
        </w:rPr>
        <w:t>Tôi thừa nhận rằng không thể, ở giai đoạn này của thủ tục tố tụng, khẳng định một cách dứt khoát rằng tính độc lập của Vinter bị suy giảm. Một mặt, mối quan hệ giữa vợ của Vinter và Tyrrell dường như không đặc biệt gần gũi. Họ không thường xuyên giao du với nhau như một số anh chị em họ thường làm. Mặt khác, họ vẫn gặp nhau đều đặn, dù không thường xuyên, tại các buổi họp mặt gia đình. Ví dụ, mỗi năm Vinter và vợ anh ta tham dự một bữa tiệc gia đình lớn tại nhà Tyrrell để tưởng nhớ mẹ của Tyrrell, người đã qua đời.</w:t>
      </w:r>
    </w:p>
    <w:p>
      <w:pPr>
        <w:spacing w:after="80"/>
      </w:pPr>
      <w:r>
        <w:rPr>
          <w:b w:val="0"/>
          <w:i w:val="0"/>
        </w:rPr>
        <w:t>Giờ đến Salvatori. Giống như Vinter, sự tiếp xúc của Salvatori với iGov dựa trên một mối liên hệ với Tyrrell. Năm 1993, Tyrrell được Salvatori thuê làm kiểm toán viên nội bộ cho một công ty có tên QuesTech. Salvatori là đồng sáng lập viên của QuesTech và giữ chức Chủ tịch, CEO, và Chủ tịch Hội đồng quản trị trong khi Tyrrell làm việc ở đó trong sáu năm. Trong thời gian đó, Salvatori đã thăng chức Tyrrell lên vị trí CFO, trong vai trò đó ông báo cáo trực tiếp cho Salvatori. Tyrrell làm CFO của QuesTech cho đến khi công ty được bán vào năm 1998.</w:t>
      </w:r>
    </w:p>
    <w:p>
      <w:pPr>
        <w:spacing w:after="80"/>
      </w:pPr>
      <w:r>
        <w:rPr>
          <w:b w:val="0"/>
          <w:i w:val="0"/>
        </w:rPr>
        <w:t xml:space="preserve">Trong trường hợp này, tôi tin rằng có một vấn đề thực tế trọng yếu về tính độc lập của Salvatori vì những mối liên hệ trước đây của ông với Tyrrell có thể đã làm nảy sinh cảm giác nghĩa vụ hoặc lòng trung thành với ông ta. Salvatori có vẻ hài lòng với mức giá mà ông nhận được cho QuesTech, và ông vẫn tiếp tục cảm thấy rằng Tyrrell là một nhân tố quan trọng trong việc đảm bảo mức giá đó. Khi nói điều này, tôi không cho rằng Salvatori thực sự cảm thấy nghĩa vụ với Tyrrell, nhưng chắc chắn có một khả năng mạnh mẽ rằng ông ấy có, và điều đó là đủ theo </w:t>
      </w:r>
      <w:r>
        <w:rPr>
          <w:b w:val="0"/>
          <w:i/>
        </w:rPr>
        <w:t>Zapata</w:t>
      </w:r>
      <w:r>
        <w:rPr>
          <w:b w:val="0"/>
          <w:i w:val="0"/>
        </w:rPr>
        <w:t xml:space="preserve"> để ngăn cản việc bác bỏ đơn kiện.</w:t>
      </w:r>
    </w:p>
    <w:p>
      <w:pPr>
        <w:spacing w:after="80"/>
      </w:pPr>
      <w:r>
        <w:rPr>
          <w:b w:val="0"/>
          <w:i w:val="0"/>
        </w:rPr>
        <w:t>Trước khi tiếp tục, tôi lưu ý một vài mảnh bằng chứng củng cố kết luận của tôi rằng có một vấn đề thực tế trọng yếu liên quan đến tính độc lập của SLC. Thứ nhất, các thành viên SLC dường như đã xem xét nội dung đúng sai trong các khiếu nại của nguyên đơn trước khi SLC được thành lập. Vào tháng 9 năm 2007, luật sư của nguyên đơn đã gửi một lá thư đến iGov trình bày nhiều cáo buộc cuối cùng đã xuất hiện trong đơn kiện của nguyên đơn và yêu cầu một cuộc gặp để bắt đầu giải quyết tranh chấp. Khi các thành viên SLC chỉ đơn thuần được tiếp xúc hoặc trở nên quen thuộc với một vụ kiện phái sinh (derivative suit) trước khi SLC được thành lập, điều này có thể không đủ để tạo ra một vấn đề thực tế trọng yếu về tính độc lập của SLC. Nhưng nếu bằng chứng cho thấy rằng các thành viên SLC đã định trước về nội dung đúng sai của vụ kiện dựa trên sự tiếp xúc hoặc quen thuộc trước đó, và sau đó tiến hành cuộc điều tra với mục tiêu tổng hợp một báo cáo chứng minh rằng vụ kiện không có cơ sở, điều này sẽ tạo ra một vấn đề thực tế trọng yếu về tính độc lập của SLC. Trong trường hợp này, đó chính là những gì đã xảy ra.</w:t>
      </w:r>
    </w:p>
    <w:p>
      <w:pPr>
        <w:spacing w:after="80"/>
      </w:pPr>
      <w:r>
        <w:rPr>
          <w:b w:val="0"/>
          <w:i w:val="0"/>
        </w:rPr>
        <w:t xml:space="preserve">Salvatori đã được hỏi trong lời khai của mình về những nỗ lực của SLC để điều tra các cáo buộc trong đơn kiện của nguyên đơn. Salvatori trả lời "Tôi biết chúng tôi đã đọc hết tất cả và tôi biết chúng tôi đã </w:t>
      </w:r>
      <w:r>
        <w:rPr>
          <w:b w:val="0"/>
          <w:i/>
        </w:rPr>
        <w:t>tấn công</w:t>
      </w:r>
      <w:r>
        <w:rPr>
          <w:b w:val="0"/>
          <w:i w:val="0"/>
        </w:rPr>
        <w:t xml:space="preserve"> tất cả." Luật sư của nguyên đơn tiếp tục hỏi "[ô]ng đã làm gì với tất cả?" và Salvatori trả lời "</w:t>
      </w:r>
      <w:r>
        <w:rPr>
          <w:b w:val="0"/>
          <w:i/>
        </w:rPr>
        <w:t>[t]ấn công</w:t>
      </w:r>
      <w:r>
        <w:rPr>
          <w:b w:val="0"/>
          <w:i w:val="0"/>
        </w:rPr>
        <w:t xml:space="preserve"> tất cả." Luật sư của Salvatori sau đó lặp lại "</w:t>
      </w:r>
      <w:r>
        <w:rPr>
          <w:b w:val="0"/>
          <w:i/>
        </w:rPr>
        <w:t>[t]ấn công</w:t>
      </w:r>
      <w:r>
        <w:rPr>
          <w:b w:val="0"/>
          <w:i w:val="0"/>
        </w:rPr>
        <w:t xml:space="preserve"> tất cả" sau đó Salvatori đổi câu trả lời của mình thành "[c]húng tôi đã xem xét nó."</w:t>
      </w:r>
    </w:p>
    <w:p>
      <w:pPr>
        <w:spacing w:after="80"/>
      </w:pPr>
      <w:r>
        <w:rPr>
          <w:b w:val="0"/>
          <w:i w:val="0"/>
        </w:rPr>
        <w:t>Với các mối quan hệ của các thành viên SLC với Tyrrell, việc họ được tiếp xúc với nội dung đúng sai trong vụ kiện của nguyên đơn từ rất lâu trước khi SLC được thành lập, và phạm vi điều tra không thỏa đáng được tiến hành, việc Salvatori và Vinter sử dụng từ "tấn công" không giúp thuyết phục tôi hoàn toàn rằng SLC đã độc lập.</w:t>
      </w:r>
    </w:p>
    <w:p>
      <w:pPr>
        <w:spacing w:after="80"/>
      </w:pPr>
      <w:r>
        <w:rPr>
          <w:b w:val="0"/>
          <w:i/>
        </w:rPr>
        <w:t>Ủy ban Điều tra Đặc biệt (SLC) có tiến hành một cuộc điều tra với phạm vi hợp lý và thiện chí hay không, và liệu SLC có những căn cứ hợp lý cho các kết luận của mình hay không?</w:t>
      </w:r>
    </w:p>
    <w:p>
      <w:pPr>
        <w:spacing w:after="80"/>
      </w:pPr>
      <w:r>
        <w:rPr>
          <w:b w:val="0"/>
          <w:i w:val="0"/>
        </w:rPr>
        <w:t>Để tiến hành một cuộc điều tra thiện chí với phạm vi hợp lý, SLC phải điều tra tất cả các lý thuyết đòi bồi thường được nêu trong đơn khởi kiện của nguyên đơn. Nếu SLC không điều tra các sự kiện hoặc nguồn thông tin nằm ở trọng tâm đơn khởi kiện của nguyên đơn, điều này thường sẽ làm dấy lên một câu hỏi trọng yếu về tính hợp lý và thiện chí trong cuộc điều tra của SLC. Việc hoàn toàn không xem xét các cáo buộc ít nghiêm trọng hơn trong đơn khởi kiện của nguyên đơn có thể làm lung lay tính hợp lý và thiện chí trong cuộc điều tra của SLC, khi mà việc xem xét những cáo buộc ít nghiêm trọng hơn đó, ít nhất là một cách sơ lược, lẽ ra sẽ giúp SLC có được sự hiểu biết đầy đủ về những cáo buộc nghiêm trọng hơn trong đơn khởi kiện của nguyên đơn.</w:t>
      </w:r>
    </w:p>
    <w:p>
      <w:pPr>
        <w:spacing w:after="80"/>
      </w:pPr>
      <w:r>
        <w:rPr>
          <w:b w:val="0"/>
          <w:i w:val="0"/>
        </w:rPr>
        <w:t>Để chứng minh rằng các khuyến nghị của mình được hỗ trợ bởi những căn cứ hợp lý, SLC phải cho thấy rằng mình đã hiểu đúng luật liên quan đến vụ án. Nếu khuyến nghị của SLC dựa trên một sai sót về luật thì căn cứ cho khuyến nghị đó không hợp lý. Hơn nữa, nếu SLC ghi sai các sự kiện không tranh cãi trong báo cáo của mình, rồi sau đó dựa vào việc trình bày sai các sự kiện không tranh cãi đó để đưa ra khuyến nghị bác bỏ, thì cũng hiển nhiên rằng căn cứ cho khuyến nghị đó không hợp lý.</w:t>
      </w:r>
    </w:p>
    <w:p>
      <w:pPr>
        <w:spacing w:after="80"/>
      </w:pPr>
      <w:r>
        <w:rPr>
          <w:b w:val="0"/>
          <w:i w:val="0"/>
        </w:rPr>
        <w:t>Báo cáo của SLC xác định các khuyến nghị của SLC đối với từng cáo trạng trong số ba cáo trạng trong đơn khởi kiện của nguyên đơn. Như chúng ta đã thấy, Cáo trạng I cáo buộc rằng các bị đơn đã vi phạm nghĩa vụ cẩn trọng và trung thành của mình khi thông qua Kế hoạch 2007. Các khiếu nại về nghĩa vụ cẩn trọng dựa trên cáo buộc rằng các bị đơn đã phê duyệt Kế hoạch 2007 trong khi biết rằng Định giá Cuối cùng dựa trên thông tin cũ kỹ và không đầy đủ. Các khiếu nại về nghĩa vụ trung thành dựa trên cáo buộc rằng các bị đơn đã cố ý cung cấp thông tin gây nhầm lẫn và không đầy đủ để hạ thấp giá trị của iGov một cách nhân tạo, nhằm mục đích để các bị đơn nhận được các quyền chọn và cổ phần với giá thấp hơn giá trị thực khi Kế hoạch 2007 được thực hiện. Cáo trạng II yêu cầu hủy bỏ Kế hoạch 2007 và về cơ bản phụ thuộc vào sự thành công của Cáo trạng I. Cáo trạng III được xây dựng như một khiếu nại cá nhân, với thiệt hại cá nhân là việc các bị đơn đã pha loãng một cách không chính đáng quyền sở hữu của nguyên đơn, qua đó chiếm đoạt giá trị kinh tế và quyền biểu quyết từ họ.</w:t>
      </w:r>
    </w:p>
    <w:p>
      <w:pPr>
        <w:spacing w:after="80"/>
      </w:pPr>
      <w:r>
        <w:rPr>
          <w:b w:val="0"/>
          <w:i w:val="0"/>
        </w:rPr>
        <w:t>1. Các khiếu nại về nghĩa vụ cẩn trọng trong Cáo trạng I</w:t>
      </w:r>
    </w:p>
    <w:p>
      <w:pPr>
        <w:spacing w:after="80"/>
      </w:pPr>
      <w:r>
        <w:rPr>
          <w:b w:val="0"/>
          <w:i w:val="0"/>
        </w:rPr>
        <w:t xml:space="preserve">SLC trước tiên xem xét Cáo trạng I, và cuối cùng kết luận rằng nó nên bị bác bỏ. Đối với các khiếu nại về nghĩa vụ cẩn trọng trong Cáo trạng I, SLC nhận thấy rằng điều khoản 8 Del. C. § 102(b)(7) trong điều lệ công ty của iGov miễn trừ trách nhiệm cá nhân của các giám đốc đối với thiệt hại bằng tiền, miễn là giám đốc đó không có hành vi sai trái cố ý hoặc vi phạm pháp luật một cách có chủ đích. . . . </w:t>
      </w:r>
      <w:r>
        <w:rPr>
          <w:b w:val="0"/>
          <w:i/>
        </w:rPr>
        <w:t>Chỉ riêng trên cơ sở đó</w:t>
      </w:r>
      <w:r>
        <w:rPr>
          <w:b w:val="0"/>
          <w:i w:val="0"/>
        </w:rPr>
        <w:t xml:space="preserve"> , SLC kết luận rằng các khiếu nại về nghĩa vụ cẩn trọng chống lại các bị đơn không nên được theo đuổi. Tôi thấy đây là một kết luận không hợp lý vì SLC đã không xem xét rằng biện pháp khắc phục được yêu cầu trong đơn khởi kiện của nguyên đơn không chỉ giới hạn ở thiệt hại bằng tiền; đơn khởi kiện đặc biệt yêu cầu hủy bỏ Kế hoạch 2007. Theo luật Delaware, các điều khoản miễn trừ không ngăn cản các khiếu nại về nghĩa vụ cẩn trọng “trong các bối cảnh khắc phục . . . , chẳng hạn như trong các vụ án yêu cầu lệnh cấm hoặc hủy bỏ.” Do đó, nếu ở giai đoạn xét xử sơ bộ hoặc sau khi xét xử về nội dung, tôi trở nên tin rằng các bị đơn đã vi phạm nghĩa vụ cẩn trọng của mình, thì điều khoản miễn trừ trong điều lệ iGov sẽ không ngăn cản tôi ra lệnh hủy bỏ Kế hoạch 2007, ngay cả khi nó có thể ngăn cản tôi đưa ra phán quyết buộc các bị đơn bồi thường thiệt hại bằng tiền. Do đó, việc SLC kết luận rằng các khiếu nại về nghĩa vụ cẩn trọng trong Cáo trạng I không nên được tiến hành chỉ dựa trên cơ sở điều khoản § 102(b)(7) của iGov là không hợp lý. SLC đơn giản là không hiểu rằng luật Delaware cho phép một vụ kiện yêu cầu hủy bỏ được tiến hành bất chấp điều khoản § 102(b)(7) bảo vệ các giám đốc khỏi các phán quyết về tiền.</w:t>
      </w:r>
    </w:p>
    <w:p>
      <w:pPr>
        <w:spacing w:after="80"/>
      </w:pPr>
      <w:r>
        <w:rPr>
          <w:b w:val="0"/>
          <w:i w:val="0"/>
        </w:rPr>
        <w:t>2. Các khiếu nại về nghĩa vụ trung thành trong Cáo trạng I</w:t>
      </w:r>
    </w:p>
    <w:p>
      <w:pPr>
        <w:spacing w:after="80"/>
      </w:pPr>
      <w:r>
        <w:rPr>
          <w:b w:val="0"/>
          <w:i w:val="0"/>
        </w:rPr>
        <w:t xml:space="preserve">Cuộc điều tra của SLC đối với các khiếu nại về nghĩa vụ trung thành của nguyên đơn, cũng như kết luận của SLC rằng những khiếu nại đó nên bị bác bỏ, đáng được thảo luận nhiều nhất trong phân tích của tôi về các yêu cầu </w:t>
      </w:r>
      <w:r>
        <w:rPr>
          <w:b w:val="0"/>
          <w:i/>
        </w:rPr>
        <w:t>Zapata</w:t>
      </w:r>
      <w:r>
        <w:rPr>
          <w:b w:val="0"/>
          <w:i w:val="0"/>
        </w:rPr>
        <w:t>. SLC kết luận rằng các khiếu nại về nghĩa vụ trung thành của nguyên đơn nên bị bác bỏ vì SLC tin rằng Kế hoạch 2007 hoàn toàn công bằng đối với iGov.</w:t>
      </w:r>
    </w:p>
    <w:p>
      <w:pPr>
        <w:spacing w:after="80"/>
      </w:pPr>
      <w:r>
        <w:rPr>
          <w:b w:val="0"/>
          <w:i w:val="0"/>
        </w:rPr>
        <w:t>a. Quy trình công bằng</w:t>
      </w:r>
    </w:p>
    <w:p>
      <w:pPr>
        <w:spacing w:after="80"/>
      </w:pPr>
      <w:r>
        <w:rPr>
          <w:b w:val="0"/>
          <w:i w:val="0"/>
        </w:rPr>
        <w:t>Tôi bắt đầu bằng việc phân tích liệu cuộc điều tra của SLC về quy trình của các bị đơn có hợp lý về phạm vi hay không. Tôi cũng phân tích liệu kết luận của SLC rằng quy trình đó là công bằng có được hỗ trợ bởi những căn cứ hợp lý hay không. Những phát hiện của tôi ở đây chỉ liên quan đến cuộc điều tra của SLC.</w:t>
      </w:r>
    </w:p>
    <w:p>
      <w:pPr>
        <w:spacing w:after="80"/>
      </w:pPr>
      <w:r>
        <w:rPr>
          <w:b w:val="0"/>
          <w:i w:val="0"/>
        </w:rPr>
        <w:t xml:space="preserve">Khi kết luận rằng các bị đơn sẽ có thể chứng minh được việc đối xử công bằng, SLC trước tiên xác định rằng các khiếu nại của nguyên đơn có thể được cô đọng thành </w:t>
      </w:r>
      <w:r>
        <w:rPr>
          <w:b w:val="0"/>
          <w:i/>
        </w:rPr>
        <w:t>một vấn đề then chốt.</w:t>
      </w:r>
      <w:r>
        <w:rPr>
          <w:b w:val="0"/>
          <w:i w:val="0"/>
        </w:rPr>
        <w:t xml:space="preserve"> Liệu một CFO có thể có một mô hình dự báo cho mục đích tìm kiếm sự gia tăng hạn mức tín dụng của Công ty và cho việc đặt mục tiêu [nội bộ], đồng thời lại có một dự báo </w:t>
      </w:r>
      <w:r>
        <w:rPr>
          <w:b w:val="0"/>
          <w:i/>
        </w:rPr>
        <w:t>thấp hơn đáng kể</w:t>
      </w:r>
      <w:r>
        <w:rPr>
          <w:b w:val="0"/>
          <w:i w:val="0"/>
        </w:rPr>
        <w:t xml:space="preserve"> cho mục đích định giá vốn cổ phần của Công ty hay không?</w:t>
      </w:r>
    </w:p>
    <w:p>
      <w:pPr>
        <w:spacing w:after="80"/>
      </w:pPr>
      <w:r>
        <w:rPr>
          <w:b w:val="0"/>
          <w:i w:val="0"/>
        </w:rPr>
        <w:t>Như có thể thấy rõ từ Báo cáo của SLC, SLC kết luận rằng quy trình thông qua Kế hoạch 2007 là công bằng chủ yếu vì SLC tin rằng việc Tyrrell đưa ra các dự báo “lạc quan” và “theo kiểu điều có thể đạt được” và sử dụng những dự báo đó trong nội bộ, đồng thời lại cung cấp cho chuyên gia định giá của mình một dự báo “thấp hơn đáng kể” nhưng là điều mà Công ty có thể “thực sự đạt được”, thay vì chỉ là “điều mong ước”, là hoàn toàn bình thường.</w:t>
      </w:r>
    </w:p>
    <w:p>
      <w:pPr>
        <w:spacing w:after="80"/>
      </w:pPr>
      <w:r>
        <w:rPr>
          <w:b w:val="0"/>
          <w:i w:val="0"/>
        </w:rPr>
        <w:t>Tôi không cần phải đặt quyết định của mình chỉ dựa trên tính đúng đắn của kết luận then chốt này, bởi vì, nói một cách rộng rãi, tôi không tin rằng cuộc điều tra của SLC có đủ phạm vi để giải quyết thỏa đáng các khiếu nại về nghĩa vụ trung thành của nguyên đơn. Tôi cũng không tin rằng SLC đã xây dựng được những căn cứ hợp lý để kết luận rằng các khiếu nại về nghĩa vụ trung thành của nguyên đơn nên bị bác bỏ.</w:t>
      </w:r>
    </w:p>
    <w:p>
      <w:pPr>
        <w:spacing w:after="80"/>
      </w:pPr>
      <w:r>
        <w:rPr>
          <w:b w:val="0"/>
          <w:i w:val="0"/>
        </w:rPr>
        <w:t xml:space="preserve">Như chúng ta đã thấy, chính các email của Tyrrell cho thấy ông tin rằng những dự báo nội bộ cao hơn này là có thể đạt được, mâu thuẫn trực tiếp với lời khai mà ông đã cung cấp cho SLC, nhưng SLC dường như đã không chất vấn ông một cách kỹ lưỡng về những email này. Thay vào đó, SLC giải thích những dự báo nội bộ này bằng phát hiện của mình rằng chúng được dùng để thúc đẩy và truyền cảm hứng cho ban quản lý bằng cách cho thấy điều gì </w:t>
      </w:r>
      <w:r>
        <w:rPr>
          <w:b w:val="0"/>
          <w:i/>
        </w:rPr>
        <w:t>có thể</w:t>
      </w:r>
      <w:r>
        <w:rPr>
          <w:b w:val="0"/>
          <w:i w:val="0"/>
        </w:rPr>
        <w:t xml:space="preserve"> đạt được, thay vì điều mà Tyrrell thực sự tin là có thể đạt được. Phát hiện của SLC về điểm này dường như hoàn toàn dựa trên những khẳng định của Tyrrell về mục đích của các dự báo nội bộ. Không có gì trong Báo cáo của SLC cho thấy rằng ban quản lý đã được chất vấn để xem liệu họ có hiểu rằng các dự báo nội bộ đang được lưu hành không phải là điều mà CFO tin là thực sự có thể đạt được hay không.</w:t>
      </w:r>
    </w:p>
    <w:p>
      <w:pPr>
        <w:spacing w:after="80"/>
      </w:pPr>
      <w:r>
        <w:rPr>
          <w:b w:val="0"/>
          <w:i w:val="0"/>
        </w:rPr>
        <w:t xml:space="preserve">Một SLC khách quan lẽ ra </w:t>
      </w:r>
      <w:r>
        <w:rPr>
          <w:b w:val="0"/>
          <w:i/>
        </w:rPr>
        <w:t>có nghĩa vụ</w:t>
      </w:r>
      <w:r>
        <w:rPr>
          <w:b w:val="0"/>
          <w:i w:val="0"/>
        </w:rPr>
        <w:t xml:space="preserve"> vào thời điểm này phải khám phá một cách kỹ lưỡng lý do tại sao ban quản lý lại sử dụng rộng rãi những dự báo mà họ không tin là thực tế, nhưng SLC đã không làm điều này. . . .</w:t>
      </w:r>
    </w:p>
    <w:p>
      <w:pPr>
        <w:spacing w:after="80"/>
      </w:pPr>
      <w:r>
        <w:rPr>
          <w:b w:val="0"/>
          <w:i w:val="0"/>
        </w:rPr>
        <w:t>Báo cáo của SLC mô tả việc nguyên đơn bị loại khỏi hội đồng quản trị là kết quả của một bất đồng giữa nguyên đơn và các bị đơn về hướng đi mà iGov nên theo. Điều đáng chú ý là Báo cáo của SLC hoàn toàn thiếu vắng bất kỳ trích dẫn nào về ghi chú phỏng vấn hoặc bằng chứng khác hỗ trợ cho phát hiện của SLC rằng bất đồng này là nguyên nhân khiến nguyên đơn bị loại khỏi hội đồng quản trị. Trên thực tế, có bằng chứng trong hồ sơ cho thấy các bị đơn có thể cũng quan tâm đến việc tối đa hóa lợi nhuận ngắn hạn từ iGov giống như nguyên đơn được cho là đã làm, nhưng Báo cáo của SLC không điều tra hoặc giải thích điều này. Tuy nhiên, vấn đề lớn nhất là Báo cáo của SLC hoàn toàn không phân tích hoặc giải thích lý do tại sao nguyên đơn bị loại khỏi hội đồng quản trị chỉ ba ngày sau khi phản đối Định giá Cuối cùng và chưa đầy hai tuần trước khi Kế hoạch 2007 được thông qua. Điều này không chứng minh rằng SLC đã tiến hành một cuộc điều tra với phạm vi hợp lý.</w:t>
      </w:r>
    </w:p>
    <w:p>
      <w:pPr>
        <w:spacing w:after="80"/>
      </w:pPr>
      <w:r>
        <w:rPr>
          <w:b w:val="0"/>
          <w:i w:val="0"/>
        </w:rPr>
        <w:t>Tôi có thể nói tiếp, nhưng tôi xin phép dừng lại. Những gì tôi đã viết là đủ để chứng minh rằng có một vấn đề thực chất về tình tiết (material question of fact) liệu SLC có tiến hành một cuộc điều tra thiện chí với phạm vi hợp lý về tính công bằng của quy trình thông qua Kế hoạch 2007 hay không.</w:t>
      </w:r>
    </w:p>
    <w:p>
      <w:pPr>
        <w:spacing w:after="80"/>
      </w:pPr>
      <w:r>
        <w:rPr>
          <w:b w:val="0"/>
          <w:i w:val="0"/>
        </w:rPr>
        <w:t>b. Giá công bằng</w:t>
      </w:r>
    </w:p>
    <w:p>
      <w:pPr>
        <w:spacing w:after="80"/>
      </w:pPr>
      <w:r>
        <w:rPr>
          <w:b w:val="0"/>
          <w:i w:val="0"/>
        </w:rPr>
        <w:t>Sau khi xác định rằng SLC đã không tiến hành một cuộc điều tra kỹ lưỡng hợp lý về quy trình thông qua Kế hoạch 2007 của các bị đơn và không có cơ sở hợp lý để kết luận rằng quy trình đó là công bằng, tôi có thể bỏ qua phần còn lại của toàn bộ cuộc điều tra về tính công bằng (entire fairness inquiry). Tuy nhiên, để cho đầy đủ, tôi sẽ khảo sát ngắn gọn việc SLC điều tra về giá và liệu nó có cơ sở hợp lý để kết luận rằng $4.92 mỗi cổ phần là một mức giá công bằng hay không.</w:t>
      </w:r>
    </w:p>
    <w:p>
      <w:pPr>
        <w:spacing w:after="80"/>
      </w:pPr>
      <w:r>
        <w:rPr>
          <w:b w:val="0"/>
          <w:i w:val="0"/>
        </w:rPr>
        <w:t>Sự bất đồng về ảnh hưởng của vị thế tiền mặt của iGov đối với giá trị, kết hợp với những linh cảm của SLC về giá trị của Công ty, đã khiến SLC kết luận rằng ngay cả các Định giá SRR (SRR Valuations) cũng đã trật mục tiêu. Do đó, SLC không còn bất kỳ định giá chuyên môn nào để hoàn toàn dựa vào. Điều đó chắc chắn đủ để tạo ra một vấn đề thực chất về tình tiết liệu SLC có cơ sở hợp lý để kết luận rằng $4.92 là một mức giá công bằng hay không.</w:t>
      </w:r>
    </w:p>
    <w:p>
      <w:pPr>
        <w:spacing w:after="80"/>
      </w:pPr>
      <w:r>
        <w:rPr>
          <w:b w:val="0"/>
          <w:i w:val="0"/>
        </w:rPr>
        <w:t>3. Các cáo buộc II và III</w:t>
      </w:r>
    </w:p>
    <w:p>
      <w:pPr>
        <w:spacing w:after="80"/>
      </w:pPr>
      <w:r>
        <w:rPr>
          <w:b w:val="0"/>
          <w:i w:val="0"/>
        </w:rPr>
        <w:t xml:space="preserve">Tôi đề cập ngắn gọn đến Cáo buộc II và III trước khi kết thúc phân tích bước một </w:t>
      </w:r>
      <w:r>
        <w:rPr>
          <w:b w:val="0"/>
          <w:i/>
        </w:rPr>
        <w:t>Zapata</w:t>
      </w:r>
      <w:r>
        <w:rPr>
          <w:b w:val="0"/>
          <w:i w:val="0"/>
        </w:rPr>
        <w:t xml:space="preserve"> của mình. SLC đã đề nghị bác bỏ Cáo buộc II vì họ tin rằng việc thông qua Kế hoạch 2007 là hoàn toàn công bằng đối với iGov và do đó, các nguyên đơn sẽ không thắng kiện ở Cáo buộc I. Bởi vì SLC đã không đáp ứng tiêu chuẩn </w:t>
      </w:r>
      <w:r>
        <w:rPr>
          <w:b w:val="0"/>
          <w:i/>
        </w:rPr>
        <w:t>Zapata</w:t>
      </w:r>
      <w:r>
        <w:rPr>
          <w:b w:val="0"/>
          <w:i w:val="0"/>
        </w:rPr>
        <w:t>, đề nghị bác bỏ Cáo buộc I của họ bị từ chối. Theo đó, Cáo buộc II, vốn yêu cầu hủy bỏ Kế hoạch 2007, sẽ không bị bác bỏ vì lý do hiển nhiên rằng việc hủy bỏ có thể là biện pháp khắc phục thích hợp nếu các nguyên đơn cuối cùng thắng kiện về nội dung của Cáo buộc I.</w:t>
      </w:r>
    </w:p>
    <w:p>
      <w:pPr>
        <w:spacing w:after="80"/>
      </w:pPr>
      <w:r>
        <w:rPr>
          <w:b w:val="0"/>
          <w:i w:val="0"/>
        </w:rPr>
        <w:t>Đối với Cáo buộc III, SLC kết luận rằng đây là một khiếu nại phái sinh (derivative claim) và nên bị bác bỏ cùng với Cáo buộc I (và vì những lý do tương tự). Các nguyên đơn khẳng định rằng đây là một khiếu nại cá nhân mà SLC không có quyền đối với nó. Bởi vì tôi đang cho phép các nguyên đơn tiếp tục dẫn dắt các khiếu nại phái sinh qua vụ kiện này, tôi sẽ không dành thời gian ở giai đoạn này để cố gắng giải quyết liệu Cáo buộc III cáo buộc các khiếu nại cá nhân hay phái sinh. Dù theo cách nào thì các khiếu nại vẫn tồn tại. Chúng ta có thể để việc xác định bản chất chính xác của Cáo buộc III cho một ngày khác. Trên thực tế, một xác định chính xác hơn có thể được đưa ra vào thời điểm muộn hơn khi những lợi ích của việc khám phá đầy đủ (full discovery) đã mở rộng hồ sơ.</w:t>
      </w:r>
    </w:p>
    <w:p>
      <w:pPr>
        <w:spacing w:after="80"/>
      </w:pPr>
      <w:r>
        <w:rPr>
          <w:b w:val="0"/>
          <w:i/>
        </w:rPr>
        <w:t>Phán quyết kinh doanh độc lập của Tòa án</w:t>
      </w:r>
    </w:p>
    <w:p>
      <w:pPr>
        <w:spacing w:after="80"/>
      </w:pPr>
      <w:r>
        <w:rPr>
          <w:b w:val="0"/>
          <w:i w:val="0"/>
        </w:rPr>
        <w:t xml:space="preserve">Sau khi xác định rằng tôi sẽ không chấp thuận đề nghị bác bỏ của SLC sau khi áp dụng đầy đủ bước thứ nhất của tiêu chuẩn </w:t>
      </w:r>
      <w:r>
        <w:rPr>
          <w:b w:val="0"/>
          <w:i/>
        </w:rPr>
        <w:t>Zapata</w:t>
      </w:r>
      <w:r>
        <w:rPr>
          <w:b w:val="0"/>
          <w:i w:val="0"/>
        </w:rPr>
        <w:t xml:space="preserve"> vào đề nghị đó, tôi thấy không cần thiết phải áp dụng bước thứ hai của </w:t>
      </w:r>
      <w:r>
        <w:rPr>
          <w:b w:val="0"/>
          <w:i/>
        </w:rPr>
        <w:t>Zapata.</w:t>
      </w:r>
      <w:r>
        <w:rPr>
          <w:b w:val="0"/>
          <w:i w:val="0"/>
        </w:rPr>
        <w:t xml:space="preserve"> Theo quan điểm của tôi, đây không phải là trường hợp mà việc áp dụng bước thứ hai sẽ mang lại thêm điều gì có giá trị, và vì vậy tôi thực hiện quyền tùy nghi của mình để không áp dụng bước này.</w:t>
      </w:r>
    </w:p>
    <w:p>
      <w:pPr>
        <w:spacing w:after="80"/>
      </w:pPr>
      <w:r>
        <w:rPr>
          <w:b w:val="0"/>
          <w:i/>
        </w:rPr>
        <w:t>Kết luận</w:t>
      </w:r>
    </w:p>
    <w:p>
      <w:pPr>
        <w:spacing w:after="80"/>
      </w:pPr>
      <w:r>
        <w:rPr>
          <w:b w:val="0"/>
          <w:i w:val="0"/>
        </w:rPr>
        <w:t>Bởi vì có những vấn đề thực chất về tình tiết liên quan đến tính độc lập của SLC, tính hợp lý của cuộc điều tra của nó, và liệu nó có cơ sở hợp lý cho các kết luận của mình hay không, đề nghị bác bỏ đơn khiếu nại của các nguyên đơn của SLC bị TỪ CHỐI.</w:t>
      </w:r>
    </w:p>
    <w:p>
      <w:pPr>
        <w:pStyle w:val="Heading5"/>
      </w:pPr>
      <w:r>
        <w:rPr>
          <w:rFonts w:ascii="Calibri" w:hAnsi="Calibri"/>
          <w:b/>
          <w:i/>
          <w:sz w:val="22"/>
        </w:rPr>
        <w:t>Bình luận và Câu hỏi</w:t>
      </w:r>
    </w:p>
    <w:p>
      <w:pPr>
        <w:spacing w:after="80"/>
      </w:pPr>
      <w:r>
        <w:rPr>
          <w:b w:val="0"/>
          <w:i w:val="0"/>
        </w:rPr>
        <w:t xml:space="preserve">1. Như trong </w:t>
      </w:r>
      <w:r>
        <w:rPr>
          <w:b w:val="0"/>
          <w:i/>
        </w:rPr>
        <w:t>Oracle</w:t>
      </w:r>
      <w:r>
        <w:rPr>
          <w:b w:val="0"/>
          <w:i w:val="0"/>
        </w:rPr>
        <w:t xml:space="preserve"> , khi một ủy ban tranh tụng đặc biệt (special litigation committee) đề nghị bác bỏ một vụ kiện phái sinh được miễn trừ yêu cầu (demand-excused derivative suit), SLC có nghĩa vụ chứng minh sự vắng mặt của các vấn đề thực chất về tình tiết liên quan đến tính độc lập của ủy ban. Vậy hãy xem xét bối cảnh ý kiến của Thẩm phán Chandler trong vụ án này. Tòa án đã kết luận vào năm 2008 rằng yêu cầu của các nguyên đơn đối với hội đồng quản trị đã được miễn trừ, và rằng các khiếu nại phái sinh của các nguyên đơn "dễ dàng vượt qua" đề nghị bác bỏ của các bị đơn. Sau khi thua đề nghị bác bỏ ban đầu đó, hội đồng quản trị của iGov đã mở rộng hội đồng và thành lập SLC, bổ nhiệm hai giám đốc mới của mình là Salvatori và Vinter vào ủy ban. SLC đã thuê các cố vấn và tiến hành điều tra các khiếu nại của các nguyên đơn trong bốn tháng tiếp theo. Khi kết thúc cuộc điều tra, SLC đã ban hành một báo cáo bằng văn bản kết luận rằng các khiếu nại không có giá trị và đề nghị rằng việc theo đuổi vụ kiện không phải là vì lợi ích tốt nhất của iGov. Công ty lại một lần nữa đề nghị bác bỏ đơn khiếu nại, lần này dựa vào đề nghị của SLC.</w:t>
      </w:r>
    </w:p>
    <w:p>
      <w:pPr>
        <w:spacing w:after="80"/>
      </w:pPr>
      <w:r>
        <w:rPr>
          <w:b w:val="0"/>
          <w:i w:val="0"/>
        </w:rPr>
        <w:t xml:space="preserve">Thẩm phán Chandler nhấn mạnh trong ý kiến của mình rằng bởi vì các nguyên đơn trước đó đã thiết lập được sự vô ích của yêu cầu (demand futility), SLC của iGov có nghĩa vụ chứng minh rằng không có vấn đề thực chất về tình tiết nào liên quan đến tính độc lập của nó. Bạn có đồng ý với Thẩm phán Chandler rằng chính những tình tiết đã ngăn cản việc tìm ra tính độc lập trong bối cảnh này (các mối liên hệ gia đình xa cách và các mối quan hệ kinh doanh trước đây) có thể lại dẫn đến kết luận ngược lại ở giai đoạn xét sự vô ích của yêu cầu hay không? Hãy nhớ lại tiêu chuẩn xem xét áp dụng từ </w:t>
      </w:r>
      <w:r>
        <w:rPr>
          <w:b w:val="0"/>
          <w:i/>
        </w:rPr>
        <w:t>Aronson.</w:t>
      </w:r>
    </w:p>
    <w:p>
      <w:pPr>
        <w:spacing w:after="80"/>
      </w:pPr>
      <w:r>
        <w:rPr>
          <w:b w:val="0"/>
          <w:i w:val="0"/>
        </w:rPr>
        <w:t>2. Tại sao lại "gần như bất khả thi" đối với một ủy ban tranh tụng đặc biệt để chứng minh tính độc lập khi "thành viên SLC và một giám đốc bị đơn có quan hệ gia đình"? Mặc dù vợ của giám đốc Vinter là em họ của bị đơn Tyrrell, có rất ít bằng chứng cho thấy mối quan hệ của họ gần gũi. Thật vậy, các bị đơn khẳng định rằng "họ chỉ thỉnh thoảng gặp nhau tại các buổi họp mặt gia đình lớn một hoặc hai lần mỗi năm." Tòa án còn băn khoăn hơn bởi lời khai trong phiên lấy cung (deposition testimony) và các ghi chú cho thấy các thành viên SLC coi công việc của họ là "tấn công" đơn khiếu nại của các nguyên đơn.</w:t>
      </w:r>
    </w:p>
    <w:p>
      <w:pPr>
        <w:spacing w:after="80"/>
      </w:pPr>
      <w:r>
        <w:rPr>
          <w:b w:val="0"/>
          <w:i w:val="0"/>
        </w:rPr>
        <w:t>3. Nếu áp dụng được về mặt tình tiết, các nguyên đơn cũng lập luận rằng các mối quan hệ gia đình ảnh hưởng đến tính độc lập của giám đốc. Thật khó để dự đoán cách các tòa án đánh giá ảnh hưởng của các mối quan hệ gia đình đối với tính độc lập. "Các phán quyết khác nhau có quan điểm khác nhau về tiềm năng tạo ra thiên vị của các mối quan hệ gia đình, không phải tất cả đều có thể được giải thích chỉ bằng mức độ quan hệ huyết thống." Vợ của Vinter là em họ của Tyrell, và cặp đôi này đã tham dự một bữa tiệc thường niên do Tyrell tổ chức để tôn vinh mẹ của ông. Mặc dù những tình tiết này không thuyết phục được tòa án kết luận "dứt khoát rằng tính độc lập của Vinter đã bị tổn hại," bằng chứng đã tạo ra một vấn đề thực chất về tình tiết. Bạn có đồng ý không?</w:t>
      </w:r>
    </w:p>
    <w:p>
      <w:pPr>
        <w:spacing w:after="80"/>
      </w:pPr>
      <w:r>
        <w:rPr>
          <w:b w:val="0"/>
          <w:i w:val="0"/>
        </w:rPr>
        <w:t>4. Những bài học nào mà các SLC trong tương lai có thể rút ra từ ý kiến của Thủ tướng Chandler về cách tiến hành điều tra và soạn thảo báo cáo của họ trong các hành động được miễn trừ theo yêu cầu?</w:t>
      </w:r>
    </w:p>
    <w:p>
      <w:pPr>
        <w:pStyle w:val="Heading3"/>
      </w:pPr>
      <w:r>
        <w:rPr>
          <w:rFonts w:ascii="Calibri" w:hAnsi="Calibri"/>
          <w:b/>
          <w:i w:val="0"/>
          <w:sz w:val="26"/>
        </w:rPr>
        <w:t>D. Giải quyết các vụ kiện của cổ đông</w:t>
      </w:r>
    </w:p>
    <w:p>
      <w:pPr>
        <w:spacing w:after="80"/>
      </w:pPr>
      <w:r>
        <w:rPr>
          <w:b w:val="0"/>
          <w:i w:val="0"/>
        </w:rPr>
        <w:t>Bởi vì các cổ đông tìm cách khởi tố các khiếu nại thay mặt cho công ty phải đối mặt với những trở ngại pháp lý đáng kể, như chúng ta đã thấy, các vụ kiện phái sinh hiếm khi thành công trong việc buộc những người được ủy thác phải chịu trách nhiệm về việc vi phạm nghĩa vụ của họ đối với công ty. Không có gì đáng ngạc nhiên, các hội đồng quản trị hiếm khi cho phép kiện chính họ và đồng nghiệp của họ, cũng như họ không khiến công ty kiện các giám đốc điều hành của công ty. Trong trường hợp ngoại lệ mà các giám đốc chấp thuận vụ kiện như vậy, hội đồng quản trị đã chấm dứt chức vụ của giám đốc điều hành có hành vi sai trái. Một ví dụ về vụ kiện như vậy là việc các cổ đông thắng kiện trong việc truy tố các khiếu nại phái sinh chống lại Richard Scrushy. Sau một phiên xét xử không có bồi thẩm đoàn vào năm 2009, một tòa án Alabama đã đưa ra phán quyết gần 2,9 tỷ đô la chống lại cựu Chủ tịch và Giám đốc điều hành của HealthSouth, được cho là phán quyết vụ kiện phái sinh lớn nhất từng đạt được bởi các cổ đông tìm kiếm thiệt hại do vi phạm nghĩa vụ ủy thác từ một cựu giám đốc điều hành công ty thay mặt cho công ty. Năm 2011, Tòa án Tối cao Alabama đã giữ nguyên phán quyết khi kháng cáo. Các cổ đông thậm chí còn ít thắng kiện hơn khi, như thường lệ, công ty phản đối việc họ theo đuổi các khiếu nại chống lại những người được ủy thác bị đơn. Tuy nhiên, gần đây, các cổ đông đã vượt qua các rào cản về thủ tục và nội dung trong một vụ án Delaware được công bố rộng rãi. Sau một phiên xét xử về nội dung, các cổ đông đã thuyết phục Thủ tướng khi đó là Leo Strine đưa ra phán quyết 1,263 tỷ đô la vì lợi ích của Southern Peru Copper Corporation trong một vụ kiện phái sinh liên quan đến việc công ty mua lại Minerva Mexico từ Groupo México, cổ đông kiểm soát của Southern Peru. Thủ tướng Strine phát hiện rằng trong một "giao dịch rõ ràng không công bằng", Southern Peru đã trả quá cao cho công ty khai thác mỏ.</w:t>
      </w:r>
    </w:p>
    <w:p>
      <w:pPr>
        <w:spacing w:after="80"/>
      </w:pPr>
      <w:r>
        <w:rPr>
          <w:b w:val="0"/>
          <w:i w:val="0"/>
        </w:rPr>
        <w:t>Bất chấp những kết quả như vậy, các vụ kiện phái sinh của cổ đông hiếm khi kết thúc bằng phán quyết bồi thường thiệt hại bằng tiền. Thật vậy, các vụ án không bị tòa án bác bỏ thường được giải quyết mà không có bất kỳ khoản bồi thường tiền tệ đáng kể nào cho công ty. Các vụ kiện phái sinh của cổ đông thường được giải quyết bằng việc các bên đồng ý cải thiện quản trị công ty. Trong các dàn xếp này, các công ty đồng ý cải cách thực tiễn quản trị công ty của họ, từ số lượng giám đốc độc lập trong hội đồng quản trị đến phương thức trả thù lao cho các giám đốc điều hành hàng đầu. Liệu các dàn xếp quản trị này có tạo ra những thay đổi có ý nghĩa đối với các vấn đề nội bộ của công ty hay không là một vấn đề gây tranh cãi.</w:t>
      </w:r>
    </w:p>
    <w:p>
      <w:pPr>
        <w:pStyle w:val="Heading4"/>
      </w:pPr>
      <w:r>
        <w:rPr>
          <w:rFonts w:ascii="Calibri" w:hAnsi="Calibri"/>
          <w:b/>
          <w:i w:val="0"/>
          <w:sz w:val="23"/>
        </w:rPr>
        <w:t>1. Bằng chứng thực nghiệm</w:t>
      </w:r>
    </w:p>
    <w:p>
      <w:pPr>
        <w:spacing w:after="80"/>
      </w:pPr>
      <w:r>
        <w:rPr>
          <w:b w:val="0"/>
          <w:i w:val="0"/>
        </w:rPr>
        <w:t>Nghiên cứu thực nghiệm chứng minh rằng các cổ đông hiếm khi đạt được phán quyết buộc các giám đốc điều hành phải chịu trách nhiệm về việc vi phạm nghĩa vụ ủy thác của họ. Một nghiên cứu được công bố rộng rãi của Giáo sư Bernard Black và các học giả khác đã xác định rằng, từ năm 1985 đến năm 2000, chỉ có sáu vụ kiện phái sinh chống lại các giám đốc bên ngoài của các công ty đại chúng được đưa ra xét xử, và nguyên đơn chỉ thắng hai trong số các vụ kiện đó. Các Giáo sư Robert Thompson và Randall Thomas đã xem xét tất cả các vụ kiện phái sinh ở Delaware được nộp trong năm 1999 và 2000. Họ phát hiện rằng, trong số năm mươi vụ án chính được giải quyết, chỉ có sáu vụ dẫn đến việc thu hồi tiền cho các công ty.</w:t>
      </w:r>
    </w:p>
    <w:p>
      <w:pPr>
        <w:spacing w:after="80"/>
      </w:pPr>
      <w:r>
        <w:rPr>
          <w:b w:val="0"/>
          <w:i w:val="0"/>
        </w:rPr>
        <w:t>Năm 2009, Giáo sư Black và các đồng nghiệp của ông đã xuất bản một bài báo khác, lần này so sánh các vụ kiện cổ đông chống lại các giám đốc công ty đại chúng ở Hoa Kỳ và Vương quốc Anh. Xem xét các vụ kiện được nộp tại các tòa án tiểu bang và liên bang từ năm 2000 đến năm 2007, họ phát hiện rằng các giám đốc phải đối mặt với ít rủi ro hơn từ các vụ kiện cổ đông so với suy nghĩ trước đây. Chỉ một tỷ lệ nhỏ các vụ kiện của cổ đông đủ gây tranh cãi để tòa án đưa ra quyết định bằng văn bản; thật vậy, tòa án đã bác bỏ một phần đáng kể trong số các vụ án đó. Khi các nhà nghiên cứu so sánh dữ liệu vụ kiện ở Hoa Kỳ của họ với dữ liệu từ các nghiên cứu Delaware của Thompson và Thomas, họ xác định rằng chỉ một trong bảy đơn khiếu nại được nộp chống lại các giám đốc ở Delaware tạo ra một quyết định bằng văn bản. Hầu hết các quyết định bằng văn bản đều có lợi cho bị đơn, nhưng thường thì các thẩm phán chỉ đơn giản bác bỏ các đơn khiếu nại mà không có bất kỳ ý kiến bằng văn bản nào. Thật vậy, các nhà nghiên cứu chỉ tìm thấy sáu quyết định bằng văn bản (ba phần trăm của tất cả các quyết định bằng văn bản) đưa ra phán quyết chống lại bị đơn và trao bồi thường thiệt hại sau các phiên xét xử về nội dung.</w:t>
      </w:r>
    </w:p>
    <w:p>
      <w:pPr>
        <w:spacing w:after="80"/>
      </w:pPr>
      <w:r>
        <w:rPr>
          <w:b w:val="0"/>
          <w:i w:val="0"/>
        </w:rPr>
        <w:t>Không chỉ các giám đốc không thuộc ban điều hành hiếm khi phải chịu trách nhiệm về việc vi phạm nghĩa vụ ủy thác của họ, mà họ còn hiếm khi đóng góp bất kỳ khoản tiền nào để dàn xếp các khiếu nại như vậy. Do đó, khi các bị đơn cá nhân đồng ý thanh toán tiền túi để giúp giải quyết các khiếu nại của cổ đông, những dàn xếp ngoại lệ như vậy tạo ra sự lo lắng trong các phòng họp hội đồng quản trị của công ty đại chúng. Vào năm 2005, ví dụ, Corporate America đã nhăn mặt khi các cựu giám đốc bên ngoài của Enron và WorldCom đóng góp hàng triệu đô la cá nhân để dàn xếp các khiếu nại chứng khoán liên bang do các nhà đầu tư đưa ra trong các vụ kiện tập thể. Mười giám đốc của Enron đã đóng góp tổng cộng 13 triệu đô la từ quỹ của chính họ (đại diện cho năm phần trăm lợi nhuận họ kiếm được từ việc bán cổ phiếu Enron trước khi tình hình tài chính thực sự của công ty được tiết lộ). Việc dàn xếp các khiếu nại tương tự yêu cầu mười một giám đốc bên ngoài của WorldCom phải trả tổng cộng 20 triệu đô la (đại diện cho khoảng 20 phần trăm giá trị ròng của các giám đốc, không bao gồm nơi ở chính, quỹ hưu trí và một số tài sản hôn nhân nhất định). Tuy nhiên, như các nhà bình luận có kinh nghiệm đã dự đoán, những dàn xếp này không chứng minh là một "điềm báo về rủi ro mới" đối với trách nhiệm cá nhân của các giám đốc.</w:t>
      </w:r>
    </w:p>
    <w:p>
      <w:pPr>
        <w:spacing w:after="80"/>
      </w:pPr>
      <w:r>
        <w:rPr>
          <w:b w:val="0"/>
          <w:i w:val="0"/>
        </w:rPr>
        <w:t>Thật vậy, các cổ đông hiếm khi thu hồi được số tiền đáng kể cho công ty . . . ít nhất là trong lịch sử. Tuy nhiên, trong những năm gần đây, một số vụ kiện phái sinh của cổ đông đã gây chú ý vì các dàn xếp đáng kể của chúng. Vào năm 2014, các giám đốc của công ty trò chơi điện tử Activision Blizzard đã đồng ý trả 279 triệu đô la để dàn xếp một vụ kiện phái sinh phát sinh từ việc mua lại cổ phiếu. Dàn xếp đó đã vượt qua 139 triệu đô la mà các giám đốc của News Corp đã trả vào năm 2013 để giải quyết các khiếu nại rằng họ đã không ngăn chặn được vụ bê bối hack của công ty.</w:t>
      </w:r>
    </w:p>
    <w:p>
      <w:pPr>
        <w:spacing w:after="80"/>
      </w:pPr>
      <w:r>
        <w:rPr>
          <w:b w:val="0"/>
          <w:i w:val="0"/>
        </w:rPr>
        <w:t>Các bị đơn thường đồng ý dàn xếp các khiếu nại phái sinh của cổ đông để đổi lấy biện pháp khắc phục phi tiền tệ, bao gồm các cải cách được thương lượng đối với hệ thống quản trị công ty hoặc nâng cấp các chương trình tuân thủ của công ty được thiết kế để ngăn chặn hành vi sai trái hoặc vi phạm bị cáo buộc tái diễn. Ví dụ, như một phần của dàn xếp Activision, công ty đã đồng ý, trong số các thay đổi quản trị công ty khác, thêm hai giám đốc độc lập vào hội đồng quản trị của mình. Tuy nhiên, khi các cổ đông nguyên đơn đồng ý bác bỏ các vụ kiện phái sinh và giải phóng các khiếu nại để đổi lấy cải cách quản trị và chỉ thanh toán phí luật sư, những giải pháp như vậy cung cấp hỗ trợ cho các lập luận của những người chỉ trích rằng các luật sư nguyên đơn lạm dụng hệ thống pháp luật vì lợi ích cá nhân của họ với cái giá phải trả là lợi ích tốt nhất của cổ đông và công ty. Các vụ kiện phái sinh "đi kèm" — các đơn khiếu nại lặp lại các cáo buộc được đưa ra trong các vụ kiện tập thể chứng khoán, hành động thực thi quy định hoặc vụ án hình sự đã nộp trước đó — đặc biệt có khả năng được dàn xếp chỉ cho "liệu pháp" của công ty, không có thu hồi tiền tệ cho công ty.</w:t>
      </w:r>
    </w:p>
    <w:p>
      <w:pPr>
        <w:pStyle w:val="Heading4"/>
      </w:pPr>
      <w:r>
        <w:rPr>
          <w:rFonts w:ascii="Calibri" w:hAnsi="Calibri"/>
          <w:b/>
          <w:i w:val="0"/>
          <w:sz w:val="23"/>
        </w:rPr>
        <w:t>2. Xem xét tư pháp đối với các dàn xếp</w:t>
      </w:r>
    </w:p>
    <w:p>
      <w:pPr>
        <w:spacing w:after="80"/>
      </w:pPr>
      <w:r>
        <w:rPr>
          <w:b w:val="0"/>
          <w:i w:val="0"/>
        </w:rPr>
        <w:t xml:space="preserve">Các bên trong các vụ kiện của cổ đông phải có được sự chấp thuận của tòa án để dàn xếp và bác bỏ các khiếu nại phái sinh. Yêu cầu này "nhằm bảo vệ chống lại việc mua chuộc lén lút các nguyên đơn đại diện, để lại những [cổ đông] khác không có phương tiện bảo vệ" khi dàn xếp, theo thiết kế, giải phóng các khiếu nại của họ. Theo luật Delaware, tòa án xem xét phải xác định liệu, trong việc thực hiện phán đoán kinh doanh của chính mình và dựa trên các sự kiện và hoàn cảnh được trình bày, dàn xếp được đề xuất có phải là một giải pháp công bằng và hợp lý cho vụ kiện hay không. </w:t>
      </w:r>
      <w:r>
        <w:rPr>
          <w:b w:val="0"/>
          <w:i/>
        </w:rPr>
        <w:t>Xem</w:t>
      </w:r>
      <w:r>
        <w:rPr>
          <w:b w:val="0"/>
          <w:i w:val="0"/>
        </w:rPr>
        <w:t xml:space="preserve"> Del. Ch. Ct. Rule 23.1. Luật liên bang về cơ bản là tương tự. Tòa án có quyền tùy nghi rộng rãi để xem xét các điều khoản của dàn xếp, bao gồm việc thu hồi của công ty và bất kỳ hoàn trả chi phí nào cho nguyên đơn và các bị đơn cá nhân, cũng như kết quả có thể đã xảy ra từ phiên xét xử, được chiết khấu bởi sự không chắc chắn của vụ kiện, chi phí do sự chậm trễ trong giải quyết, gián đoạn kinh doanh, có thể là dư luận tiêu cực và phí bảo hiểm tăng nếu thu hồi tại phiên xét xử cao hơn.</w:t>
      </w:r>
    </w:p>
    <w:p>
      <w:pPr>
        <w:spacing w:after="80"/>
      </w:pPr>
      <w:r>
        <w:rPr>
          <w:b w:val="0"/>
          <w:i w:val="0"/>
        </w:rPr>
        <w:t>Các cuộc đàm phán dàn xếp có thể tiết lộ sự khác biệt giữa lợi ích của các cổ đông nguyên đơn và lợi ích của các luật sư đại diện cho họ trong các vụ kiện phái sinh. Bởi vì các luật sư của cổ đông đồng ý truy tố hầu hết các vụ kiện phái sinh trên cơ sở phí tùy thuộc, luật sư của nguyên đơn có thể có lợi ích tài chính trực tiếp và đáng kể hơn trong kết quả vụ án so với các nguyên đơn được nêu tên. Hơn nữa, theo thỏa thuận phí tùy thuộc, luật sư của nguyên đơn sẽ chỉ nhận được thù lao khi truy tố thành công vụ kiện hoặc bằng cách dàn xếp. Nếu các bên đồng ý dàn xếp các khiếu nại phái sinh, tòa án thường chấp thuận luật sư của nguyên đơn khi có bằng chứng rằng dàn xếp đã cung cấp "lợi ích đáng kể" cho công ty.</w:t>
      </w:r>
    </w:p>
    <w:p>
      <w:pPr>
        <w:spacing w:after="80"/>
      </w:pPr>
      <w:r>
        <w:rPr>
          <w:b w:val="0"/>
          <w:i w:val="0"/>
        </w:rPr>
        <w:t>Trong khi các cổ đông có các mục tiêu đầu tư và thời hạn khác nhau, họ có lẽ nộp đơn kiện để tìm kiếm khoản thu hồi tiền tệ lớn nhất có thể cho công ty, tính đến rủi ro tiếp tục vụ kiện qua phiên xét xử và, có thể, kháng cáo. Các cổ đông vẫn tiếp tục sở hữu cổ phiếu trong công ty cũng có thể được hưởng lợi từ các dàn xếp bao gồm cải cách hệ thống quản trị của công ty, và các nghiên cứu thực nghiệm đã phát hiện rằng cái gọi là "dàn xếp quản trị công ty" này đã trở nên ngày càng phổ biến trong những năm gần đây. Trong khi giá trị mà công ty nhận được từ các dàn xếp quản trị có thể khó định lượng, luật pháp rõ ràng rằng "một công ty có thể nhận được 'lợi ích đáng kể' từ một vụ kiện phái sinh, biện minh cho việc trao thù lao luật sư, bất kể lợi ích đó có phải là tiền tệ hay không."</w:t>
      </w:r>
    </w:p>
    <w:p>
      <w:pPr>
        <w:spacing w:after="80"/>
      </w:pPr>
      <w:r>
        <w:rPr>
          <w:b w:val="0"/>
          <w:i w:val="0"/>
        </w:rPr>
        <w:t>Bất kể liệu giải pháp được đề xuất của các bên có cung cấp cho công ty và, gián tiếp, các cổ đông của nó khoản bồi thường tiền tệ, lợi ích phi tiền tệ, hay cả hai, các tòa án xem xét "phải cân bằng sự ưu tiên chính sách đối với dàn xếp với nhu cầu đảm bảo rằng lợi ích của nhóm đã được đại diện công bằng." Khi trình bày một dàn xếp cho tòa án để phê duyệt, những người ủng hộ dàn xếp phải chịu trách nhiệm thuyết phục tòa án rằng dàn xếp là công bằng và hợp lý. Tòa án Tối cao Delaware đã hướng dẫn rằng các thẩm phán xem xét xem xét:</w:t>
      </w:r>
    </w:p>
    <w:p>
      <w:pPr>
        <w:spacing w:after="80"/>
        <w:ind w:left="360"/>
      </w:pPr>
      <w:r>
        <w:t xml:space="preserve">1. </w:t>
      </w:r>
      <w:r>
        <w:rPr>
          <w:b w:val="0"/>
          <w:i w:val="0"/>
        </w:rPr>
        <w:t>tính hợp lệ có thể xảy ra của các khiếu nại;</w:t>
      </w:r>
    </w:p>
    <w:p>
      <w:pPr>
        <w:spacing w:after="80"/>
        <w:ind w:left="360"/>
      </w:pPr>
      <w:r>
        <w:t xml:space="preserve">2. </w:t>
      </w:r>
      <w:r>
        <w:rPr>
          <w:b w:val="0"/>
          <w:i w:val="0"/>
        </w:rPr>
        <w:t>những khó khăn rõ ràng trong việc thực thi các khiếu nại thông qua tòa án;</w:t>
      </w:r>
    </w:p>
    <w:p>
      <w:pPr>
        <w:spacing w:after="80"/>
        <w:ind w:left="360"/>
      </w:pPr>
      <w:r>
        <w:t xml:space="preserve">3. </w:t>
      </w:r>
      <w:r>
        <w:rPr>
          <w:b w:val="0"/>
          <w:i w:val="0"/>
        </w:rPr>
        <w:t>khả năng thu hồi của bất kỳ phán quyết nào được khôi phục;</w:t>
      </w:r>
    </w:p>
    <w:p>
      <w:pPr>
        <w:spacing w:after="80"/>
        <w:ind w:left="360"/>
      </w:pPr>
      <w:r>
        <w:t xml:space="preserve">4. </w:t>
      </w:r>
      <w:r>
        <w:rPr>
          <w:b w:val="0"/>
          <w:i w:val="0"/>
        </w:rPr>
        <w:t>sự chậm trễ, chi phí và rắc rối của việc kiện tụng;</w:t>
      </w:r>
    </w:p>
    <w:p>
      <w:pPr>
        <w:spacing w:after="80"/>
        <w:ind w:left="360"/>
      </w:pPr>
      <w:r>
        <w:t xml:space="preserve">5. </w:t>
      </w:r>
      <w:r>
        <w:rPr>
          <w:b w:val="0"/>
          <w:i w:val="0"/>
        </w:rPr>
        <w:t>số tiền thỏa hiệp so với số tiền và khả năng thu hồi của một phán quyết; và</w:t>
      </w:r>
    </w:p>
    <w:p>
      <w:pPr>
        <w:spacing w:after="80"/>
        <w:ind w:left="360"/>
      </w:pPr>
      <w:r>
        <w:t xml:space="preserve">6. </w:t>
      </w:r>
      <w:r>
        <w:rPr>
          <w:b w:val="0"/>
          <w:i w:val="0"/>
        </w:rPr>
        <w:t>quan điểm của các bên liên quan, ủng hộ và phản đối.</w:t>
      </w:r>
    </w:p>
    <w:p>
      <w:pPr>
        <w:spacing w:after="80"/>
      </w:pPr>
      <w:r>
        <w:rPr>
          <w:b w:val="0"/>
          <w:i w:val="0"/>
        </w:rPr>
        <w:t>Những yếu tố này dường như giả định rằng việc dàn xếp quy định việc trao đổi các khoản tiền, hoặc ít nhất là sự đền bù có thể định giá được. Tuy nhiên, kiện tụng phái sinh là một công cụ của luật công bằng, và các tòa án công bằng có quyền tùy nghi đáng kể để phê duyệt các cải cách quản trị doanh nghiệp thay cho, hoặc bổ sung vào, các dàn xếp tiền tệ. Cải cách quản trị có thể bao gồm việc tăng số lượng giám đốc bên ngoài, hạn chế số lượng hội đồng quản trị mà các giám đốc doanh nghiệp có thể tham gia, hoặc bổ nhiệm một giám đốc lãnh đạo độc lập vào hội đồng quản trị. Trong khi một số nhà bình luận hoan nghênh những dàn xếp này và tán thành kiện tụng phái sinh như một công cụ để cổ đông lên tiếng, những nhà quan sát khác đặt câu hỏi liệu các cải cách này có chỉ là hình thức bề ngoài hay không. Một số nhà bình luận lập luận rằng các dàn xếp trong các vụ kiện phái sinh áp đặt các hình phạt về danh tiếng đối với các cán bộ và giám đốc bị đơn, qua đó ngăn chặn các vi phạm nghĩa vụ ủy thác trong tương lai. Các học giả khác cho rằng các luật sư của nguyên đơn là những người hưởng lợi chính từ kiện tụng phái sinh của cổ đông. Nhận thức được sự khác biệt tiềm tàng giữa lợi ích của luật sư nguyên đơn và lợi ích của các cổ đông mà họ đại diện, Tòa án Tối cao Delaware đã chỉ thị rằng "Tòa án Công bằng phải . . . đóng vai trò người ủy thác trong việc xem xét các dàn xếp này. . . ." In re Resorts Int'l S'holders Litig. Appeals, 570 A.2d 259, 266 (Del. 1990). để khuyến khích những người đấu tranh vì cổ đông khởi kiện những vụ kiện có căn cứ chính đáng nhưng không trao những khoản lợi bất chính không lành mạnh dẫn đến các vụ kiện quá mức và không chính đáng."</w:t>
      </w:r>
    </w:p>
    <w:p>
      <w:pPr>
        <w:pStyle w:val="Heading4"/>
      </w:pPr>
      <w:r>
        <w:rPr>
          <w:rFonts w:ascii="Calibri" w:hAnsi="Calibri"/>
          <w:b/>
          <w:i w:val="0"/>
          <w:sz w:val="23"/>
        </w:rPr>
        <w:t>3. Kiện tụng thách thức các vụ sáp nhập và mua lại doanh nghiệp</w:t>
      </w:r>
    </w:p>
    <w:p>
      <w:pPr>
        <w:spacing w:after="80"/>
      </w:pPr>
      <w:r>
        <w:rPr>
          <w:b w:val="0"/>
          <w:i w:val="0"/>
        </w:rPr>
        <w:t>Kể từ năm 2010, các tòa án và nhà bình luận ngày càng tập trung sự chú ý vào sự gia tăng của các vụ kiện cổ đông phản đối các vụ sáp nhập, mua lại và giao dịch tư nhân hóa doanh nghiệp. Thường được nộp ngay sau khi ban lãnh đạo công bố thương vụ, các cổ đông của công ty bán thường kiện các giám đốc của công ty đó (cũng như bất kỳ cán bộ không phải giám đốc nào tham gia đáng kể vào việc đàm phán giao dịch), cáo buộc rằng các người ủy thác bị đơn đã vi phạm nghĩa vụ của họ và phạm tội gian lận bằng cách đồng ý bán công ty với mức đền bù không đủ. Những vụ kiện này, dù được khởi xướng như các vụ kiện phái sinh, vụ kiện tập thể, hay cả hai, thường tìm kiếm biện pháp khẩn cấp để ngăn chặn các giao dịch hoàn tất theo các điều khoản đã công bố, nhưng đơn kiện của nguyên đơn cũng bao gồm các yêu cầu về biện pháp công bằng khác và bồi thường thiệt hại.</w:t>
      </w:r>
    </w:p>
    <w:p>
      <w:pPr>
        <w:spacing w:after="80"/>
      </w:pPr>
      <w:r>
        <w:rPr>
          <w:b w:val="0"/>
          <w:i w:val="0"/>
        </w:rPr>
        <w:t>Cụ thể hơn, cổ đông thường khiếu nại rằng hội đồng quản trị đã không tối đa hóa giá trị cổ đông vì (1) việc bán không đủ tính cạnh tranh, (2) hội đồng quản trị đã phê duyệt các biện pháp bảo vệ thương vụ hạn chế, ngăn cản các đề nghị mua tiếp theo, và/hoặc (3) xung đột lợi ích đã làm ô nhiễm giao dịch. Thường thì nguyên đơn cũng cáo buộc rằng các giám đốc bị đơn đã xuyên tạc hoặc không tiết lộ cho cổ đông những thông tin trọng yếu liên quan đến quá trình bán, định giá của các cố vấn tài chính, và các xung đột lợi ích làm hỏng việc ra quyết định của hội đồng quản trị. Ngoài ra, nguyên đơn kiện cả bên mua và ngày càng nhiều, các cố vấn tài chính đã cung cấp dịch vụ tạo điều kiện cho giao dịch, cáo buộc rằng những bị đơn này đã hỗ trợ và tiếp tay cho việc vi phạm nghĩa vụ ủy thác của các giám đốc.</w:t>
      </w:r>
    </w:p>
    <w:p>
      <w:pPr>
        <w:spacing w:after="80"/>
      </w:pPr>
      <w:r>
        <w:rPr>
          <w:b w:val="0"/>
          <w:i w:val="0"/>
        </w:rPr>
        <w:t xml:space="preserve">Mặc dù không phải là bị đơn chính trong hầu hết các vụ kiện cổ đông, các cố vấn tài chính cũng đã trở thành mục tiêu hấp dẫn đối với cổ đông thách thức các vụ sáp nhập công ty đại chúng, khi các luật sư nguyên đơn đạt được những giải quyết thành công trong một số vụ án đáng chú ý. Ví dụ, vào năm 2011, Del Monte và Barclays Capital đã trả 89,4 triệu đô la để dàn xếp vụ kiện phái sinh của cổ đông phát sinh từ thương vụ mua lại có đòn bẩy Del Monte bởi Kohlberg Kravis Roberts, Vestar Capital Partners, và Centerview Partners. Các cổ đông, những người cáo buộc rằng Barclays có xung đột lợi ích khi cung cấp tài chính cho bên mua trong khi tư vấn cho Del Monte, đã thành công trong việc giành được lệnh cấm sơ bộ trì hoãn việc bán. Gần đây hơn, Tòa án Tối cao Delaware đã giữ nguyên phán quyết 76 triệu đô la chống lại RBC Capital Markets, phát hiện rằng ngân hàng này đã thao túng quá trình bán năm 2011 của Rural/Metro trong nỗ lực giành được một thỏa thuận tài chính béo bở từ bên mua cổ phần tư nhân của công ty xe cứu thương. </w:t>
      </w:r>
      <w:r>
        <w:rPr>
          <w:b w:val="0"/>
          <w:i/>
        </w:rPr>
        <w:t>RBC Capital Markets, LLC v. Jervis</w:t>
      </w:r>
      <w:r>
        <w:rPr>
          <w:b w:val="0"/>
          <w:i w:val="0"/>
        </w:rPr>
        <w:t xml:space="preserve"> , __ A.3d __, 2015 WL 7721882 (Del. Nov. 30, 2015). Mặc dù các thẩm phán từ chối mô tả ngân hàng đầu tư là "người gác cổng" chịu trách nhiệm về tính toàn vẹn của quá trình bán, phán quyết này đánh dấu lần đầu tiên tòa án cao nhất của Delaware giữ nguyên trách nhiệm pháp lý của một cố vấn tài chính vì đã hỗ trợ và tiếp tay cho việc vi phạm nghĩa vụ của hội đồng quản trị doanh nghiệp. </w:t>
      </w:r>
      <w:r>
        <w:rPr>
          <w:b w:val="0"/>
          <w:i/>
        </w:rPr>
        <w:t>Rural/Metro</w:t>
      </w:r>
      <w:r>
        <w:rPr>
          <w:b w:val="0"/>
          <w:i w:val="0"/>
        </w:rPr>
        <w:t xml:space="preserve"> không chỉ có khả năng thúc đẩy các hội đồng quản trị doanh nghiệp xem xét xung đột của các chủ ngân hàng kỹ lưỡng hơn, mà ý kiến của Tòa án cũng có khả năng ảnh hưởng đến phí của các ngân hàng đầu tư, việc tiết lộ xung đột của họ, và các điều khoản bồi thường trong thư cam kết của họ.</w:t>
      </w:r>
    </w:p>
    <w:p>
      <w:pPr>
        <w:spacing w:after="80"/>
      </w:pPr>
      <w:r>
        <w:rPr>
          <w:b w:val="0"/>
          <w:i w:val="0"/>
        </w:rPr>
        <w:t>Các công ty đại chúng không chỉ phản đối sự phổ biến của kiện tụng này, mà các nhà quản lý doanh nghiệp còn phản đối rằng các cổ đông có cổ phần nhỏ, được đại diện bởi các luật sư doanh nhân cạnh tranh, nộp các vụ kiện trùng lặp cáo buộc về cơ bản cùng những khiếu nại chống lại cùng những bị đơn tại nhiều tòa án tiểu bang và liên bang. Nói chung, cổ đông công ty đại chúng có thể kiện các giám đốc và cán bộ của công ty tại tiểu bang nơi công ty được thành lập (thường là Delaware) cũng như tại tiểu bang nơi công ty đặt trụ sở chính, giả sử các giám đốc và cán bộ bị đơn có sự hiện diện pháp lý tại khu vực tài phán đó. Cả hai đơn kiện (hoặc các nhóm đơn kiện) đều phát sinh từ cùng một giao dịch doanh nghiệp và cáo buộc những khiếu nại gần như giống hệt nhau theo luật của tiểu bang thành lập (thường là Delaware). Hơn nữa, cổ đông công ty đại chúng được hưởng một số quyền theo luật liên bang mà họ có thể thực thi tại các tòa án tiểu bang, và các tòa án liên bang có thể thực thi thẩm quyền đa dạng đối với các khiếu nại theo luật tiểu bang trong những trường hợp cụ thể. Việc truy tố các khiếu nại tại các tòa án liên bang cũng như tại tòa án của hai (hoặc nhiều hơn) tiểu bang càng làm tăng thêm sự kém hiệu quả và chi phí liên quan đến kiện tụng M&amp;A đa diễn đàn.</w:t>
      </w:r>
    </w:p>
    <w:p>
      <w:pPr>
        <w:spacing w:after="80"/>
      </w:pPr>
      <w:r>
        <w:rPr>
          <w:b w:val="0"/>
          <w:i w:val="0"/>
        </w:rPr>
        <w:t>Xét cho cùng, chính sự cạnh tranh giữa các luật sư nguyên đơn để đại diện cho cổ đông tạo ra việc nộp các đơn kiện trùng lặp tại nhiều diễn đàn. Bởi vì luật sư nguyên đơn, những người đàm phán một thỏa thuận giải phóng khiếu nại rộng rãi tại một khu vực tài phán, có thể kiểm soát các dàn xếp tiếp theo trong các vụ án được nộp tại các khu vực tài phán khác, các luật sư đại diện cho cổ đông không được bao gồm trong vụ án nộp đầu tiên có động cơ kiện tại một khu vực tài phán khác, thiết lập quyền kiểm soát vụ kiện tại diễn đàn thứ hai, và cố gắng đàm phán một dàn xếp với các bị đơn để giải phóng tất cả các khiếu nại được cáo buộc trong cả hai vụ án. Nói đơn giản, các hãng luật nguyên đơn nộp các đơn kiện sao chép để giành lợi thế với các đối thủ cạnh tranh của họ (những luật sư đã nộp các khiếu nại tương tự thay mặt cho các cổ đông nguyên đơn khác) trong nỗ lực giành được một phần phí luật sư được trao cho luật sư của cổ đông sau khi dàn xếp với các bị đơn. Phó Chánh án Delaware J. Travis Laster mô tả việc tranh giành giữa các luật sư nguyên đơn để lãnh đạo vụ kiện, và các thỏa thuận nhanh chóng của các bên để dàn xếp các vụ kiện sau đó, như một "điệu nhảy Kabuki." Về phần mình, các bị đơn—những người rất ưa thích các dàn xếp toàn cầu, việc bác bỏ tất cả các đơn kiện, và việc giải phóng khiếu nại rộng nhất với chi phí thấp nhất có thể—có động cơ chơi các luật sư nguyên đơn chống lại nhau trong các cuộc đàm phán dàn xếp.</w:t>
      </w:r>
    </w:p>
    <w:p>
      <w:pPr>
        <w:spacing w:after="80"/>
      </w:pPr>
      <w:r>
        <w:rPr>
          <w:b w:val="0"/>
          <w:i w:val="0"/>
        </w:rPr>
        <w:t>Hầu hết các đơn kiện cổ đông phát sinh từ các thương vụ M&amp;A đều được dàn xếp ở giai đoạn sớm của vụ kiện; các bị đơn có động cơ mạnh mẽ để giải quyết các khiếu nại của nguyên đơn trước khi các giao dịch hoàn tất. Hơn nữa, các điều khoản của những dàn xếp như vậy tuân theo một cấu trúc tương tự: để đổi lấy việc giải phóng toàn diện các khiếu nại, công ty đồng ý tiết lộ thêm thông tin về thương vụ, có thể thay đổi một số điều khoản thương vụ, và trả một khoản phí cho luật sư nguyên đơn với số tiền được tòa án phê duyệt. Các bị đơn cũng thường đồng ý rằng họ sẽ không phản đối yêu cầu phí luật sư của nguyên đơn. Một nghiên cứu về các vụ kiện cổ đông thách thức các giao dịch M&amp;A trong năm 2010 và 2011 phát hiện rằng hai phần ba các vụ án đã được dàn xếp, và trong khoảng 83 phần trăm các dàn xếp đó, các bị đơn chỉ đơn giản đồng ý bổ sung thông tin tiết lộ của họ trong bản tuyên bố ủy quyền sáp nhập mà không trả tiền cho công ty hoặc cổ đông của nó. Vào năm 2014, như trong những năm trước, gần 80 phần trăm các dàn xếp chỉ cung cấp thông tin tiết lộ bổ sung, và chỉ có sáu dàn xếp cung cấp một số khoản thanh toán cho cổ đông. Trong chừng mực cổ đông nguyên đơn thách thức hầu hết các vụ sáp nhập công ty đại chúng lớn, nhưng thường thì chính các luật sư nguyên đơn là những người nhận được khoản đền bù tiền tệ duy nhất từ việc giải quyết vụ kiện, các dàn xếp được gọi là "chỉ tiết lộ" của các bên đã bị xem xét kỹ lưỡng hơn.</w:t>
      </w:r>
    </w:p>
    <w:p>
      <w:pPr>
        <w:spacing w:after="80"/>
      </w:pPr>
      <w:r>
        <w:rPr>
          <w:b w:val="0"/>
          <w:i w:val="0"/>
        </w:rPr>
        <w:t>Bị thúc đẩy bởi sự phản đối của cổ đông, các tòa án ở Delaware và các khu vực tài phán khác đã đặt câu hỏi và thậm chí bác bỏ những dàn xếp này. Các tòa án Delaware đã tuyên bố vào năm 2015 rằng họ có ý định xem xét kỹ lưỡng hơn giá trị của các thông tin tiết lộ bổ sung được đàm phán bởi các bên dàn xếp, phạm vi giải phóng khiếu nại của nguyên đơn, và yêu cầu phí của luật sư nguyên đơn. Vào tháng 10 năm 2015, Phó Chánh án Laster đã từ chối phê duyệt một dàn xếp chỉ tiết lộ đối với các đơn kiện cổ đông thách thức thương vụ mua lại Aruba Networks trị giá 2,7 tỷ đô la của Hewlett-Packard, than thở rằng những giải pháp được đề xuất như vậy là một vấn đề "mang tính hệ thống."</w:t>
      </w:r>
    </w:p>
    <w:p>
      <w:pPr>
        <w:spacing w:after="80"/>
      </w:pPr>
      <w:r>
        <w:rPr>
          <w:b w:val="0"/>
          <w:i w:val="0"/>
        </w:rPr>
        <w:t>Những người chỉ trích lập luận rằng chi phí bảo vệ các vụ kiện M&amp;A của cổ đông và phí trả cho luật sư nguyên đơn để dàn xếp các đơn kiện tạo thành một "thuế thương vụ" đánh vào các giao dịch doanh nghiệp, bất kể ban lãnh đạo có vi phạm nghĩa vụ của mình hay tham gia vào bất kỳ gian lận hoặc hành vi sai trái nào khác hay không. Những người phản đối cũng cho rằng các công ty được lợi bằng cách tham gia vào các "dàn xếp ngọt ngào" đối với các khiếu nại có căn cứ chính đáng nhưng không ngăn chặn được sự bất trung ủy thác, sự bất thiện chí, và gian lận. Thật vậy, có nguy cơ rằng các khiếu nại yếu được đền bù quá mức, nhưng cũng có nguy cơ rằng các khiếu nại mạnh được đền bù dưới mức. Không giống như một thỏa hiệp ngang hàng được đàm phán giữa các bên tranh tụng, được cho là một thước đo hợp lý về giá trị của các khiếu nại được đưa ra, cả cổ đông nguyên đơn lẫn các giám đốc/cán bộ bị đơn trong một vụ kiện phái sinh đều không đại diện đầy đủ cho lợi ích của công ty và cổ đông của nó mà vụ kiện được đưa ra thay mặt họ. Các luật sư nguyên đơn có thể kiện và dàn xếp nhanh chóng, không đầu tư nguồn lực vào các cuộc điều tra cần thiết để phát hiện các vi phạm thực sự về lòng trung thành, gian lận, hoặc hành vi sai trái khác nhưng, tuy nhiên, lại đánh đổi quyền của các cổ đông khác để theo đuổi các khiếu nại trực tiếp hoặc phái sinh.</w:t>
      </w:r>
    </w:p>
    <w:p>
      <w:pPr>
        <w:spacing w:after="80"/>
      </w:pPr>
      <w:r>
        <w:rPr>
          <w:b w:val="0"/>
          <w:i w:val="0"/>
        </w:rPr>
        <w:t>Đối với các bị đơn, chừng nào bảo hiểm trách nhiệm của giám đốc và cán bộ tài trợ cho chi phí dàn xếp, họ không cần phải bận tâm về số tiền trả cho luật sư nguyên đơn. Phí pháp lý mà các bị đơn phải chịu thực sự vượt quá khoản tiền thu hồi không đáng kể được trả cho công ty trong nhiều vụ án đã dàn xếp. Tuy nhiên, luật sư bào chữa đã làm hài lòng khách hàng của họ bằng cách đàm phán một thỏa thuận giải phóng toàn cầu toàn diện, loại bỏ rủi ro trách nhiệm pháp lý của các bị đơn khỏi bất kỳ và tất cả các khiếu nại liên quan đến các sự kiện cơ bản, bao gồm bất kỳ lý thuyết và khiếu nại nào mà luật sư nguyên đơn đã không nêu ra trong vụ kiện. Hiểu được động cơ của nguyên đơn được nêu tên, các bị đơn, và luật sư của các bên, không có gì đáng ngạc nhiên khi các bị đơn thường đồng ý trong dàn xếp rằng họ sẽ không đưa ra quan điểm nào về đơn xin phí luật sư của luật sư nguyên đơn.</w:t>
      </w:r>
    </w:p>
    <w:p>
      <w:pPr>
        <w:pStyle w:val="Heading4"/>
      </w:pPr>
      <w:r>
        <w:rPr>
          <w:rFonts w:ascii="Calibri" w:hAnsi="Calibri"/>
          <w:b/>
          <w:i w:val="0"/>
          <w:sz w:val="23"/>
        </w:rPr>
        <w:t>4. Thù lao luật sư</w:t>
      </w:r>
    </w:p>
    <w:p>
      <w:pPr>
        <w:spacing w:after="80"/>
      </w:pPr>
      <w:r>
        <w:rPr>
          <w:b w:val="0"/>
          <w:i w:val="0"/>
        </w:rPr>
        <w:t>Theo “nguyên tắc kiện tụng kiểu Mỹ” truyền thống, mỗi bên tự trả thù lao luật sư và chi phí của mình. Tuy nhiên, để khuyến khích cổ đông khởi kiện những vụ án chính đáng, với nhận thức rằng nỗ lực thực thi của họ sẽ mang lại lợi ích cho công ty chứ không phải cho chính họ, pháp luật ghi nhận một ngoại lệ đối với nguyên tắc kiểu Mỹ. Nếu vụ kiện đã mang lại lợi ích đáng kể cho công ty, dù thông qua phán quyết về nội dung vụ án hay thông qua dàn xếp, luật sư của nguyên đơn có thể kiến nghị tòa án thu hồi thù lao và chi phí từ công ty. Trên thực tế, luật sư của các cổ đông nguyên đơn tiến hành kiện tụng phái sinh với kỳ vọng rằng tòa án sẽ phán quyết cho họ thù lao và chi phí khi vụ án kết thúc (thành công). Tòa án sẽ chấp thuận phán quyết thù lao và chi phí luật sư cho nguyên đơn theo học thuyết lợi ích công ty, nếu: (1) nguyên đơn đã nộp đơn kiện chính đáng; (2) bị đơn đã thực hiện hành động mang lại lợi ích cho công ty hoặc cổ đông của công ty trước khi vụ kiện được giải quyết bằng tư pháp; và (3) lợi ích công ty thu được có mối liên hệ nhân quả với vụ kiện. Bị đơn có nghĩa vụ chứng minh rằng không có mối liên hệ nhân quả giữa vụ kiện và hành động mà công ty đã thực hiện.</w:t>
      </w:r>
    </w:p>
    <w:p>
      <w:pPr>
        <w:spacing w:after="80"/>
      </w:pPr>
      <w:r>
        <w:rPr>
          <w:b w:val="0"/>
          <w:i w:val="0"/>
        </w:rPr>
        <w:t>Nhận thức rằng các quyết định của mình về kiến nghị thù lao ảnh hưởng đến hành vi của luật sư nguyên đơn, “[mục tiêu của] tòa án khi ấn định mức thù lao phải là tránh để luật sư hưởng lợi bất ngờ, đồng thời khuyến khích các vụ kiện chính đáng trong tương lai.” Các thẩm phán thường tính toán số tiền thù lao luật sư trao cho luật sư nguyên đơn theo một trong hai cách. Nếu sử dụng phương pháp tỷ lệ phần trăm trên khoản thu hồi (percentage-of-recovery), thì luật sư thường giữ 20–35 phần trăm khoản phán quyết cho đến một mức nhất định. Vượt quá mức đó—thường là 100 triệu đô la—luật sư vẫn được chia phần trong khoản phán quyết, nhưng ở mức thấp hơn. Cách khác, phương pháp lodestar trao thù lao dựa trên mức giờ hợp lý cho dịch vụ của luật sư và số giờ dành cho vụ án. Mức giờ hợp lý phản ánh kinh nghiệm, danh tiếng và trình độ của luật sư. Đôi khi một hệ số nhân được áp dụng để phản ánh rủi ro đã gánh chịu hoặc chất lượng đặc biệt của công việc trong vụ án. Tất nhiên, phương pháp tỷ lệ phần trăm trên khoản thu hồi có khả năng dẫn đến mức thù lao vượt xa số tiền mà luật sư sẽ kiếm được nếu tính theo giờ. Tòa án có thể áp dụng phương pháp lodestar như một “kiểm tra chéo” về tính hợp lý của mức thù lao dựa trên tỷ lệ phần trăm và giảm mức thù lao được yêu cầu nếu phương pháp tỷ lệ phần trăm dẫn đến khoản thù lao quá cao so với phương pháp lodestar.</w:t>
      </w:r>
    </w:p>
    <w:p>
      <w:pPr>
        <w:spacing w:after="80"/>
      </w:pPr>
      <w:r>
        <w:rPr>
          <w:b w:val="0"/>
          <w:i w:val="0"/>
        </w:rPr>
        <w:t xml:space="preserve">Ngày nay, đa số các tòa phúc thẩm cho phép hoặc, ở một số khu vực tài phán, chỉ đạo các tòa cấp dưới sử dụng phương pháp tỷ lệ phần trăm trên khoản thu hồi để tính thù lao luật sư trong kiện tụng cổ đông. Tòa án Tối cao Delaware đã thông qua cách tiếp cận này trong </w:t>
      </w:r>
      <w:r>
        <w:rPr>
          <w:b w:val="0"/>
          <w:i/>
        </w:rPr>
        <w:t>Sugarland Indus., Inc. v. Thomas</w:t>
      </w:r>
      <w:r>
        <w:rPr>
          <w:b w:val="0"/>
          <w:i w:val="0"/>
        </w:rPr>
        <w:t xml:space="preserve"> và chỉ đạo các tòa án xem xét xem xét năm yếu tố khi trao thù lao cho luật sư nguyên đơn: (1) kết quả đạt được; (2) thời gian và nỗ lực của luật sư; (3) mức độ phức tạp tương đối của vụ kiện; (4) bất kỳ yếu tố bất trắc nào; và (5) vị thế và năng lực của luật sư liên quan. Mặc dù bốn yếu tố </w:t>
      </w:r>
      <w:r>
        <w:rPr>
          <w:b w:val="0"/>
          <w:i/>
        </w:rPr>
        <w:t>Sugarland</w:t>
      </w:r>
      <w:r>
        <w:rPr>
          <w:b w:val="0"/>
          <w:i w:val="0"/>
        </w:rPr>
        <w:t xml:space="preserve"> cuối cùng liên quan đến giá trị dịch vụ pháp lý mà luật sư nguyên đơn cung cấp, các tòa án Delaware đã nhiều lần tuyên bố rằng họ coi yếu tố đầu tiên—giá trị của kết quả đạt được—là quan trọng nhất khi quyết định đơn xin thù lao.</w:t>
      </w:r>
    </w:p>
    <w:p>
      <w:pPr>
        <w:spacing w:after="80"/>
      </w:pPr>
      <w:r>
        <w:rPr>
          <w:b w:val="0"/>
          <w:i w:val="0"/>
        </w:rPr>
        <w:t xml:space="preserve">Thù lao luật sư trao cho luật sư nguyên đơn trong các vụ án phái sinh rất khác nhau. Ở mức cao, Tòa án Tối cao Delaware năm 2012 đã giữ nguyên phán quyết thù lao luật sư tổng cộng hơn 304 triệu đô la cho luật sư nguyên đơn, những người đã giành được phán quyết 2 tỷ đô la thay mặt Southern Peru Copper trong vụ kiện phái sinh chống lại cổ đông kiểm soát và các giám đốc của công ty. Mặc dù phán quyết thù lao của ông chỉ chiếm 15 phần trăm phán quyết (luật sư nguyên đơn ban đầu kiến nghị 22.5 phần trăm khoản thu hồi), Thủ tướng khi đó là Leo Strine đã thực sự chấp thuận thanh toán cho luật sư khoảng 35,000 đô la mỗi giờ tính toán. Tuy nhiên, Tòa án Tối cao từ chối đặt ra mức trần hoặc thiết lập công thức giới hạn thù lao luật sư trong các vụ án lớn, cho rằng Thủ tướng Strine đã áp dụng đúng các yếu tố </w:t>
      </w:r>
      <w:r>
        <w:rPr>
          <w:b w:val="0"/>
          <w:i/>
        </w:rPr>
        <w:t>Sugarland</w:t>
      </w:r>
      <w:r>
        <w:rPr>
          <w:b w:val="0"/>
          <w:i w:val="0"/>
        </w:rPr>
        <w:t xml:space="preserve"> và không lạm dụng quyền tùy nghi của mình xét theo lợi ích phi thường đạt được thay mặt công ty. Sau phán quyết, một số nhà bình luận cho rằng các thẩm phán Delaware trao thù lao luật sư hào phóng hơn để tiếp tục thu hút kiện tụng công ty về bang này. Những người quan sát khác cho rằng các thẩm phán, với tư cách là luật sư, thường có xu hướng trao các phán quyết thù lao hào phóng, ngay cả trong các vụ dàn xếp khi luật sư nguyên đơn dường như chỉ mang lại lợi ích tối thiểu cho công ty.</w:t>
      </w:r>
    </w:p>
    <w:p>
      <w:pPr>
        <w:spacing w:after="80"/>
      </w:pPr>
      <w:r>
        <w:rPr>
          <w:b w:val="0"/>
          <w:i w:val="0"/>
        </w:rPr>
        <w:t xml:space="preserve">Những người chỉ trích các vụ kiện phái sinh đã lập luận trong nhiều thập kỷ rằng những vụ kiện này mang lại lợi ích cho luật sư với cái giá của công ty, cổ đông của họ và lợi ích công cộng. Đặc biệt, các thành viên của giới luật sư nguyên đơn bị cáo buộc lợi dụng hệ thống pháp luật vì lợi ích cá nhân. Trong chừng mực tòa án trả quá cao cho luật sư của cổ đông—chấp thuận mức thù lao lớn hơn mức mà khách hàng được thông tin đầy đủ sẽ đồng ý trả trước khi cho phép khởi kiện—các thẩm phán không chỉ ban cho luật sư nguyên đơn những khoản lợi bất ngờ về tài chính (thù lao không được biện minh bởi lợi ích thu được cho công ty), mà tòa án còn bóp méo động cơ để luật sư nguyên đơn theo đuổi các khiếu nại chính đáng. Các tòa án Delaware, và cả các tòa án khác, hiểu và sẵn sàng thừa nhận rằng các quyết định về đơn xin thù lao của họ ảnh hưởng đến động cơ của luật sư nguyên đơn và do đó, đến chất lượng và số lượng các khiếu nại của cổ đông. Trên thực tế, các chuyên gia đã ghi nhận rằng các phán quyết thù lao tư pháp trong các vụ án phái sinh đã giảm trong những năm gần đây, trái ngược với phán quyết </w:t>
      </w:r>
      <w:r>
        <w:rPr>
          <w:b w:val="0"/>
          <w:i/>
        </w:rPr>
        <w:t>Southern Peru</w:t>
      </w:r>
      <w:r>
        <w:rPr>
          <w:b w:val="0"/>
          <w:i w:val="0"/>
        </w:rPr>
        <w:t>. Các tòa án ở Delaware và nơi khác từ chối hoặc giảm các yêu cầu thù lao khi nỗ lực của luật sư nguyên đơn không mang lại nhiều giá trị cho cổ đông hoặc công ty, hoặc cách khác, khi lợi ích cho công ty phát sinh từ những ảnh hưởng khác ngoài nỗ lực của luật sư nguyên đơn. Ví dụ, trong các dàn xếp chỉ công bố thông tin, mức thù lao trung bình được trao đã giảm, cũng như mức thù lao trung bình được yêu cầu.</w:t>
      </w:r>
    </w:p>
    <w:p>
      <w:pPr>
        <w:spacing w:after="80"/>
      </w:pPr>
      <w:r>
        <w:rPr>
          <w:b w:val="0"/>
          <w:i w:val="0"/>
        </w:rPr>
        <w:t>Nếu xét xử hoặc dàn xếp các khiếu nại phái sinh dẫn đến khoản thu hồi tiền tệ cho công ty, việc tính toán thù lao luật sư có thể sẽ không gây khó khăn cho các tòa án xem xét. Tuy nhiên, tòa án gặp phải những bất định về định giá khi các bên giải quyết tranh chấp bằng cách đồng ý sửa đổi quản trị công ty hoặc công bố bổ sung, như đã thảo luận ở trên. Mặc dù cân nhắc này có thể biện minh cho việc trao thù lao luật sư theo luật Delaware (trong chừng mực những cải cách như vậy mang lại lợi ích cho công ty và/hoặc cổ đông của công ty và xuất phát từ vụ kiện chính đáng của nguyên đơn), tòa án phải vật lộn với cách định giá các lợi ích phi tiền tệ để tính thù lao luật sư nguyên đơn. Phân tích các đơn xin thù lao liên quan đến các dàn xếp chỉ công bố thông tin, các tòa án Delaware ngày càng bày tỏ sự hoài nghi về lợi ích đạt được cho công ty và cổ đông của công ty. Phù hợp với nghiên cứu học thuật cho thấy cổ đông nhận được ít giá trị từ các công bố bổ sung trong các vụ M&amp;A, các thẩm phán tòa án chancery Delaware dường như đang giảm thù lao mà luật sư nguyên đơn yêu cầu, những người đã đàm phán các dàn xếp như vậy.</w:t>
      </w:r>
    </w:p>
    <w:p>
      <w:pPr>
        <w:pStyle w:val="Heading4"/>
      </w:pPr>
      <w:r>
        <w:rPr>
          <w:rFonts w:ascii="Calibri" w:hAnsi="Calibri"/>
          <w:b/>
          <w:i w:val="0"/>
          <w:sz w:val="23"/>
        </w:rPr>
        <w:t>5. Bồi thường và Bảo hiểm</w:t>
      </w:r>
    </w:p>
    <w:p>
      <w:pPr>
        <w:spacing w:after="80"/>
      </w:pPr>
      <w:r>
        <w:rPr>
          <w:b w:val="0"/>
          <w:i w:val="0"/>
        </w:rPr>
        <w:t>Nếu các giám đốc và viên chức công ty phải chịu trách nhiệm cá nhân cho các hành động được thực hiện với tư cách chính thức của họ, trách nhiệm pháp lý chắc chắn sẽ khiến họ phá sản. Nếu không có một hệ thống bồi thường cho người được ủy thác và bảo hiểm chống lại những rủi ro trách nhiệm này, chỉ những cá nhân giàu có nhất và ít ngại rủi ro nhất mới chấp nhận các vị trí quyền lực trong công ty. Bồi thường và bảo hiểm là hai cách chính để dịch vụ công ty cấp cao trở nên khả thi cho nhiều người hơn nhóm hạn chế này.</w:t>
      </w:r>
    </w:p>
    <w:p>
      <w:pPr>
        <w:spacing w:after="80"/>
      </w:pPr>
      <w:r>
        <w:rPr>
          <w:b w:val="0"/>
          <w:i w:val="0"/>
        </w:rPr>
        <w:t>Chắc chắn, Mục 102(b)(7) bảo vệ các giám đốc công ty khỏi trách nhiệm pháp lý do vi phạm nghĩa vụ cẩn trọng. Tuy nhiên, đạo luật không bảo vệ giám đốc khỏi vi phạm nghĩa vụ trung thành. Và mặc dù các viên chức công ty và các giám đốc điều hành không phải giám đốc khác không được hưởng các biện pháp bảo vệ trách nhiệm pháp lý theo luật định được nêu trong Mục 102(b)(7), cả giám đốc và viên chức đều có thể (và thường làm) nhận được các lợi ích bảo vệ từ các thỏa thuận bồi thường, được đưa vào các tài liệu điều lệ và/hoặc hợp đồng lao động, cũng như bảo hiểm trách nhiệm.</w:t>
      </w:r>
    </w:p>
    <w:p>
      <w:pPr>
        <w:spacing w:after="80"/>
      </w:pPr>
      <w:r>
        <w:rPr>
          <w:b w:val="0"/>
          <w:i w:val="0"/>
        </w:rPr>
        <w:t>Công ty có thể bồi thường cho ban quản lý theo Mục 145 của DGCL. Các tiểu mục 145(a) và (b) cho phép công ty bồi thường cho các viên chức, giám đốc, nhân viên và đại lý của công ty về chi phí kiện tụng từ hành động pháp lý thực tế hoặc bị đe dọa phát sinh từ mối quan hệ của họ với công ty. Công ty có quyền lựa chọn bồi thường cho những cá nhân này về thù lao luật sư hợp lý, phán quyết, tiền phạt và chi phí dàn xếp, miễn là hành vi bị kiện của cá nhân tìm kiếm bồi thường được thực hiện với thiện chí và phù hợp với quy tắc phán đoán kinh doanh. Cũng như Mục 102(b)(7), cơ quan lập pháp Delaware không sẵn lòng bảo vệ các viên chức công ty khỏi hành vi thiếu thiện chí khi chính công ty hoặc cổ đông của công ty tìm kiếm biện pháp khắc phục.</w:t>
      </w:r>
    </w:p>
    <w:p>
      <w:pPr>
        <w:spacing w:after="80"/>
      </w:pPr>
      <w:r>
        <w:rPr>
          <w:b w:val="0"/>
          <w:i w:val="0"/>
        </w:rPr>
        <w:t>Sự khác biệt chính giữa Mục 145(a) và Mục 145(b) là Mục 145(b) cấm bồi thường khi bị đơn bị phát hiện có trách nhiệm với chính công ty. Sẽ hợp lý nếu công ty kiện một viên chức để thu hồi tổn thất nếu chính công ty gánh chi phí của phán quyết hoặc dàn xếp. Các viên chức công ty thua kiện về nội dung theo Mục 145(a) vẫn có thể được bồi thường, nhưng đây là vấn đề tùy nghi của hội đồng quản trị. Mục 145(c) bắt buộc bồi thường cho các viên chức và giám đốc công ty thành công về nội dung trong một vụ kiện, miễn là công ty sẵn lòng xác nhận rằng bị đơn đã hành động với thiện chí theo Mục 145(d). Việc xác định thiện chí phải được thực hiện bởi: đa số giám đốc không thuộc vụ kiện hiện tại; một ủy ban giám đốc được chỉ định cho mục đích này; luật sư độc lập; hoặc các cổ đông. Các công ty có thể xác định, thông qua điều lệ hoặc thông qua hợp đồng với từng viên chức, cách thức các thủ tục như vậy sẽ diễn ra. Việc bồi thường bắt buộc này có sẵn trong chừng mực viên chức hoặc giám đốc thành công, nghĩa là nếu một giám đốc hoặc viên chức thành công trong việc bào chữa chống lại một yếu tố của vụ kiện, người đó được quyền bồi thường cho các chi phí liên quan đến khiếu nại đó ngay cả khi bị phát hiện có trách nhiệm theo các khiếu nại khác.</w:t>
      </w:r>
    </w:p>
    <w:p>
      <w:pPr>
        <w:spacing w:after="80"/>
      </w:pPr>
      <w:r>
        <w:rPr>
          <w:b w:val="0"/>
          <w:i w:val="0"/>
        </w:rPr>
        <w:t>Các công ty cũng có quyền lựa chọn tạm ứng chi phí pháp lý cho các viên chức và giám đốc bị đơn. Theo luật Delaware, quyền pháp lý được tạm ứng tách biệt và không phụ thuộc vào quyền được bồi thường. Việc tạm ứng chi phí kiện tụng về cơ bản cung cấp cho bị đơn một hạn mức tín dụng, với kỳ vọng hoàn trả trừ khi bồi thường được áp dụng. Các quy định về tạm ứng được đưa ra trong giấy chứng nhận thành lập, điều lệ công ty và/hoặc trong các hợp đồng điều hành cá nhân. Các công ty phải cẩn thận khi thiết kế các chính sách tạm ứng, vì chi phí bào chữa cho các vụ kiện phái sinh và phiên tòa hình sự đối với các giám đốc điều hành có thể lên tới hàng triệu và thậm chí hàng chục triệu đô la. Mục 145(j) đảm bảo rằng việc bồi thường và tạm ứng được cung cấp theo Mục 145 vẫn tiếp tục ngay cả khi bị đơn đã cắt đứt quan hệ với công ty, ngăn các công ty giảm thiểu chi phí chỉ bằng cách chấm dứt bị đơn. Mục 145(h) cung cấp sự đảm bảo tương tự về tính liên tục cho các quyền được bồi thường và tạm ứng trong trường hợp sáp nhập và mua lại.</w:t>
      </w:r>
    </w:p>
    <w:p>
      <w:pPr>
        <w:spacing w:after="80"/>
      </w:pPr>
      <w:r>
        <w:rPr>
          <w:b w:val="0"/>
          <w:i w:val="0"/>
        </w:rPr>
        <w:t>Bồi thường là một biện pháp bảo vệ quan trọng cho các giám đốc, ngay cả tại các công ty đã mua bảo hiểm cho giám đốc và viên chức. Bảo hiểm D&amp;O có giới hạn trách nhiệm, trong khi bồi thường thực sự chỉ bị giới hạn bởi thực tế tài chính của công ty. Giống như bất kỳ hợp đồng bảo hiểm nào, bảo hiểm D&amp;O chứa nhiều loại trừ và giới hạn. Mặt khác, bồi thường có khả năng được cấp thông qua một quy định rộng rãi trong điều lệ hoặc quy chế công ty, thường ở mức tối đa mà pháp luật cho phép. Bồi thường cũng có thể được đàm phán riêng trong hợp đồng của giám đốc hoặc viên chức, nhưng trong cả hai trường hợp, nó ít có khả năng thay đổi từ năm này sang năm khác. Phạm vi bảo hiểm có khả năng phải được gia hạn mỗi năm, có thể tùy thuộc vào những thay đổi về loại trừ và giới hạn. Trong khi bồi thường bảo vệ giám đốc và viên chức, bảo hiểm bảo vệ chính công ty. Mục 145(g) của đạo luật Delaware cho phép các công ty mua loại bảo hiểm này cho bất kỳ ai “là hoặc đã là giám đốc, viên chức, nhân viên hoặc đại lý của công ty, hoặc đang hoặc đã phục vụ theo yêu cầu của công ty với tư cách giám đốc, viên chức, nhân viên hoặc đại lý của một công ty, hợp danh, liên doanh, quỹ tín thác hoặc doanh nghiệp khác.”</w:t>
      </w:r>
    </w:p>
    <w:p>
      <w:pPr>
        <w:spacing w:after="80"/>
      </w:pPr>
      <w:r>
        <w:rPr>
          <w:b w:val="0"/>
          <w:i w:val="0"/>
        </w:rPr>
        <w:t>Bảo hiểm D&amp;O cá nhân, hay phạm vi bảo hiểm “Side A”, chỉ cung cấp bảo hiểm cho giám đốc và viên chức, không cho chính công ty. Vậy thì tại sao một công ty lại chọn trả phí bảo hiểm có khả năng tốn kém để bảo vệ các viên chức và giám đốc của mình khỏi các vụ kiện được khởi xướng nhằm bồi hoàn cho chính công ty khỏi hành vi sai trái của họ? Cung cấp bảo hiểm để lấp đầy một số khoảng trống trong bảo vệ giúp tăng cường khả năng của công ty trong việc thu hút và giữ chân nhân tài hàng đầu. Các giám đốc điều hành sẽ e ngại tham gia vào một công ty không bảo vệ họ khỏi các vụ kiện của cổ đông bất mãn. Các công ty bồi thường và bảo hiểm cho giám đốc điều hành và giám đốc ở mức tối đa mà pháp luật cho phép có lợi thế cạnh tranh trên thị trường tuyển dụng giám đốc điều hành.</w:t>
      </w:r>
    </w:p>
    <w:p>
      <w:pPr>
        <w:spacing w:after="80"/>
      </w:pPr>
      <w:r>
        <w:rPr>
          <w:b w:val="0"/>
          <w:i w:val="0"/>
        </w:rPr>
        <w:t>Có các lựa chọn bảo hiểm cho bảo hiểm D&amp;O mang lại lợi ích trực tiếp cho công ty, thường được gọi là phạm vi bảo hiểm “entity” hoặc “Side B”. Phạm vi bảo hiểm entity cho phép công ty tự bảo hiểm chống lại cả chi phí bồi thường mà công ty có thể phải chịu và chi phí kiện tụng khi chính công ty là bị đơn trong vụ kiện cổ đông. Loại bảo hiểm này cũng mang lại lợi ích cho cổ đông, vì nó bảo vệ tài sản của công ty thay vì tài sản của từng giám đốc hoặc viên chức. Các công ty bảo hiểm cũng cung cấp các lựa chọn tùy chỉnh cho phép công ty có được hợp đồng bảo hiểm phù hợp nhất với quy mô của mình (các công ty vốn hóa nhỏ có khả năng cần ít bảo hiểm hơn nhiều so với các công ty vốn hóa lớn), hồ sơ rủi ro, hoàn cảnh luật định (40 phần trăm các công ty lớn của Mỹ không được thành lập tại Delaware và do đó có thể đối mặt với các cấu trúc trách nhiệm và bồi thường khác nhau), và ngành (các ngành được quản lý chặt chẽ có thể chịu rủi ro kiện tụng lớn hơn so với các ngành ít được quản lý khác do xác suất hành động của chính phủ cao hơn).</w:t>
      </w:r>
    </w:p>
    <w:p>
      <w:pPr>
        <w:spacing w:after="80"/>
      </w:pPr>
      <w:r>
        <w:rPr>
          <w:b w:val="0"/>
          <w:i w:val="0"/>
        </w:rPr>
        <w:t>Các tập đoàn cần hạn mức bảo hiểm cao (trên 50 triệu đô-la) có thể mua “các tháp bảo hiểm” (towers of coverage) để giới hạn rủi ro cho từng công ty bảo hiểm riêng lẻ. Tháp bảo hiểm thiết lập một hợp đồng bảo hiểm chính (primary policy) thông qua một công ty đồng ý cung cấp một mức bảo hiểm nhất định, sau đó một hoặc nhiều hợp đồng bảo hiểm vượt mức (excess policies) được xếp chồng lên trên hợp đồng chính để tạo ra tổng hạn mức bảo hiểm cao hơn. Ví dụ, nếu hợp đồng chính cung cấp 20 triệu đô-la bảo hiểm và hợp đồng thứ cấp cung cấp thêm 30 triệu đô-la, thì hợp đồng thứ cấp sẽ không phải trả bất cứ khoản nào cho đến khi hạn mức bảo hiểm của hợp đồng chính được sử dụng hết. Điều tương tự cũng áp dụng cho các hợp đồng bậc ba và tiếp tục như vậy trên toàn bộ phạm vi của tháp bảo hiểm. Việc xếp chồng các hợp đồng chính và thứ cấp thành tháp bảo hiểm giúp phân tán rủi ro tổn thất ra nhiều công ty bảo hiểm và tăng số lượng công ty bảo hiểm mà một tập đoàn có thể mua hợp đồng, vì một hạn mức bảo hiểm đơn lẻ có khả năng quá cao không còn áp dụng nữa. Các hợp đồng bảo hiểm D&amp;O cũng có thể bao gồm bảo hiểm “Side C”, cung cấp sự bảo vệ khi chính tập đoàn bị quy trách nhiệm. Đối với các công ty đại chúng, sự bảo vệ này thường bao gồm trách nhiệm pháp lý theo luật chứng khoán.</w:t>
      </w:r>
    </w:p>
    <w:p>
      <w:pPr>
        <w:spacing w:after="80"/>
      </w:pPr>
      <w:r>
        <w:rPr>
          <w:b w:val="0"/>
          <w:i w:val="0"/>
        </w:rPr>
        <w:t>Đối với nhiều công ty đại chúng, nếu không muốn nói là hầu hết, số tiền bảo hiểm có sẵn trong một hợp đồng D&amp;O duy nhất có khả năng không đủ so với mức độ rủi ro trách nhiệm pháp lý đặc biệt lớn. Để có đủ sự bảo vệ, các tập đoàn có thể mua bảo hiểm trách nhiệm vượt mức từ các công ty bảo hiểm khác, về cơ bản là xếp chồng các hợp đồng để cung cấp mức bảo vệ cao hơn. Công ty bảo hiểm chính sẽ trả tối đa một số tiền nhất định, đến mức đó thì bảo hiểm vượt mức sẽ bắt đầu chi trả tối đa đến hạn mức của nó. Nói chung, bảo hiểm vượt mức chỉ được viện đến nếu hạn mức của hợp đồng chính bị vượt qua. Bảo hiểm “Side A” vượt mức thường cung cấp một số bảo vệ bổ sung cho các hành động hoặc sự kiện không được bảo hiểm “Side A” chính chi trả. Các bảo hiểm bổ sung này “hạ xuống” (drop down), nghĩa là chúng sẽ bắt đầu chi trả từ đồng đô-la trách nhiệm đầu tiên khi hợp đồng chính không chi trả cho khiếu nại đó.</w:t>
      </w:r>
    </w:p>
    <w:p>
      <w:pPr>
        <w:spacing w:after="80"/>
      </w:pPr>
      <w:r>
        <w:rPr>
          <w:b w:val="0"/>
          <w:i w:val="0"/>
        </w:rPr>
        <w:t>Không giống như các hình thức bảo hiểm khác (ví dụ như bảo hiểm trách nhiệm chung thương mại), không có hợp đồng D&amp;O chuẩn. Mỗi công ty bảo hiểm có các mẫu hợp đồng khác với mẫu của đối thủ cạnh tranh và hầu hết các hợp đồng đều được thương lượng. Bảo hiểm D&amp;O cũng có khả năng liên quan đến một bên mới trong thực tiễn quản trị doanh nghiệp: công ty bảo hiểm. Các điều khoản hợp đồng cho phép công ty bảo hiểm tham gia vào, và ở một mức độ nào đó kiểm soát, việc bào chữa trong tranh tụng cho các bên được bảo hiểm. Các công ty bảo hiểm cũng có thể phát triển mối quan hệ chặt chẽ với các công ty đang tìm kiếm bảo hiểm để cung cấp dữ liệu rủi ro cho các nhà bảo hiểm (underwriters) của mình.</w:t>
      </w:r>
    </w:p>
    <w:p>
      <w:pPr>
        <w:spacing w:after="80"/>
      </w:pPr>
      <w:r>
        <w:rPr>
          <w:b w:val="0"/>
          <w:i w:val="0"/>
        </w:rPr>
        <w:t>Trước khi phát hành hợp đồng, các công ty bảo hiểm D&amp;O điều tra các công ty nộp đơn. Các công ty bảo hiểm D&amp;O có thể xem xét tình hình tài chính doanh nghiệp, kiểm soát nội bộ, lịch sử tranh tụng của doanh nghiệp, quan hệ cổ đông-hội đồng quản trị-ban điều hành, thực tiễn phòng ngừa tổn thất, tỷ lệ thay đổi nhân sự điều hành, và các biện pháp tuân thủ quy định trong một doanh nghiệp cụ thể để đưa ra mức phí bảo hiểm chính xác. Những cuộc điều tra trước khi ký hợp đồng này giúp công ty bảo hiểm làm quen với các thực tiễn quản lý rủi ro và nhân sự pháp lý mà công ty nộp đơn đang sử dụng. Để được giảm giá, công ty bảo hiểm có thể cung cấp dịch vụ tư vấn về các thực tiễn quản lý rủi ro liên quan đến hành động của ban điều hành và hội đồng quản trị. Hoạt động như vậy có thể giảm rủi ro tổn thất cho cả doanh nghiệp và công ty bảo hiểm, đồng thời cung cấp một đánh giá khách quan về các hệ thống quản trị của công ty.</w:t>
      </w:r>
    </w:p>
    <w:p>
      <w:pPr>
        <w:spacing w:after="80"/>
      </w:pPr>
      <w:r>
        <w:rPr>
          <w:b w:val="0"/>
          <w:i w:val="0"/>
        </w:rPr>
        <w:t>Tuy nhiên, bằng chứng cho thấy các công ty bảo hiểm D&amp;O không nhất thiết điều tra và giám sát hệ thống quản trị doanh nghiệp của các bên được bảo hiểm; cạnh tranh không dựa trên dịch vụ hay lợi ích vận hành trong tương lai mà dựa trên giá phí bảo hiểm. Trên thực tế, một số tập đoàn mua bảo hiểm D&amp;O riêng lẻ nhằm giảm chi phí phí bảo hiểm, chứ không phải để bảo hiểm cho chính tập đoàn trước tổn thất. Các giám đốc điều hành doanh nghiệp có thể không hoan nghênh sự can dự quá mức vào công việc doanh nghiệp từ các bên bên ngoài, miễn là bản thân họ được bảo hiểm.</w:t>
      </w:r>
    </w:p>
    <w:p>
      <w:pPr>
        <w:spacing w:after="80"/>
      </w:pPr>
      <w:r>
        <w:rPr>
          <w:b w:val="0"/>
          <w:i w:val="0"/>
        </w:rPr>
        <w:t>Vào đầu thiên niên kỷ mới, các vụ gian lận tài chính và bê bối liên quan tại Enron, WorldCom, và các công ty đại chúng khác đã dẫn đến các vụ kiện tụng khổng lồ cũng như các vụ án quy định và thậm chí hình sự chống lại các giám đốc, cán bộ điều hành, và các lãnh đạo cấp cao khác. Riêng chi phí bào chữa đã lên tới hàng trăm triệu đô-la. Ví dụ, Jeffrey Skilling đã tích lũy 70 triệu đô-la phí bào chữa trong vụ Enron. Chi phí bào chữa cho cựu CEO HealthSouth Richard Scrushy trong vụ HealthSouth tốn 21 triệu đô-la, và cựu CEO Tyco Dennis Kozlowski phát sinh 26 triệu đô-la chi phí bào chữa. Những khoản chi phí như vậy là đáng kinh ngạc dù tính theo cách nào, nhưng nghĩa vụ thanh toán chúng thường phát sinh vào thời điểm vô cùng biến động—về tài chính và cả những mặt khác—đối với doanh nghiệp. Không có gì ngạc nhiên, khi đó, các cựu giám đốc và cán bộ điều hành có thể thấy mình mâu thuẫn với doanh nghiệp về quyền được bồi hoàn (indemnification) và/hoặc tạm ứng chi phí của họ.</w:t>
      </w:r>
    </w:p>
    <w:p>
      <w:pPr>
        <w:spacing w:after="80"/>
      </w:pPr>
      <w:r>
        <w:rPr>
          <w:b w:val="0"/>
          <w:i w:val="0"/>
        </w:rPr>
        <w:t xml:space="preserve">Bởi vì nhiều điều khoản bồi hoàn của doanh nghiệp chỉ đơn thuần sao chép lại ngôn ngữ của Mục 145, các câu hỏi liên quan đến phạm vi bảo hiểm thường đòi hỏi phải giải thích ngôn ngữ luật định. Mục 145 quy định rằng một tập đoàn </w:t>
      </w:r>
      <w:r>
        <w:rPr>
          <w:b w:val="0"/>
          <w:i/>
        </w:rPr>
        <w:t>có thể</w:t>
      </w:r>
      <w:r>
        <w:rPr>
          <w:b w:val="0"/>
          <w:i w:val="0"/>
        </w:rPr>
        <w:t xml:space="preserve"> bồi hoàn cho bất kỳ người nào phát sinh trách nhiệm pháp lý “</w:t>
      </w:r>
      <w:r>
        <w:rPr>
          <w:b w:val="0"/>
          <w:i/>
        </w:rPr>
        <w:t>do lý do thực tế</w:t>
      </w:r>
      <w:r>
        <w:rPr>
          <w:b w:val="0"/>
          <w:i w:val="0"/>
        </w:rPr>
        <w:t>” rằng người đó là hoặc đã là “</w:t>
      </w:r>
      <w:r>
        <w:rPr>
          <w:b w:val="0"/>
          <w:i/>
        </w:rPr>
        <w:t>giám đốc, cán bộ điều hành, nhân viên hoặc đại lý của tập đoàn</w:t>
      </w:r>
      <w:r>
        <w:rPr>
          <w:b w:val="0"/>
          <w:i w:val="0"/>
        </w:rPr>
        <w:t>” hoặc “</w:t>
      </w:r>
      <w:r>
        <w:rPr>
          <w:b w:val="0"/>
          <w:i/>
        </w:rPr>
        <w:t>đang hoặc đã phục vụ theo yêu cầu của</w:t>
      </w:r>
      <w:r>
        <w:rPr>
          <w:b w:val="0"/>
          <w:i w:val="0"/>
        </w:rPr>
        <w:t xml:space="preserve">” tập đoàn. Nếu có mối liên hệ hoặc kết nối nhân quả giữa bất kỳ thủ tục tố tụng cơ sở nào và tư cách chính thức của cá nhân, thì những thủ tục đó là ‘do lý do thực tế’ rằng người đó là cán bộ điều hành hoặc giám đốc của tập đoàn, bất kể động cơ nào khi thực hiện hành vi đó. </w:t>
      </w:r>
      <w:r>
        <w:rPr>
          <w:b w:val="0"/>
          <w:i/>
        </w:rPr>
        <w:t>Homestore, Inc. v. Tafeeen</w:t>
      </w:r>
      <w:r>
        <w:rPr>
          <w:b w:val="0"/>
          <w:i w:val="0"/>
        </w:rPr>
        <w:t xml:space="preserve"> , 888 A.2d 204, 215 (Del. 2005).</w:t>
      </w:r>
    </w:p>
    <w:p>
      <w:pPr>
        <w:spacing w:after="80"/>
      </w:pPr>
      <w:r>
        <w:rPr>
          <w:b w:val="0"/>
          <w:i w:val="0"/>
        </w:rPr>
        <w:t>Nếu một giám đốc hoặc cán bộ điều hành hiện tại hoặc trước đây “thành công” trong việc bào chữa cho một khiếu nại, thì Mục 145(c) yêu cầu bồi hoàn chi phí. Tuy nhiên, ngay cả điều khoản có vẻ đơn giản này cũng có thể dẫn đến tranh tụng, vì thường không rõ liệu giám đốc hoặc cán bộ điều hành đó có được coi là “thành công” hay không. Khi một đơn khiếu nại bị bác bỏ mà không ảnh hưởng đến quyền khởi kiện lại (without prejudice), có khả năng nó có thể được khởi kiện lại trong tương lai. Tương tự, nguyên đơn thường có nhiều khiếu nại, và việc bác bỏ một khiếu nại không đảm bảo bất kỳ kết quả cụ thể nào đối với các khiếu nại khác.</w:t>
      </w:r>
    </w:p>
    <w:p>
      <w:pPr>
        <w:spacing w:after="80"/>
      </w:pPr>
      <w:r>
        <w:rPr>
          <w:b w:val="0"/>
          <w:i w:val="0"/>
        </w:rPr>
        <w:t xml:space="preserve">Một nguồn tranh chấp khác là từ “bào chữa.” Bào chữa đã được hiểu theo nghĩa rộng, bao gồm cả các biện pháp phòng vệ khẳng định (affirmative defenses) và khiếu nại phản tố (counterclaims). </w:t>
      </w:r>
      <w:r>
        <w:rPr>
          <w:b w:val="0"/>
          <w:i/>
        </w:rPr>
        <w:t>Citadel Holding Corp. v. Roven</w:t>
      </w:r>
      <w:r>
        <w:rPr>
          <w:b w:val="0"/>
          <w:i w:val="0"/>
        </w:rPr>
        <w:t xml:space="preserve"> , 603 A.2d 818 (Del. 1992). Mặc dù về mặt kỹ thuật khiếu nại phản tố là các nguyên nhân khởi kiện riêng biệt, nhưng khiếu nại phản tố phát sinh từ cùng một giao dịch hoặc sự việc phải được trình bày hoặc sẽ bị mất, vì vậy chúng được đưa ra để đánh bại hoặc bù trừ khiếu nại chống lại cán bộ điều hành hoặc giám đốc. Bất chấp cơ sở của phán quyết, các khiếu nại phản tố tùy nghi (permissive counterclaims) không bị loại trừ một cách rõ ràng khỏi “bào chữa.” Từ đó, phân tích trở nên rối rắm hơn nữa, với một số tòa án cho rằng phép thử thực sự cho “bào chữa” là liệu khiếu nại phản tố có đánh bại hoặc bù trừ khiếu nại ban đầu hay không, và các tòa án khác cho rằng tất cả các khiếu nại phản tố bắt buộc (compulsory counterclaims) đều là một phần của việc bào chữa. Tất nhiên, các tập đoàn vẫn có thể tự do sử dụng ngôn ngữ chính xác hơn ngôn ngữ trong Mục 145. Công ty có thể bao gồm hoặc loại trừ một cách rõ ràng các chi phí liên quan đến khiếu nại phản tố.</w:t>
      </w:r>
    </w:p>
    <w:p>
      <w:pPr>
        <w:spacing w:after="80"/>
      </w:pPr>
      <w:r>
        <w:rPr>
          <w:b w:val="0"/>
          <w:i w:val="0"/>
        </w:rPr>
        <w:t>Tranh tụng cũng có thể xảy ra nếu tập đoàn từ chối bồi hoàn cho giám đốc hoặc cán bộ điều hành của mình (thường là cựu giám đốc hoặc cán bộ điều hành). Nói chung, các tòa án Delaware thực thi các thỏa thuận bồi hoàn và tạm ứng chi phí của doanh nghiệp. Thật vậy, theo luật Delaware, một giám đốc hoặc cán bộ điều hành bị từ chối bồi hoàn không chỉ có thể thu hồi khoản bồi hoàn cho phán quyết, tiền phạt, hoặc các chi phí khác đang tranh chấp, mà còn có thể thu hồi phí luật sư và các chi phí khác phát sinh để thu hồi số tiền còn nợ. Quyền được hưởng “phí trên phí” (fees on fees) bị giới hạn bởi mức độ mà giám đốc hoặc cán bộ điều hành thành công trong việc thu hồi từ tập đoàn. Nói cách khác, giám đốc và cán bộ điều hành chỉ có thể thu hồi “phí trên phí” tương ứng với mức độ thành công của họ trong hành động bồi hoàn hoặc tạm ứng chi phí cơ sở.</w:t>
      </w:r>
    </w:p>
    <w:p>
      <w:pPr>
        <w:spacing w:after="80"/>
      </w:pPr>
      <w:r>
        <w:rPr>
          <w:b w:val="0"/>
          <w:i w:val="0"/>
        </w:rPr>
        <w:t>Có hiệu lực từ ngày 1 tháng 8 năm 2011, Đại hội đồng Delaware đã sửa đổi Mục 145(f) để làm rõ rằng các tập đoàn không được làm suy giảm hoặc loại bỏ các quyền bồi hoàn hoặc tạm ứng chi phí một cách hồi tố. Cụ thể, quyền bồi hoàn hoặc tạm ứng chi phí được quy định bởi giấy chứng nhận thành lập hoặc điều lệ công ty không thể bị loại bỏ hoặc làm suy giảm bởi bất kỳ sửa đổi nào đối với các tài liệu đó sau khi xảy ra hành vi hoặc sự thiếu sót mà việc bồi hoàn hoặc tạm ứng chi phí liên quan đến, trừ khi điều khoản đó, vào thời điểm xảy ra hành vi hoặc sự thiếu sót, có sự cho phép rõ ràng đối với việc loại bỏ hoặc giới hạn như vậy. Theo luật hiện hành, do đó, một tập đoàn không thể lách tránh nghĩa vụ bồi hoàn hoặc tạm ứng chi phí được quy định trong một điều khoản của điều lệ bằng cách thông qua, một cách hồi tố, một sửa đổi đối với điều lệ công ty.</w:t>
      </w:r>
    </w:p>
    <w:p>
      <w:pPr>
        <w:spacing w:after="80"/>
      </w:pPr>
      <w:r>
        <w:rPr>
          <w:b w:val="0"/>
          <w:i w:val="0"/>
        </w:rPr>
        <w:t>Vụ án sau đây từ Tòa phúc thẩm Vòng hai (Second Circuit Court of Appeals) khám phá các giới hạn dựa trên chính sách của việc bồi hoàn, khi bị ảnh hưởng bởi các điều khoản thu hồi (clawback) của Đạo luật Sarbanes-Oxley.</w:t>
      </w:r>
    </w:p>
    <w:p>
      <w:pPr>
        <w:pStyle w:val="Heading4"/>
      </w:pPr>
      <w:r>
        <w:rPr>
          <w:rFonts w:ascii="Calibri" w:hAnsi="Calibri"/>
          <w:b/>
          <w:i w:val="0"/>
          <w:sz w:val="23"/>
        </w:rPr>
        <w:t>Cohen v. Viray</w:t>
      </w:r>
    </w:p>
    <w:p>
      <w:pPr>
        <w:spacing w:after="80"/>
      </w:pPr>
      <w:r>
        <w:rPr>
          <w:b w:val="0"/>
          <w:i w:val="0"/>
        </w:rPr>
        <w:t>Tòa phúc thẩm Hoa Kỳ, Vòng hai</w:t>
      </w:r>
      <w:r>
        <w:br/>
      </w:r>
      <w:r>
        <w:rPr>
          <w:b w:val="0"/>
          <w:i w:val="0"/>
        </w:rPr>
        <w:t xml:space="preserve"> 622 F.3d 188 (2010)</w:t>
      </w:r>
    </w:p>
    <w:p>
      <w:pPr>
        <w:spacing w:after="80"/>
      </w:pPr>
      <w:r>
        <w:rPr>
          <w:b w:val="0"/>
          <w:i w:val="0"/>
        </w:rPr>
        <w:t>HALL , THẨM PHÁN VÒNG :</w:t>
      </w:r>
    </w:p>
    <w:p>
      <w:pPr>
        <w:spacing w:after="80"/>
      </w:pPr>
      <w:r>
        <w:rPr>
          <w:b w:val="0"/>
          <w:i w:val="0"/>
        </w:rPr>
        <w:t>Trong kháng cáo, bên can thiệp-kháng cáo chủ yếu lập luận rằng tòa án cấp quận đã sai lầm khi phê duyệt dàn xếp vụ kiện phái sinh của cổ đông được đưa ra thay mặt DHB Industries, Inc. chống lại một số cựu cán bộ điều hành và giám đốc của công ty vì thỏa thuận dàn xếp giải phóng và bồi hoàn một cách không được phép cho cựu Giám đốc điều hành và Giám đốc tài chính của DHB khỏi mọi trách nhiệm pháp lý phát sinh theo § 304 của Đạo luật Sarbanes-Oxley, 15 U.S.C. § 7243. Chúng tôi đồng ý.</w:t>
      </w:r>
    </w:p>
    <w:p>
      <w:pPr>
        <w:spacing w:after="80"/>
      </w:pPr>
      <w:r>
        <w:rPr>
          <w:b w:val="0"/>
          <w:i w:val="0"/>
        </w:rPr>
        <w:t>BỐI CẢNH</w:t>
      </w:r>
    </w:p>
    <w:p>
      <w:pPr>
        <w:spacing w:after="80"/>
      </w:pPr>
      <w:r>
        <w:rPr>
          <w:b w:val="0"/>
          <w:i w:val="0"/>
        </w:rPr>
        <w:t>Chúng tôi chỉ kể lại những sự kiện cần thiết để giải thích phán quyết của mình. Vào mùa thu năm 2005, giá cổ phiếu của DHB Industries, Inc. lao dốc sau khi có thông tin tiết lộ rằng áo giáp do công ty sản xuất có chứa một loại vật liệu kém chất lượng, dễ bị hư hỏng nhanh chóng. Nhiều vụ kiện phái sinh (derivative) và kiện tập thể (class action) sau đó đã được đệ trình chống lại DHB và một số cựu quan chức, giám đốc của công ty. Vào tháng 1 năm 2006, Tòa án Quận Hoa Kỳ cho Quận Đông New York (Thẩm phán Seybert) đã hợp nhất các vụ kiện phái sinh và kiện tập thể, đồng thời chỉ định luật sư đại diện cho bên phái sinh và luật sư đại diện cho bên tập thể. Việc dàn xếp vụ kiện phái sinh đã hợp nhất chính là đối tượng của kháng cáo này, mặc dù Thỏa thuận dàn xếp là một thỏa thuận chung nhằm giải quyết cả vụ kiện phái sinh đã hợp nhất lẫn vụ kiện tập thể đã hợp nhất.</w:t>
      </w:r>
    </w:p>
    <w:p>
      <w:pPr>
        <w:spacing w:after="80"/>
      </w:pPr>
      <w:r>
        <w:rPr>
          <w:b w:val="0"/>
          <w:i w:val="0"/>
        </w:rPr>
        <w:t>Tại tòa án quận, người can thiệp - bên kháng cáo D. David Cohen và Phòng Tố tụng Dân sự thuộc Bộ Tư pháp, sau khi tham vấn với Ủy ban Chứng khoán và Giao dịch (Securities and Exchange Commission), đã trình bày các phản đối đối với Thỏa thuận dàn xếp. Liên quan đến phán quyết của chúng tôi, Cohen và Hoa Kỳ phản đối các điều khoản trong đó DHB đồng ý giải phóng David H. Brooks, cựu Chủ tịch và Giám đốc Điều hành của DHB, và Dawn M. Schlegel, cựu Giám đốc Tài chính của DHB, khỏi mọi trách nhiệm pháp lý theo § 304 của Đạo luật Sarbanes-Oxley, 15 U.S.C. § 7243 (“§ 304”),</w:t>
      </w:r>
    </w:p>
    <w:p>
      <w:pPr>
        <w:spacing w:after="80"/>
      </w:pPr>
      <w:r>
        <w:rPr>
          <w:b w:val="0"/>
          <w:i w:val="0"/>
        </w:rPr>
        <w:t>và bồi thường cho họ trước mọi trách nhiệm pháp lý mà họ có thể phải gánh chịu theo § 304. Bất chấp những phản đối này, vào ngày 8 tháng 7 năm 2008, tòa án quận đã ra phán quyết cuối cùng phê chuẩn Thỏa thuận dàn xếp. Sau đó, tòa án đã ra lệnh chấp thuận đơn xin thù lao luật sư của luật sư đại diện bên phái sinh và bác bỏ đơn xin thù lao luật sư của Cohen. Kháng cáo này được đệ trình sau đó.</w:t>
      </w:r>
    </w:p>
    <w:p>
      <w:pPr>
        <w:spacing w:after="80"/>
      </w:pPr>
      <w:r>
        <w:rPr>
          <w:b w:val="0"/>
          <w:i w:val="0"/>
        </w:rPr>
        <w:t>LỊCH SỬ TỐ TỤNG</w:t>
      </w:r>
    </w:p>
    <w:p>
      <w:pPr>
        <w:spacing w:after="80"/>
      </w:pPr>
      <w:r>
        <w:rPr>
          <w:b w:val="0"/>
          <w:i w:val="0"/>
        </w:rPr>
        <w:t>Đó là vào tháng 12 năm 2006 khi tòa án quận lần đầu tiên được trình bày Thỏa thuận dàn xếp được đề xuất, vốn đã được luật sư đại diện bên phái sinh, luật sư đại diện bên tập thể, các bị đơn được nêu tên và DHB đồng ý. Tháng tiếp theo, Cohen đệ đơn xin can thiệp vào các vụ kiện tập thể và phái sinh đã hợp nhất theo Quy tắc 24(a)(2) của Quy tắc Tố tụng Dân sự Liên bang và, cùng nhiều điều khác, phản đối việc phê chuẩn sơ bộ Thỏa thuận dàn xếp được đề xuất. Cohen sau đó đã nộp một bản ghi nhớ pháp lý phản đối việc phê chuẩn đó và, vào tháng 5 năm 2007, đã xuất hiện tại một phiên điều trần của tòa án được tổ chức để xem xét việc này. Tòa án đã đưa ra phán quyết sơ bộ ủng hộ Thỏa thuận dàn xếp và sau đó ra lệnh tương ứng.</w:t>
      </w:r>
    </w:p>
    <w:p>
      <w:pPr>
        <w:spacing w:after="80"/>
      </w:pPr>
      <w:r>
        <w:rPr>
          <w:b w:val="0"/>
          <w:i w:val="0"/>
        </w:rPr>
        <w:t>Vào tháng 9 năm 2007, Cohen đã nộp các phản đối đối với việc phê chuẩn cuối cùng Thỏa thuận dàn xếp.</w:t>
      </w:r>
    </w:p>
    <w:p>
      <w:pPr>
        <w:spacing w:after="80"/>
      </w:pPr>
      <w:r>
        <w:rPr>
          <w:b w:val="0"/>
          <w:i w:val="0"/>
        </w:rPr>
        <w:t>Vào ngày 1 tháng 10 năm 2007, DHB đã nộp báo cáo tài chính được lập lại cho các năm 2003, 2004 và ba quý đầu tiên của năm 2005. Ba ngày sau, vào ngày 4 tháng 10 năm 2007, DOJ đã kiến nghị tòa án quận theo Đạo luật Công bằng trong Kiện tập thể (Class Action Fairness Act), 28 U.S.C. §§ 1715 et seq., xin gia hạn thời gian để đánh giá Thỏa thuận dàn xếp được đề xuất.</w:t>
      </w:r>
    </w:p>
    <w:p>
      <w:pPr>
        <w:spacing w:after="80"/>
      </w:pPr>
      <w:r>
        <w:rPr>
          <w:b w:val="0"/>
          <w:i w:val="0"/>
        </w:rPr>
        <w:t>Tháng tiếp theo, Hoa Kỳ đã nộp các phản đối đối với Thỏa thuận dàn xếp, chủ yếu với lý do rằng thỏa thuận này: (i) hạn chế các biện pháp khắc phục sẵn có cho chính phủ trong các vụ án hình sự đang chờ xử lý chống lại các bị đơn cá nhân, và (ii) làm suy yếu nỗ lực của SEC nhằm buộc các bị đơn cá nhân phải chịu trách nhiệm hoàn trả lợi nhuận bất chính (disgorgement) theo § 304. Trong các lá thư gửi tòa án quận vào tháng 12 năm 2007 và tháng 6 năm 2008, Luật sư Hoa Kỳ cho Quận Đông New York đã bày tỏ lo ngại về khả năng tìm kiếm việc bồi hoàn liên quan đến các vụ án hình sự đang chờ xử lý và lưu ý rằng khoản đóng góp của Brooks cho Thỏa thuận dàn xếp ít nhất một phần được tài trợ bằng tiền thu được từ giao dịch nội gián (insider trading).</w:t>
      </w:r>
    </w:p>
    <w:p>
      <w:pPr>
        <w:spacing w:after="80"/>
      </w:pPr>
      <w:r>
        <w:rPr>
          <w:b w:val="0"/>
          <w:i w:val="0"/>
        </w:rPr>
        <w:t>Để đáp lại các phản đối của Hoa Kỳ, các bên dàn xếp đã đề nghị bổ sung ngôn ngữ sau vào Thỏa thuận dàn xếp: “Không có nội dung nào trong Thỏa thuận dàn xếp này nhằm hạn chế khả năng của Hoa Kỳ trong việc theo đuổi việc tịch thu, bồi hoàn hoặc phạt tiền trong bất kỳ thủ tục hình sự, dân sự hoặc hành chính nào.” Brooks đặt điều kiện chấp nhận ngôn ngữ được đề xuất của mình vào việc bổ sung cụm từ “ngoại trừ rằng ¶4.7 của [Thỏa thuận dàn xếp] sẽ vẫn giữ nguyên hiệu lực đầy đủ,” qua đó tìm cách đảm bảo rằng Brooks và Schlegel được bồi thường trước trách nhiệm pháp lý theo § 304. Xem chú thích 3, ở trên. Cohen và Hoa Kỳ tiếp tục phản đối Thỏa thuận dàn xếp.</w:t>
      </w:r>
    </w:p>
    <w:p>
      <w:pPr>
        <w:spacing w:after="80"/>
      </w:pPr>
      <w:r>
        <w:rPr>
          <w:b w:val="0"/>
          <w:i w:val="0"/>
        </w:rPr>
        <w:t>Vào tháng 6 năm 2008, tòa án quận đã tổ chức một phiên điều trần để phê chuẩn cuối cùng Thỏa thuận dàn xếp. Cohen và Hoa Kỳ đều xuất hiện để phản đối Thỏa thuận dàn xếp, và mỗi bên đều nhắc lại các phản đối liên quan đến § 304. Như đã nêu, tòa án đã chấp thuận phê chuẩn cuối cùng Thỏa thuận dàn xếp, và vào ngày 8 tháng 7 năm 2008, đã ra phán quyết cuối cùng tương ứng. Đoạn mười hai của phán quyết cuối cùng quy định rằng Thỏa thuận dàn xếp bao gồm một đoạn 4.10 mới, trong đó nêu một phần rằng “[k]hông có nội dung nào trong Thỏa thuận này nhằm hạn chế khả năng của Hoa Kỳ trong việc theo đuổi việc tịch thu, bồi hoàn hoặc phạt tiền trong bất kỳ thủ tục hình sự, dân sự hoặc hành chính nào, ngoại trừ rằng Đoạn 4.7 của Thỏa thuận này [liên quan đến việc bồi thường cho trách nhiệm pháp lý theo § 304] sẽ vẫn giữ nguyên hiệu lực đầy đủ.” . . .</w:t>
      </w:r>
    </w:p>
    <w:p>
      <w:pPr>
        <w:spacing w:after="80"/>
      </w:pPr>
      <w:r>
        <w:rPr>
          <w:b w:val="0"/>
          <w:i w:val="0"/>
        </w:rPr>
        <w:t>THẢO LUẬN</w:t>
      </w:r>
    </w:p>
    <w:p>
      <w:pPr>
        <w:spacing w:after="80"/>
      </w:pPr>
      <w:r>
        <w:rPr>
          <w:b w:val="0"/>
          <w:i w:val="0"/>
        </w:rPr>
        <w:t>Trong kháng cáo, Cohen chủ yếu khẳng định rằng tòa án quận đã sai lầm khi phê chuẩn Thỏa thuận dàn xếp, trao thù lao luật sư cho luật sư đại diện nguyên đơn phái sinh, và bác bỏ đơn xin thù lao luật sư của ông. Vì chúng tôi cho rằng các điều khoản bồi thường và giải phóng trách nhiệm trong Thỏa thuận dàn xếp vi phạm § 304, nên phần thảo luận của chúng tôi chỉ giới hạn ở vấn đề duy nhất đó, và chúng tôi từ chối xem xét các vấn đề còn lại được tranh luận trong kháng cáo.</w:t>
      </w:r>
    </w:p>
    <w:p>
      <w:pPr>
        <w:spacing w:after="80"/>
      </w:pPr>
      <w:r>
        <w:rPr>
          <w:b w:val="0"/>
          <w:i w:val="0"/>
        </w:rPr>
        <w:t>Như một vấn đề sơ bộ, chúng tôi lưu ý rằng không có cơ sở cho gợi ý rằng Cohen đã từ bỏ bất kỳ phản đối nào đối với việc Thỏa thuận dàn xếp bồi thường cho Brooks trước trách nhiệm pháp lý theo § 304 với lý do rằng việc bồi thường vi phạm § 304 và chính sách công. Như đã nêu, Cohen đã nhiều lần đưa ra các phản đối trên những lý do này với tòa án quận. Hơn nữa, lập luận của các bên được kháng cáo rằng các phản đối của Cohen là không đúng thời hạn cũng bị loại trừ, vì lập luận này không được đưa ra tại tòa án quận, và các bên được kháng cáo không khẳng định rằng nó “cần thiết [để chúng tôi dù sao cũng xem xét lập luận đó] để phục vụ ‘lợi ích của công lý.’”</w:t>
      </w:r>
    </w:p>
    <w:p>
      <w:pPr>
        <w:spacing w:after="80"/>
      </w:pPr>
      <w:r>
        <w:rPr>
          <w:b w:val="0"/>
          <w:i/>
        </w:rPr>
        <w:t>Tiêu chuẩn Xem xét</w:t>
      </w:r>
    </w:p>
    <w:p>
      <w:pPr>
        <w:spacing w:after="80"/>
      </w:pPr>
      <w:r>
        <w:rPr>
          <w:b w:val="0"/>
          <w:i w:val="0"/>
        </w:rPr>
        <w:t>Mặc dù tòa án quận thông thường có quyền tùy nghi phê chuẩn một thỏa thuận dàn xếp, chúng tôi có thể xem xét lại quyết định của tòa án đó theo tiêu chuẩn de novo khi thách thức của bên kháng cáo đối với thẩm quyền của tòa án quận trong việc phê chuẩn thỏa thuận dàn xếp đặt ra những vấn đề pháp lý mới. Đây là một trường hợp như vậy. Chúng tôi chưa, và thực sự chưa có tòa án nào, giải quyết liệu bằng thỏa thuận riêng tư, các bên có thể bồi thường cho một CEO hoặc CFO trước trách nhiệm pháp lý do § 304 áp đặt hay không.</w:t>
      </w:r>
    </w:p>
    <w:p>
      <w:pPr>
        <w:spacing w:after="80"/>
      </w:pPr>
      <w:r>
        <w:rPr>
          <w:b w:val="0"/>
          <w:i/>
        </w:rPr>
        <w:t>Mục 304 SOX</w:t>
      </w:r>
    </w:p>
    <w:p>
      <w:pPr>
        <w:spacing w:after="80"/>
      </w:pPr>
      <w:r>
        <w:rPr>
          <w:b w:val="0"/>
          <w:i w:val="0"/>
        </w:rPr>
        <w:t>Trước khi đi đến vấn đề cuối cùng—tức là liệu các điều khoản của Thỏa thuận dàn xếp nhằm giải phóng và bồi thường cho cựu CEO và CFO của DHB khỏi trách nhiệm pháp lý do § 304 áp đặt có vi phạm mục đó hay không—chúng ta phải trước tiên xác định liệu § 304 có cung cấp quyền khởi kiện tư nhân (private cause of action) hay không. Nếu có, SEC sẽ không có cơ sở để cho rằng Thỏa thuận dàn xếp chiếm đoạt thẩm quyền duy nhất của mình trong việc miễn trừ trách nhiệm theo § 304 cho các cá nhân. . . .</w:t>
      </w:r>
    </w:p>
    <w:p>
      <w:pPr>
        <w:spacing w:after="80"/>
      </w:pPr>
      <w:r>
        <w:rPr>
          <w:b w:val="0"/>
          <w:i w:val="0"/>
        </w:rPr>
        <w:t xml:space="preserve">Vòng Ninth Circuit, tòa phúc thẩm duy nhất khác đã trực tiếp đối mặt với vấn đề này, đã phán quyết rằng không tồn tại quyền khởi kiện tư nhân như vậy. </w:t>
      </w:r>
      <w:r>
        <w:rPr>
          <w:b w:val="0"/>
          <w:i/>
        </w:rPr>
        <w:t>Xem In re Digimarc Corp. Derivative Litig.,</w:t>
      </w:r>
      <w:r>
        <w:rPr>
          <w:b w:val="0"/>
          <w:i w:val="0"/>
        </w:rPr>
        <w:t xml:space="preserve"> 549 F.3d 1223, 1233 (9th Cir. 2008). (“[C]húng tôi kết luận rằng mục 304 không tạo ra quyền khởi kiện tư nhân.”). Tòa phúc thẩm Quận Columbia đã đề cập đến vấn đề này trong phần dicta, và đi đến cùng kết luận—rằng không tồn tại quyền khởi kiện tư nhân. </w:t>
      </w:r>
      <w:r>
        <w:rPr>
          <w:b w:val="0"/>
          <w:i/>
        </w:rPr>
        <w:t>Xem Pirelli Armstrong Tire Corp. Retiree Med. Benefits Trust ex rel. Fed. Nat'l Mortg. Ass'n v. Raines,</w:t>
      </w:r>
      <w:r>
        <w:rPr>
          <w:b w:val="0"/>
          <w:i w:val="0"/>
        </w:rPr>
        <w:t xml:space="preserve"> 534 F.3d 779, 793 (D.C. Cir. 2008) (phán quyết rằng quyết định của các giám đốc bị đơn không khởi kiện theo § 304 để buộc CEO và CFO hoàn trả lợi nhuận nằm trong quy tắc phán đoán kinh doanh (business judgment rule), vì “§ 304 không tạo ra quyền khởi kiện tư nhân”).</w:t>
      </w:r>
    </w:p>
    <w:p>
      <w:pPr>
        <w:spacing w:after="80"/>
      </w:pPr>
      <w:r>
        <w:rPr>
          <w:b w:val="0"/>
          <w:i w:val="0"/>
        </w:rPr>
        <w:t xml:space="preserve">Vì ngôn ngữ rõ ràng của đạo luật không trả lời câu hỏi liệu có tồn tại quyền khởi kiện tư nhân theo § 304 hay không, chúng tôi bắt đầu điều tra bằng cách phân tích ý định của Quốc hội. </w:t>
      </w:r>
      <w:r>
        <w:rPr>
          <w:b w:val="0"/>
          <w:i/>
        </w:rPr>
        <w:t>Xem Bellikoff v. Eaton Vance Corp.</w:t>
      </w:r>
      <w:r>
        <w:rPr>
          <w:b w:val="0"/>
          <w:i w:val="0"/>
        </w:rPr>
        <w:t xml:space="preserve"> , 481 F.3d 110, 116 (2d Cir. 2007).</w:t>
      </w:r>
    </w:p>
    <w:p>
      <w:pPr>
        <w:spacing w:after="80"/>
      </w:pPr>
      <w:r>
        <w:rPr>
          <w:b w:val="0"/>
          <w:i w:val="0"/>
        </w:rPr>
        <w:t>Ý định của Quốc hội là nền tảng cho việc liệu có tồn tại quyền khởi kiện tư nhân liên bang đối với một đạo luật liên bang hay không. Nếu không chứng minh được ý định của Quốc hội, thì không tồn tại quyền khởi kiện. Tòa án này phải bắt đầu việc tìm kiếm ý định của Quốc hội từ văn bản và cấu trúc của đạo luật, và thông thường không thể kết luận rằng Quốc hội có ý định tạo ra quyền khởi kiện khi không có quy định nào được nêu rõ ràng.</w:t>
      </w:r>
    </w:p>
    <w:p>
      <w:pPr>
        <w:spacing w:after="80"/>
      </w:pPr>
      <w:r>
        <w:rPr>
          <w:b w:val="0"/>
          <w:i/>
        </w:rPr>
        <w:t>Id</w:t>
      </w:r>
      <w:r>
        <w:rPr>
          <w:b w:val="0"/>
          <w:i w:val="0"/>
        </w:rPr>
        <w:t xml:space="preserve"> . Mục 304 theo các điều khoản của nó yêu cầu các CEO và CFO phải hoàn trả cho công ty của họ mọi khoản tiền thưởng hoặc khoản thù lao tương tự, hoặc mọi lợi nhuận thu được từ việc bán cổ phiếu công ty, trong khoảng thời gian 12 tháng sau một báo cáo tài chính sai lệch, nếu công ty “được yêu cầu lập lại báo cáo kế toán do sự không tuân thủ trọng yếu của [công ty], là kết quả của hành vi sai trái.” 15 U.S.C. § 7243(a). Mục này cũng cho phép SEC miễn trừ “bất kỳ người nào” khỏi nghĩa vụ bắt buộc này, “khi SEC thấy cần thiết và phù hợp.” </w:t>
      </w:r>
      <w:r>
        <w:rPr>
          <w:b w:val="0"/>
          <w:i/>
        </w:rPr>
        <w:t>Id.</w:t>
      </w:r>
      <w:r>
        <w:rPr>
          <w:b w:val="0"/>
          <w:i w:val="0"/>
        </w:rPr>
        <w:t xml:space="preserve"> § 7243(b). Đạo luật không có quy định rõ ràng nào về quyền khởi kiện tư nhân đối với các vi phạm § 304. Do đó, chúng tôi giả định rằng Quốc hội không có ý định tạo ra một quyền như vậy. Hơn nữa, theo § 3(b)(1) của SOX, SEC có thẩm quyền thực thi § 304 theo thẩm quyền của mình để thực thi bất kỳ quy định nào của Đạo luật Giao dịch Chứng khoán năm 1934 (Securities Exchange Act of 1934), 15 U.S.C. § 78u(d)(1).</w:t>
      </w:r>
    </w:p>
    <w:p>
      <w:pPr>
        <w:spacing w:after="80"/>
      </w:pPr>
      <w:r>
        <w:rPr>
          <w:b w:val="0"/>
          <w:i w:val="0"/>
        </w:rPr>
        <w:t>Việc bất kỳ người nào vi phạm Đạo luật này, bất kỳ quy tắc hoặc quy định nào của Ủy ban ban hành theo Đạo luật này, hoặc bất kỳ quy tắc nào của Hội đồng sẽ được xử lý cho mọi mục đích theo cùng cách như vi phạm Đạo luật Giao dịch Chứng khoán năm 1934 (15 U.S.C. 78a et seq.) hoặc các quy tắc và quy định ban hành theo đó, phù hợp với các quy định của Đạo luật này, và bất kỳ người nào như vậy sẽ phải chịu các hình phạt tương tự, và ở mức độ tương tự, như đối với vi phạm Đạo luật đó hoặc các quy tắc hoặc quy định đó.</w:t>
      </w:r>
    </w:p>
    <w:p>
      <w:pPr>
        <w:spacing w:after="80"/>
      </w:pPr>
      <w:r>
        <w:rPr>
          <w:b w:val="0"/>
          <w:i/>
        </w:rPr>
        <w:t>Id.</w:t>
      </w:r>
    </w:p>
    <w:p>
      <w:pPr>
        <w:spacing w:after="80"/>
      </w:pPr>
      <w:r>
        <w:rPr>
          <w:b w:val="0"/>
          <w:i w:val="0"/>
        </w:rPr>
        <w:t xml:space="preserve">Như trong </w:t>
      </w:r>
      <w:r>
        <w:rPr>
          <w:b w:val="0"/>
          <w:i/>
        </w:rPr>
        <w:t>Bellikoff</w:t>
      </w:r>
      <w:r>
        <w:rPr>
          <w:b w:val="0"/>
          <w:i w:val="0"/>
        </w:rPr>
        <w:t xml:space="preserve"> , giả định của chúng tôi rằng Quốc hội không có ý định tạo ra quyền khởi kiện tư nhân được hỗ trợ bởi văn bản và cấu trúc của đạo luật đang được xem xét. </w:t>
      </w:r>
      <w:r>
        <w:rPr>
          <w:b w:val="0"/>
          <w:i/>
        </w:rPr>
        <w:t>Xem id.</w:t>
      </w:r>
      <w:r>
        <w:rPr>
          <w:b w:val="0"/>
          <w:i w:val="0"/>
        </w:rPr>
        <w:t xml:space="preserve"> Rõ ràng từ văn bản của đạo luật rằng § 304 áp đặt nghĩa vụ bắt buộc đối với những người thuộc đối tượng điều chỉnh, xem 15 U.S.C. § 7243(a) (CEO và CFO “shall reimburse” (nhấn mạnh được thêm vào)), và rằng mục này trao cho SEC thẩm quyền miễn trừ bất kỳ người nào khỏi nghĩa vụ hoàn trả cho tổ chức phát hành theo § 304(a), “khi SEC thấy cần thiết và phù hợp.” </w:t>
      </w:r>
      <w:r>
        <w:rPr>
          <w:b w:val="0"/>
          <w:i/>
        </w:rPr>
        <w:t>Id.</w:t>
      </w:r>
      <w:r>
        <w:rPr>
          <w:b w:val="0"/>
          <w:i w:val="0"/>
        </w:rPr>
        <w:t xml:space="preserve"> § 7243(b) (nhấn mạnh được thêm vào). Do đó, Quốc hội chỉ trao cho SEC thẩm quyền miễn trừ các cá nhân khỏi § 304(a), cho thấy rằng chỉ SEC có thẩm quyền đó và các bên khác thì không. Hơn nữa, các quy định khác trong SOX thực sự có cung cấp quyền khởi kiện tư nhân—ví dụ, § 306 quy định rõ ràng việc tạo ra quyền khởi kiện tư nhân để thu hồi lợi nhuận mà các cán bộ và giám đốc kiếm được từ giao dịch nội gián trong các giai đoạn đóng băng quỹ hưu trí. Việc đưa vào một quy định cụ thể về vấn đề này ở nơi khác trong đạo luật “‘cho thấy rằng việc bỏ sót bất kỳ quyền tư nhân rõ ràng nào để thực thi các mục khác là có chủ ý.’” </w:t>
      </w:r>
      <w:r>
        <w:rPr>
          <w:b w:val="0"/>
          <w:i/>
        </w:rPr>
        <w:t>Bellikoff</w:t>
      </w:r>
      <w:r>
        <w:rPr>
          <w:b w:val="0"/>
          <w:i w:val="0"/>
        </w:rPr>
        <w:t xml:space="preserve"> , 481 F.3d at 116. Do đó, chúng tôi cùng với các vòng phúc thẩm khác phán quyết rằng § 304 không tạo ra quyền khởi kiện tư nhân.</w:t>
      </w:r>
    </w:p>
    <w:p>
      <w:pPr>
        <w:spacing w:after="80"/>
      </w:pPr>
      <w:r>
        <w:rPr>
          <w:b w:val="0"/>
          <w:i w:val="0"/>
        </w:rPr>
        <w:t xml:space="preserve">Bây giờ chúng ta chuyển sang vấn đề liệu các điều khoản của Thỏa thuận dàn xếp nhằm giải phóng và bồi thường cho cựu CEO và CFO của DHB khỏi trách nhiệm pháp lý theo § 304 có vi phạm đạo luật đó hay không. Cohen lập luận rằng các điều khoản bồi thường và giải phóng của Thỏa thuận dàn xếp vi phạm SOX và chính sách công “[b]ởi vì Quốc hội đã trao thẩm quyền ‘miễn trừ’ các CEO và CFO khỏi việc áp dụng § 304(a) chỉ cho SEC, và không trao quyền tùy ý đó cho chính các công ty đại chúng,” Appellant's Br. 25, và bởi vì các điều khoản bồi thường và giải phóng “sẽ vô hiệu hóa quyền và biện pháp khắc phục mà Quốc hội đã quy định rõ ràng trong đạo luật.” </w:t>
      </w:r>
      <w:r>
        <w:rPr>
          <w:b w:val="0"/>
          <w:i/>
        </w:rPr>
        <w:t>Id.</w:t>
      </w:r>
      <w:r>
        <w:rPr>
          <w:b w:val="0"/>
          <w:i w:val="0"/>
        </w:rPr>
        <w:t xml:space="preserve"> 27. Hoa Kỳ, với tư cách là amicus, cũng khẳng định tương tự rằng các điều khoản giải phóng và bồi thường của Thỏa thuận dàn xếp là bất hợp pháp và thực sự “[v]ô hiệu hóa” thẩm quyền của SEC trong việc theo đuổi biện pháp khắc phục theo § 304 hoặc cấp miễn trừ khỏi đạo luật. Chúng tôi đồng ý. Tòa án quận đã sai khi phê duyệt các điều khoản của Thỏa thuận dàn xếp yêu cầu DHB giải phóng và bồi thường cho Brooks và Schlegel khỏi mọi trách nhiệm pháp lý được áp đặt theo § 304.</w:t>
      </w:r>
    </w:p>
    <w:p>
      <w:pPr>
        <w:spacing w:after="80"/>
      </w:pPr>
      <w:r>
        <w:rPr>
          <w:b w:val="0"/>
          <w:i w:val="0"/>
        </w:rPr>
        <w:t>Như đã nêu, chỉ SEC có thẩm quyền thực thi § 304, . . . và “miễn trừ” các CEO và CFO khỏi trách nhiệm pháp lý theo § 304. Các điều khoản giải phóng và bồi thường của Thỏa thuận dàn xếp cố gắng đi đường vòng quanh § 304, điều này làm suy yếu vai trò của SEC và không nhất quán với pháp luật. Nếu được duy trì, nó sẽ thực sự ngăn cản biện pháp khắc phục mà SEC được phép theo đuổi. Đúng là SEC có thể ra lệnh hoàn trả lợi nhuận. Tuy nhiên, các điều khoản của thỏa thuận bồi thường sẽ cho phép Brooks và Schlegel chuyển yêu cầu đó cho DHB để họ, với tư cách cá nhân, không phải chịu bất kỳ hình phạt nào cả. Tòa án Tối cao đã phán quyết rằng các thỏa thuận giữa các bên tư nhân không thể cản trở quyền lực của một cơ quan liên bang trong việc theo đuổi lợi ích công cộng trong tố tụng. Ở đây, các điều khoản giải phóng và bồi thường của Thỏa thuận dàn xếp sẽ đạt được chính xác điều đó, đi ngược lại những nỗ lực của Quốc hội nhằm buộc các cán bộ cấp cao của các công ty đại chúng phải chịu trách nhiệm trực tiếp về các hành động của họ đã gây ra sự không tuân thủ trọng yếu các yêu cầu báo cáo tài chính.</w:t>
      </w:r>
    </w:p>
    <w:p>
      <w:pPr>
        <w:spacing w:after="80"/>
      </w:pPr>
      <w:r>
        <w:rPr>
          <w:b w:val="0"/>
          <w:i w:val="0"/>
        </w:rPr>
        <w:t xml:space="preserve">Quyết định của SEC trong việc theo đuổi biện pháp khắc phục theo § 304 không chỉ nhằm mục đích hoàn trả cho một công ty; nó còn thúc đẩy các mục đích công cộng quan trọng. Biện pháp khắc phục theo § 304 là một cơ chế thực thi đảm bảo tính toàn vẹn của thị trường tài chính. Như Tòa án Tối cao mới đây đã nhận xét, Quốc hội đã ban hành SOX sau “một loạt các vụ bê bối kế toán nổi tiếng.” </w:t>
      </w:r>
      <w:r>
        <w:rPr>
          <w:b w:val="0"/>
          <w:i/>
        </w:rPr>
        <w:t>Free Enterprise Fund v. Public Co. Accounting Oversight Bd.</w:t>
      </w:r>
      <w:r>
        <w:rPr>
          <w:b w:val="0"/>
          <w:i w:val="0"/>
        </w:rPr>
        <w:t xml:space="preserve"> , 130 S. Ct. 3138, 3147 (2010). Tóm lại, bản thân các công ty không có thẩm quyền để thực sự miễn trừ các cá nhân khỏi trách nhiệm pháp lý theo § 304.</w:t>
      </w:r>
    </w:p>
    <w:p>
      <w:pPr>
        <w:spacing w:after="80"/>
      </w:pPr>
      <w:r>
        <w:rPr>
          <w:b w:val="0"/>
          <w:i w:val="0"/>
        </w:rPr>
        <w:t xml:space="preserve">Phán quyết của chúng tôi còn được hỗ trợ bởi án lệ của chúng tôi giải quyết các tình huống tương tự theo các đạo luật có thể so sánh. Mặc dù chưa có tòa án nào trước đây giải quyết vấn đề liệu một công ty có thể bồi thường cho một cán bộ thuộc đối tượng áp dụng biện pháp khắc phục theo § 304 hay không, các tòa án đã giải quyết vấn đề bồi thường đối với trách nhiệm pháp lý theo các quy định khác của luật chứng khoán liên bang và đã kết luận rằng không thể cho phép bồi thường khi nó thực sự vô hiệu hóa một đạo luật. Ví dụ, § 29(a) của Đạo luật Giao dịch, quy định rằng bất kỳ “điều kiện, quy định, hoặc điều khoản ràng buộc bất kỳ người nào từ bỏ việc tuân thủ bất kỳ quy định nào của chương này hoặc bất kỳ quy tắc hoặc quy định nào theo đó, hoặc bất kỳ quy tắc nào của một sở giao dịch được yêu cầu theo đó sẽ vô hiệu,” là mang tính hướng dẫn. Tòa án này, viện dẫn § 29(a), đã từ chối “có hiệu lực đối với ngôn ngữ hợp đồng được cho là sự từ bỏ hoặc giải phóng chung đối với trách nhiệm theo Rule 10b-5 hoàn toàn.” </w:t>
      </w:r>
      <w:r>
        <w:rPr>
          <w:b w:val="0"/>
          <w:i/>
        </w:rPr>
        <w:t>Vacold LLC v. Cerami</w:t>
      </w:r>
      <w:r>
        <w:rPr>
          <w:b w:val="0"/>
          <w:i w:val="0"/>
        </w:rPr>
        <w:t xml:space="preserve"> , 545 F.3d 114, 122 (2d Cir. 2008).</w:t>
      </w:r>
    </w:p>
    <w:p>
      <w:pPr>
        <w:spacing w:after="80"/>
      </w:pPr>
      <w:r>
        <w:rPr>
          <w:b w:val="0"/>
          <w:i w:val="0"/>
        </w:rPr>
        <w:t>KẾT LUẬN</w:t>
      </w:r>
    </w:p>
    <w:p>
      <w:pPr>
        <w:spacing w:after="80"/>
      </w:pPr>
      <w:r>
        <w:rPr>
          <w:b w:val="0"/>
          <w:i w:val="0"/>
        </w:rPr>
        <w:t>Vì chúng tôi kết luận rằng các điều khoản bồi thường và giải phóng của Thỏa thuận dàn xếp vi phạm § 304 của Đạo luật Sarbanes-Oxley, chúng tôi không đi đến câu hỏi liệu Thỏa thuận dàn xếp có công bằng, hợp lý và thỏa đáng về mặt nội dung và thủ tục hay không. Chúng tôi cũng không đi đến các vấn đề liên quan đến phí luật sư. Tòa án quận sẽ cần xem xét lại những vấn đề đó trong bất kỳ trường hợp nào, hoặc trong bối cảnh một thỏa thuận dàn xếp đã được sửa đổi hoặc kết quả của tố tụng tiếp theo.</w:t>
      </w:r>
    </w:p>
    <w:p>
      <w:pPr>
        <w:spacing w:after="80"/>
      </w:pPr>
      <w:r>
        <w:rPr>
          <w:b w:val="0"/>
          <w:i w:val="0"/>
        </w:rPr>
        <w:t>Vì những lý do đã nêu, phán quyết của tòa án quận bị HỦY BỎ (VACATED) và vụ án được CHUYỂN TRẢ (REMANDED) về tòa án quận để tiến hành tố tụng phù hợp với ý kiến này.</w:t>
      </w:r>
    </w:p>
    <w:p>
      <w:pPr>
        <w:pStyle w:val="Heading5"/>
      </w:pPr>
      <w:r>
        <w:rPr>
          <w:rFonts w:ascii="Calibri" w:hAnsi="Calibri"/>
          <w:b/>
          <w:i/>
          <w:sz w:val="22"/>
        </w:rPr>
        <w:t>Bình luận và Câu hỏi</w:t>
      </w:r>
    </w:p>
    <w:p>
      <w:pPr>
        <w:spacing w:after="80"/>
      </w:pPr>
      <w:r>
        <w:rPr>
          <w:b w:val="0"/>
          <w:i w:val="0"/>
        </w:rPr>
        <w:t>1. Kể từ những năm 1980, các nhà quản lý và nhà lập pháp liên bang—dựa trên công trình của các nhà kinh tế học và các chuyên gia về thù lao khác—đã thúc ép hội đồng quản trị gắn kết tiền lương của giám đốc điều hành với hiệu quả hoạt động của công ty. Trong Chương 6, chúng ta đã xem xét một số trong vô vàn các luật, quy tắc và quy định điều chỉnh thù lao giám đốc điều hành, bao gồm các yêu cầu công bố thông tin, chuẩn mực kế toán, chính sách thuế và, gần đây nhất, luật trực tiếp yêu cầu cổ đông phê duyệt thù lao giám đốc điều hành bằng các phiếu bầu không ràng buộc ba năm một lần. Thường được áp đặt sau những tiết lộ về hành vi lạm dụng của doanh nghiệp và suy thoái kinh tế, những can thiệp vào các thỏa thuận thù lao của giám đốc điều hành doanh nghiệp, như Mục 304 của SOX, đã làm dấy lên nhiều tranh cãi đáng kể. Sau khi đã nghiên cứu ngôn ngữ của Mục 304 và đọc phán quyết của Tòa án Phúc thẩm Vòng hai giải thích đạo luật này, tại sao Quốc hội lại đưa Mục 304 vào Sarbanes-Oxley? Ngoài việc tìm kiếm sự bồi thường, các giám đốc điều hành doanh nghiệp có thể tránh những tổn thất tiềm tàng theo đạo luật này bằng cách nào?</w:t>
      </w:r>
    </w:p>
    <w:p>
      <w:pPr>
        <w:spacing w:after="80"/>
      </w:pPr>
      <w:r>
        <w:rPr>
          <w:b w:val="0"/>
          <w:i w:val="0"/>
        </w:rPr>
        <w:t>2. Trong chừng mực mà Mục 304 không đề cập đến việc bồi thường cho các giám đốc điều hành, những lập luận nào đã thuyết phục Tòa án Phúc thẩm Vòng hai vô hiệu hóa các điều khoản bồi thường của Thỏa thuận dàn xếp? Áp dụng lý lẽ của tòa án, liệu các công ty có thể sắp xếp hoặc cung cấp bảo hiểm bảo vệ giám đốc điều hành khỏi rủi ro rằng họ sẽ phải mất khoản thù lao dựa trên khuyến khích của mình không? Thay vào đó, liệu các giám đốc điều hành có thể tự mua bảo hiểm để bảo vệ khỏi rủi ro này không? Nếu có, liệu công ty có được phép tăng lương cho giám đốc điều hành để tạo điều kiện cho họ mua bảo hiểm không?</w:t>
      </w:r>
    </w:p>
    <w:p>
      <w:pPr>
        <w:spacing w:after="80"/>
      </w:pPr>
      <w:r>
        <w:rPr>
          <w:b w:val="0"/>
          <w:i w:val="0"/>
        </w:rPr>
        <w:t xml:space="preserve">3. Mục 304 buộc các CEO và CFO phải hoàn trả cho công ty của họ bất kỳ khoản tiền thưởng hoặc thù lao dựa trên cổ phần nào đã nhận, và bất kỳ lợi nhuận nào thu được từ việc bán cổ phiếu, trong vòng mười hai tháng kể từ ngày nộp báo cáo tài chính mà sau đó được lập lại "do sự không tuân thủ trọng yếu của tổ chức phát hành như một hệ quả của hành vi sai trái." Đáng chú ý là Mục 304 không định nghĩa "hành vi sai trái," cũng không nêu rõ hành vi sai trái của ai là nguyên nhân dẫn đến việc lập lại báo cáo (và do đó, dẫn đến việc thu hồi). Sau khi đã đọc phân tích của tòa án trong </w:t>
      </w:r>
      <w:r>
        <w:rPr>
          <w:b w:val="0"/>
          <w:i/>
        </w:rPr>
        <w:t>Cohen v. Viray</w:t>
      </w:r>
      <w:r>
        <w:rPr>
          <w:b w:val="0"/>
          <w:i w:val="0"/>
        </w:rPr>
        <w:t>, lập luận rằng Mục 304 thiết lập một tiêu chuẩn trách nhiệm nghiêm ngặt đối với các CEO và CFO mà công ty của họ đã phát hành báo cáo tài chính được lập lại là gì? Liệu Mục 304 có cho phép thu hồi tiền thưởng, thù lao dựa trên khuyến khích, hoặc tiền thu được từ bán cổ phiếu mà không bị cáo buộc là có liên quan đến, hoặc bị ảnh hưởng bởi, các sai sót trong báo cáo không?</w:t>
      </w:r>
    </w:p>
    <w:p>
      <w:pPr>
        <w:spacing w:after="80"/>
      </w:pPr>
      <w:r>
        <w:rPr>
          <w:b w:val="0"/>
          <w:i w:val="0"/>
        </w:rPr>
        <w:t xml:space="preserve">4. SEC đã không đưa ra bất kỳ vụ án nào theo Mục 304 cho đến năm 2007, năm năm sau khi SOX trở thành luật. Theo nghiên cứu được công bố năm 2011, SEC đã sử dụng Mục 304 rất ít trong gần một thập kỷ sau khi Quốc hội ban hành Sarbanes-Oxley, và khi Ủy ban làm vậy, thường thì họ chỉ khởi xướng hành động thu hồi sau khi các giám đốc điều hành bị nhắm đến đã bị kết án về tội gian lận hình sự. Việc SEC dường như ngần ngại sử dụng Mục 304 có làm suy yếu lập luận chính sách hỗ trợ lý lẽ của Tòa án Phúc thẩm Vòng hai trong </w:t>
      </w:r>
      <w:r>
        <w:rPr>
          <w:b w:val="0"/>
          <w:i/>
        </w:rPr>
        <w:t>Cohen v. Viray</w:t>
      </w:r>
      <w:r>
        <w:rPr>
          <w:b w:val="0"/>
          <w:i w:val="0"/>
        </w:rPr>
        <w:t xml:space="preserve"> không? Bạn có thể nghĩ ra lý do nào khiến Ủy ban có thể chọn bỏ qua các vi phạm đạo luật này không? Bạn có đồng ý với những nhà phê bình lập luận rằng Mục 304 chỉ có tác dụng răn đe nếu SEC sử dụng nó không? Trước việc SEC không đưa ra các vụ án theo Mục 304, liệu Quốc hội có nên sửa đổi đạo luật để cung cấp một quyền khởi kiện tư nhân rõ ràng cho phép cổ đông thực thi đạo luật này không? Tại sao có hoặc tại sao không?</w:t>
      </w:r>
    </w:p>
    <w:p>
      <w:pPr>
        <w:spacing w:after="80"/>
      </w:pPr>
      <w:r>
        <w:rPr>
          <w:b w:val="0"/>
          <w:i w:val="0"/>
        </w:rPr>
        <w:t>5. Khi SEC cuối cùng bắt đầu thực thi Mục 304, họ nhắm đến các CEO và CFO bị cáo buộc có liên quan đến hành vi sai trái gây ra báo cáo tài chính gây nhầm lẫn; thực vậy, SEC cáo buộc rằng các giám đốc điều hành này đã vi phạm các luật chứng khoán khác. Tuy nhiên, ngay sau cuộc khủng hoảng tài chính, SEC đã viện dẫn Mục 304 để thu hồi tiền từ các CEO và CFO không bị cáo buộc có bất kỳ liên quan nào đến hành vi sai trái. Mặc dù các giám đốc điều hành bị buộc tội đã yêu cầu bác bỏ đơn khiếu nại của SEC, lập luận rằng trách nhiệm theo đạo luật đòi hỏi phải có hành vi sai trái, các tòa án liên bang đã không đồng ý. Ví dụ, vào năm 2012, Thẩm phán Tòa án Quận Hoa Kỳ Sam Sparks đã từ chối bác bỏ đơn khiếu nại do SEC đệ trình chống lại CEO và CFO của ArthroCare, nhằm thu hồi thay mặt công ty các khoản tiền thưởng bằng tiền mặt, khuyến khích và thù lao dựa trên cổ phần đã trả cho họ trong các kỳ báo cáo tài chính mà công ty đã lập lại. Cả hai giám đốc điều hành đều không có bất kỳ liên quan nào đến hoặc thậm chí không biết về hành vi sai trái dẫn đến việc lập lại báo cáo. Bác bỏ các lập luận của bị đơn để bác bỏ hành động theo Mục 304, tòa án nhấn mạnh rằng Quốc hội có "những lý do chính sách tốt" để yêu cầu các giám đốc điều hành hoàn trả cho công ty, ngay cả khi không có cáo buộc rằng họ đã thực hiện hành vi sai trái có ý thức:</w:t>
      </w:r>
    </w:p>
    <w:p>
      <w:pPr>
        <w:spacing w:after="80"/>
      </w:pPr>
      <w:r>
        <w:rPr>
          <w:b w:val="0"/>
          <w:i w:val="0"/>
        </w:rPr>
        <w:t>Những người biện hộ cho mức thù lao cực kỳ cao dành cho các giám đốc điều hành doanh nghiệp từ lâu đã biện minh cho khoản lương như vậy bằng cách khẳng định rằng các CEO chấp nhận 'rủi ro lớn', và do đó xứng đáng nhận được phần thưởng lớn. Trong nhiều năm, đây là một câu nói sáo rỗng vô nghĩa, bởi vì luật doanh nghiệp, và các biện pháp tư nhân như việc bồi thường rộng rãi cho các giám đốc điều hành bởi người sử dụng lao động của họ, và các điều khoản của bảo hiểm Giám đốc &amp; Cán bộ, đã đảm bảo rằng bất kỳ 'rủi ro' nào mà những thuyền trưởng dũng cảm của ngành công nghiệp này chấp nhận hầu như không bao giờ ảnh hưởng đến tài chính cá nhân của họ. Khi ban hành Mục 304 của Sarbanes Oxley, Quốc hội đã quyết tâm đưa một mức độ rủi ro thực sự khiêm tốn trở lại phương trình. Đây là một quyết định chính sách, và mặc dù tính công bằng hay sự khôn ngoan của nó có thể được tranh luận, hiệu lực pháp lý của nó thì không thể. Mục 304 tạo ra một động lực mạnh mẽ để các CEO và CFO thực sự coi trọng trách nhiệm doanh nghiệp của mình.</w:t>
      </w:r>
    </w:p>
    <w:p>
      <w:pPr>
        <w:spacing w:after="80"/>
      </w:pPr>
      <w:r>
        <w:rPr>
          <w:b w:val="0"/>
          <w:i/>
        </w:rPr>
        <w:t>SEC v. Baker</w:t>
      </w:r>
      <w:r>
        <w:rPr>
          <w:b w:val="0"/>
          <w:i w:val="0"/>
        </w:rPr>
        <w:t>, 2012 WL 5499497 tại *11 (W.D. Tex. ngày 13 tháng 11 năm 2012).</w:t>
      </w:r>
    </w:p>
    <w:p>
      <w:pPr>
        <w:spacing w:after="80"/>
      </w:pPr>
      <w:r>
        <w:rPr>
          <w:b w:val="0"/>
          <w:i w:val="0"/>
        </w:rPr>
        <w:t>6. Mặc dù SEC sử dụng Mục 304 không thường xuyên, cuộc khủng hoảng tài chính năm 2008 và gói cứu trợ liên bang sau đó cho các tổ chức tài chính đã tạo ra sự ủng hộ phổ biến mới đối với việc chính phủ quản lý thù lao giám đốc điều hành và đặc biệt là các hạn chế đối với tiền lương mà các giám đốc điều hành đương nhiệm hoặc sắp rời đi của các tổ chức tài chính nhận được. Đạo luật Ổn định Kinh tế Khẩn cấp năm 2008, được ban hành vào tháng 10 năm 2008, đã điều chỉnh thù lao giám đốc điều hành tại các tổ chức tài chính đã nhận tiền cứu trợ từ chính phủ liên bang. Đạo luật đó quy định, trong số các chỉ thị khác, việc thu hồi tiền thưởng và thù lao khuyến khích khác được trao dựa trên dữ liệu tài chính không chính xác về mặt trọng yếu.</w:t>
      </w:r>
    </w:p>
    <w:p>
      <w:pPr>
        <w:spacing w:after="80"/>
      </w:pPr>
      <w:r>
        <w:rPr>
          <w:b w:val="0"/>
          <w:i w:val="0"/>
        </w:rPr>
        <w:t>Khi sau đó ban hành Dodd-Frank vào tháng 7 năm 2010, Quốc hội đã mở rộng luật khủng hoảng tài chính để bao quát rộng hơn các giám đốc điều hành công ty đại chúng. Trong số các luật mới khác, Mục 954 của Dodd-Frank, điều khoản "Thu hồi Thù lao được Trao Sai," đã bổ sung Mục 10D vào Đạo luật Giao dịch Chứng khoán năm 1934. Mục 954 yêu cầu SEC ban hành các quy tắc hướng dẫn các công ty đại chúng (niêm yết trên sàn giao dịch) "xây dựng và thực hiện một chính sách" quy định:</w:t>
      </w:r>
    </w:p>
    <w:p>
      <w:pPr>
        <w:spacing w:after="80"/>
      </w:pPr>
      <w:r>
        <w:rPr>
          <w:b w:val="0"/>
          <w:i w:val="0"/>
        </w:rPr>
        <w:t>[R]ằng, trong trường hợp tổ chức phát hành được yêu cầu lập lại báo cáo kế toán do sự không tuân thủ trọng yếu của tổ chức phát hành với bất kỳ yêu cầu báo cáo tài chính nào theo luật chứng khoán, tổ chức phát hành sẽ thu hồi từ bất kỳ giám đốc điều hành hiện tại hoặc trước đây của tổ chức phát hành, người đã nhận thù lao dựa trên khuyến khích (bao gồm quyền chọn cổ phiếu được trao như thù lao) trong khoảng thời gian ba năm trước ngày tổ chức phát hành được yêu cầu lập lại báo cáo kế toán, dựa trên dữ liệu sai lệch, phần vượt quá so với những gì lẽ ra đã được trả cho giám đốc điều hành theo báo cáo kế toán được lập lại.</w:t>
      </w:r>
    </w:p>
    <w:p>
      <w:pPr>
        <w:spacing w:after="80"/>
      </w:pPr>
      <w:r>
        <w:rPr>
          <w:b w:val="0"/>
          <w:i w:val="0"/>
        </w:rPr>
        <w:t>Mục 954 của Dodd-Frank khác với Mục 304 của SOX như thế nào?</w:t>
      </w:r>
    </w:p>
    <w:p>
      <w:pPr>
        <w:spacing w:after="80"/>
      </w:pPr>
      <w:r>
        <w:rPr>
          <w:b w:val="0"/>
          <w:i w:val="0"/>
        </w:rPr>
        <w:t>7. Vào tháng 7 năm 2015, tròn năm năm sau khi Quốc hội ban hành Dodd-Frank, SEC cuối cùng đã đề xuất các quy tắc để thực hiện việc thu hồi thù lao giám đốc điều hành theo Mục 954. Quy tắc 10D-1, như được đề xuất, sẽ cấm các công ty niêm yết bồi thường cho bất kỳ giám đốc điều hành hoặc cựu giám đốc điều hành nào đối với việc mất khoản thù lao được trao sai. Hơn nữa, quy tắc này sẽ cấm công ty thanh toán hoặc hoàn trả cho giám đốc điều hành phí bảo hiểm cho một hợp đồng bảo hiểm bên thứ ba được mua để tài trợ cho các nghĩa vụ thu hồi tiềm tàng. Bạn có nghĩ rằng SEC nên cấm các công ty niêm yết bồi thường cho các giám đốc điều hành của họ và/hoặc tài trợ cho việc mua bảo hiểm để bảo vệ giám đốc điều hành khỏi rủi ro rằng họ phải hoàn trả khoản thù lao vượt mức về cho công ty, như được đề xuất không? Tại sao có hoặc tại sao không? Liệu Quy tắc 10D-1 có nên cũng cấm các công ty bồi thường chi phí kiện tụng của giám đốc điều hành trong các hành động thu hồi không?</w:t>
      </w:r>
    </w:p>
    <w:p>
      <w:pPr>
        <w:pStyle w:val="Heading2"/>
      </w:pPr>
      <w:r>
        <w:rPr>
          <w:rFonts w:ascii="Calibri" w:hAnsi="Calibri"/>
          <w:b/>
          <w:i w:val="0"/>
          <w:sz w:val="32"/>
        </w:rPr>
        <w:t>III. Tranh luận về Kiện tụng Phái sinh</w:t>
      </w:r>
    </w:p>
    <w:p>
      <w:pPr>
        <w:spacing w:after="80"/>
      </w:pPr>
      <w:r>
        <w:rPr>
          <w:b w:val="0"/>
          <w:i w:val="0"/>
        </w:rPr>
        <w:t>Do tính chất đại diện của nó, các vụ kiện phái sinh của cổ đông làm phát sinh các vấn đề về đại lý. Các giám đốc điều hành doanh nghiệp và những nhà phê bình khác đối với việc kiện tụng của cổ đông cho rằng động lực cho các vụ kiện phái sinh đến từ giới luật sư nguyên đơn "tham lam", những luật sư "tống tiền" được thúc đẩy bởi tiềm năng thu hồi phí pháp lý "bất ngờ", những người đệ trình các khiếu nại đáng ngờ chống lại những người được ủy thác của công ty và các cố vấn của họ. Khi việc kiện tụng của cổ đông thực sự mang lại khoản thu hồi tiền tệ cho công ty, những người chỉ trích lập luận, hành động này chỉ đơn giản chuyển tài sản của công ty từ túi này sang túi khác của công ty, trừ đi "phí chuyển nhượng" đáng kể mà các luật sư lấy. Mặc dù bảo hiểm D&amp;O chuyển một số chi phí của các vụ kiện phái sinh từ công ty sang các công ty bảo hiểm, sự sẵn có của bảo hiểm không giải quyết được liệu các vụ kiện phái sinh có thực sự mang lại lợi ích cho công ty và cổ đông của họ hay không. Đoạn trích bài viết sau đây giải thích giá trị đáng ngờ của việc kiện tụng phái sinh.</w:t>
      </w:r>
    </w:p>
    <w:p>
      <w:pPr>
        <w:pStyle w:val="Heading4"/>
      </w:pPr>
      <w:r>
        <w:rPr>
          <w:rFonts w:ascii="Calibri" w:hAnsi="Calibri"/>
          <w:b/>
          <w:i w:val="0"/>
          <w:sz w:val="23"/>
        </w:rPr>
        <w:t>Reinier Kraakman, Hyun Park, &amp; Steven Shavell,</w:t>
      </w:r>
      <w:r>
        <w:br/>
      </w:r>
      <w:r>
        <w:rPr>
          <w:rFonts w:ascii="Calibri" w:hAnsi="Calibri"/>
          <w:b/>
          <w:i w:val="0"/>
          <w:sz w:val="23"/>
        </w:rPr>
        <w:t xml:space="preserve"> </w:t>
      </w:r>
      <w:r>
        <w:rPr>
          <w:rFonts w:ascii="Calibri" w:hAnsi="Calibri"/>
          <w:b/>
          <w:i/>
          <w:sz w:val="23"/>
        </w:rPr>
        <w:t>Khi nào các Vụ kiện Cổ đông vì Lợi ích của Cổ đông?</w:t>
      </w:r>
    </w:p>
    <w:p>
      <w:pPr>
        <w:spacing w:after="80"/>
      </w:pPr>
      <w:r>
        <w:rPr>
          <w:b w:val="0"/>
          <w:i w:val="0"/>
        </w:rPr>
        <w:t>82 Geo. L.J. 1733 (1994)</w:t>
      </w:r>
    </w:p>
    <w:p>
      <w:pPr>
        <w:spacing w:after="80"/>
      </w:pPr>
      <w:r>
        <w:rPr>
          <w:b w:val="0"/>
          <w:i w:val="0"/>
        </w:rPr>
        <w:t>Các vụ kiện của cổ đông là cơ chế chính để thực thi nghĩa vụ ủy thác (fiduciary duties) của các nhà quản lý doanh nghiệp. Những vụ kiện như vậy thường cáo buộc rằng một viên chức hoặc giám đốc đã vi phạm nghĩa vụ trung thành (duty of loyalty) của mình; nói cách khác, rằng nhà quản lý đã thực sự "lừa dối" công ty bằng cách tự giao dịch vì lợi ích bản thân (self-dealing), nhận tiền lại quả (kickbacks), chiếm đoạt cơ hội kinh doanh của công ty (corporate opportunity), lãng phí tài sản công ty, hoặc cố thủ vị trí của mình để tránh bị loại bỏ. Ít thường xuyên hơn, vì khả năng thành công thấp hơn, các vụ kiện cổ đông khẳng định rằng một viên chức hoặc giám đốc đã vi phạm nghĩa vụ cẩn trọng (duty of care) bằng cách gây tổn hại cho công ty thông qua việc sơ suất—hoặc sơ suất nghiêm trọng—không thực hiện phán đoán kinh doanh (business judgment) phù hợp.</w:t>
      </w:r>
    </w:p>
    <w:p>
      <w:pPr>
        <w:spacing w:after="80"/>
      </w:pPr>
      <w:r>
        <w:rPr>
          <w:b w:val="0"/>
          <w:i w:val="0"/>
        </w:rPr>
        <w:t>Hình thức tố tụng của một vụ kiện cổ đông phụ thuộc vào việc liệu các nhà quản lý được cho là đã gây tổn hại cho công ty hay thay vào đó là cho chính các cổ đông ngay từ đầu. Trong trường hợp thông thường, khi tổn thất thuộc về công ty (ví dụ, khi các giám đốc bị cáo buộc tự giao dịch vì lợi ích bản thân), một cổ đông phải kiện "thay mặt" (derivatively) cho công ty. Nếu một vụ kiện thay mặt thành công, mọi khoản thu hồi được sẽ thuộc về công ty, trong khi cổ đông nguyên đơn (hoặc luật sư của anh ta) nhận phí pháp lý từ công ty, thường vượt quá chi phí thực tế phải bỏ ra để theo đuổi vụ kiện. Tuy nhiên, đôi khi việc vi phạm nghĩa vụ của một nhà quản lý lại gây tổn hại trực tiếp cho các cổ đông—chẳng hạn như khi các giám đốc bị cáo buộc đã phê duyệt sai trái việc bán công ty với mức giá không công bằng. Trong trường hợp này, một cổ đông đại chúng có thể kiện trực tiếp với tư cách nguyên đơn được nêu tên thay mặt cho nhóm cổ đông, và mọi khoản thu hồi được sẽ thuộc về nhóm nguyên đơn trực tiếp thay vì thuộc về công ty.</w:t>
      </w:r>
    </w:p>
    <w:p>
      <w:pPr>
        <w:spacing w:after="80"/>
      </w:pPr>
      <w:r>
        <w:rPr>
          <w:b w:val="0"/>
          <w:i w:val="0"/>
        </w:rPr>
        <w:t>Các quy tắc pháp lý hiện đang điều chỉnh cả hai hình thức kiện cổ đông được thảo luận rộng rãi và thường xuyên bị chỉ trích trong các tài liệu pháp lý. Nhiều tác giả đã khám phá các vấn đề liên quan về những vụ kiện cổ đông vô căn cứ ("kiện để tống tiền" - strike suits) và về các dàn xếp "ngọt ngào" (sweetheart settlements) giữa luật sư nguyên đơn và các bị đơn doanh nghiệp, vốn coi nhẹ lợi ích của công ty và của toàn thể cổ đông nói chung. Một phần để đối phó với những vấn đề này, các nhà bình luận cũng đã đề cập đến năng lực so sánh của tòa án và hội đồng quản trị doanh nghiệp trong việc sàng lọc các vụ kiện cổ đông. Cuối cùng, có một dòng tài liệu mới đầy hứa hẹn về các tác động thực nghiệm của những vụ kiện như vậy đối với hiệu quả hoạt động của doanh nghiệp.</w:t>
      </w:r>
    </w:p>
    <w:p>
      <w:pPr>
        <w:spacing w:after="80"/>
      </w:pPr>
      <w:r>
        <w:rPr>
          <w:b w:val="0"/>
          <w:i w:val="0"/>
        </w:rPr>
        <w:t>Tuy nhiên, có phần đáng ngạc nhiên là rất ít tác giả đã điều tra mối quan hệ cơ bản giữa các vụ kiện cổ đông và phúc lợi của cổ đông. Các vụ kiện cổ đông thường được thừa nhận là tạo ra cả những chi phí doanh nghiệp đáng kể lẫn những lợi ích tiềm năng đáng kể. Vậy mà, ngoại trừ trong bối cảnh thảo luận về các khoản thưởng phí cho luật sư nguyên đơn, hầu như không ai đã khám phá xem những tác động đối lập này so sánh với nhau như thế nào.</w:t>
      </w:r>
    </w:p>
    <w:p>
      <w:pPr>
        <w:spacing w:after="80"/>
      </w:pPr>
      <w:r>
        <w:rPr>
          <w:b w:val="0"/>
          <w:i w:val="0"/>
        </w:rPr>
        <w:t>Chúng tôi thực hiện một cuộc điều tra như vậy ở đây, với sự chú ý đặc biệt đến các vụ kiện thay mặt chống lại các nhà quản lý doanh nghiệp. Đóng góp trung tâm của bài viết chúng tôi là việc phát triển một mô hình đối chiếu những hoàn cảnh mà các vụ kiện thay mặt có xu hướng làm tăng giá trị doanh nghiệp với những hoàn cảnh mà các động cơ tức thời của những cổ đông vị kỷ sẽ khiến họ đưa ra các vụ kiện thay mặt.</w:t>
      </w:r>
    </w:p>
    <w:p>
      <w:pPr>
        <w:spacing w:after="80"/>
      </w:pPr>
      <w:r>
        <w:rPr>
          <w:b w:val="0"/>
          <w:i w:val="0"/>
        </w:rPr>
        <w:t xml:space="preserve">Như chúng tôi sẽ trình bày dưới đây, một vụ kiện thay mặt làm tăng giá trị doanh nghiệp trong hai hoàn cảnh: nếu triển vọng bị kiện ngăn chặn được hành vi sai trái, hoặc cách khác, nếu chính vụ kiện mang lại một khoản thu hồi dương sau khi trừ đi mọi chi phí mà công ty phải gánh chịu do hậu quả của vụ kiện. Đây là những hoàn cảnh mà việc kiện nằm trong lợi ích của công ty. Nhưng chúng tôi nhận thấy rằng </w:t>
      </w:r>
      <w:r>
        <w:rPr>
          <w:b w:val="0"/>
          <w:i/>
        </w:rPr>
        <w:t>lợi ích của một cổ đông trong việc đưa ra vụ kiện có thể khác biệt với lợi ích của công ty theo cả hai hướng.</w:t>
      </w:r>
      <w:r>
        <w:rPr>
          <w:b w:val="0"/>
          <w:i w:val="0"/>
        </w:rPr>
        <w:t xml:space="preserve"> Một mặt, một cổ đông có thể quyết định một cách hợp lý là không kiện khi mà sự sẵn lòng kiện sẽ làm tăng giá trị doanh nghiệp. Điều này có thể xảy ra bởi vì, mặc dù việc kiện bị nản lòng bởi một khoản thu hồi kỳ vọng nhỏ so với chi phí tố tụng, triển vọng bị kiện lẽ ra đã có tác dụng ngăn chặn hành vi sai trái tốn kém. Mặt khác, một cổ đông có thể chọn đưa ra một vụ kiện thay mặt khi điều này có khả năng làm giảm giá trị doanh nghiệp. Lý do, về bản chất, là khoản thu hồi kỳ vọng từ các nhà quản lý—vốn thúc đẩy việc kiện—có thể chỉ là một khoản lợi nhuận biểu kiến đối với công ty: nó sẽ được bù trừ, ít nhất một phần, bằng sự gia tăng phí bảo hiểm trách nhiệm, các khoản bồi hoàn mà công ty chi trả thay cho các nhà quản lý, và thù lao của nhà quản lý. Thật vậy, vì những lý do này, chúng tôi chứng minh rằng trong một loạt rộng các chế độ phân bổ chi phí và lợi ích của các vụ kiện thay mặt giữa các cổ đông—bao gồm cả chế độ phí theo tỷ lệ phần trăm điển hình của Mỹ—các động cơ kiện của cổ đông có thể hoặc là quá mức hoặc là không đủ, so với tiêu chí tối đa hóa giá trị doanh nghiệp.</w:t>
      </w:r>
    </w:p>
    <w:p>
      <w:pPr>
        <w:spacing w:after="80"/>
      </w:pPr>
      <w:r>
        <w:rPr>
          <w:b w:val="0"/>
          <w:i w:val="0"/>
        </w:rPr>
        <w:t>Để tránh mọi hiểu lầm, chúng tôi nhấn mạnh ngay từ đầu rằng phân tích của chúng tôi về các động cơ tố tụng không ngụ ý rằng thể chế kiện cổ đông là khiếm khuyết một cách tuyệt đối. Thật vậy, như chúng tôi thảo luận dưới đây, việc nhận diện các vấn đề động cơ trong tố tụng cổ đông cũng gợi ý những biện pháp cải cách khả thi. Nhưng nếu thể chế kiện cổ đông không khiếm khuyết về bản chất, thì nhiều quy tắc pháp lý hiện hành (và được đề xuất) lại duy trì sự lệch lạc động cơ mà chúng tôi mô hình hóa ở đây. Để làm nổi bật tính phổ quát của vấn đề và vị trí của nó trong động cơ của những người khởi xướng tố tụng cổ đông, chúng tôi gọi chung những bên quyết định khởi kiện là "các cổ đông nguyên đơn" (shareholder plaintiffs). Dưới một số chế độ pháp lý, đây là những cổ đông bình thường. Dưới chế độ Mỹ, họ có nhiều khả năng là các luật sư (với các cổ đông danh nghĩa đi kèm) đang tìm kiếm phí pháp lý. Nhưng cả hai nhóm chủ thể đều có thể là cổ đông nguyên đơn theo thuật ngữ của chúng tôi, bởi vì cả hai đều có thể đối mặt với những méo mó tương tự trong động cơ khởi kiện của họ khi được đo lường bằng thước đo là việc tăng giá trị doanh nghiệp.</w:t>
      </w:r>
    </w:p>
    <w:p>
      <w:pPr>
        <w:spacing w:after="80"/>
      </w:pPr>
      <w:r>
        <w:rPr>
          <w:b w:val="0"/>
          <w:i/>
        </w:rPr>
        <w:t>Một mô hình về các vụ kiện thay mặt chống lại các nhà quản lý doanh nghiệp</w:t>
      </w:r>
    </w:p>
    <w:p>
      <w:pPr>
        <w:spacing w:after="80"/>
      </w:pPr>
      <w:r>
        <w:rPr>
          <w:b w:val="0"/>
          <w:i w:val="0"/>
        </w:rPr>
        <w:t>Trong Phần này, chúng tôi xem xét khi nào các vụ kiện thay mặt chống lại các nhà quản lý được kỳ vọng sẽ làm tăng giá trị doanh nghiệp trong mô hình của chúng tôi. Sau đó chúng tôi chỉ ra rằng mặc dù mục tiêu của các cổ đông được giả định là tối đa hóa giá trị doanh nghiệp, các động cơ của họ về việc có kiện hay không có thể không thúc đẩy giá trị doanh nghiệp. Như chúng ta sẽ thấy, lý do thiết yếu cho kết luận này là quyết định có kiện hay không, về bản chất, chỉ được đưa ra sau khi một hành vi sai trái đã được thực hiện, chứ không phải trước đó.</w:t>
      </w:r>
    </w:p>
    <w:p>
      <w:pPr>
        <w:spacing w:after="80"/>
      </w:pPr>
      <w:r>
        <w:rPr>
          <w:b w:val="0"/>
          <w:i w:val="0"/>
        </w:rPr>
        <w:t>Chúng tôi nhấn mạnh rằng phân tích trong Phần này liên quan đến hành vi hợp lý của các cổ đông trong thế giới của mô hình. Khi chúng tôi dự đoán rằng các cổ đông sẽ hành xử theo một cách cụ thể, hoặc khi chúng tôi đưa ra một phán đoán về tính mong muốn (hay không mong muốn) của một kết quả, chúng tôi sẽ chỉ đề cập, theo logic chặt chẽ, đến mô hình mà thôi. Hơn nữa, mô hình này rất tối giản. Nó giả định rằng một công ty hoạt động trong một giai đoạn duy nhất, vào cuối giai đoạn đó hành vi sai trái có thể được phát hiện hoặc không; rằng mọi vụ kiện đều được xét xử; và rằng tiền lương của các nhà quản lý điều chỉnh để phản ánh chính xác các chi phí và lợi ích cá nhân của tố tụng tiềm tàng.</w:t>
      </w:r>
    </w:p>
    <w:p>
      <w:pPr>
        <w:spacing w:after="80"/>
      </w:pPr>
      <w:r>
        <w:rPr>
          <w:b w:val="0"/>
          <w:i/>
        </w:rPr>
        <w:t>Chi phí và lợi ích của các vụ kiện thay mặt</w:t>
      </w:r>
    </w:p>
    <w:p>
      <w:pPr>
        <w:spacing w:after="80"/>
      </w:pPr>
      <w:r>
        <w:rPr>
          <w:b w:val="0"/>
          <w:i w:val="0"/>
        </w:rPr>
        <w:t>Dù bản chất của một khiếu nại thay mặt là gì, việc khởi kiện có thể làm tăng giá trị doanh nghiệp theo hai cách. Thứ nhất, vụ kiện thành công có thể mang lại lợi ích tiền tệ cho các cổ đông: các công ty có thể thu hồi thiệt hại từ những nhà quản lý sai phạm vì những tổn hại trong quá khứ và hoàn tác hoặc ngăn chặn các giao dịch tham nhũng. Thứ hai, việc kiện—hay chính xác hơn là triển vọng bị kiện—có thể gia tăng giá trị doanh nghiệp bằng cách ngăn chặn hành vi sai trái.</w:t>
      </w:r>
    </w:p>
    <w:p>
      <w:pPr>
        <w:spacing w:after="80"/>
      </w:pPr>
      <w:r>
        <w:rPr>
          <w:b w:val="0"/>
          <w:i w:val="0"/>
        </w:rPr>
        <w:t>Mặt khác, các vụ kiện thay mặt áp đặt hai loại chi phí lên các công ty. Thứ nhất, chúng tạo ra chi phí tố tụng. Một công ty và các cổ đông của nó cùng nhau phải trả cho cả việc bào chữa lẫn việc theo đuổi các vụ kiện thay mặt—bằng thời gian và sức lực, cũng như bằng tiền bạc. Thứ hai, các vụ kiện thay mặt có thể làm tăng các chi phí mà công ty phải gánh chịu để thu hút các nhà quản lý. Về lý thuyết, lợi nhuận ròng của một nhà quản lý từ công việc của mình phải bằng một mức "dự trữ" (reservation) nào đó để anh ta sẵn lòng làm việc cho công ty. Do đó, nếu các nhà quản lý đối mặt với rủi ro bị kiện, một công ty phải hoặc cung cấp cho họ bảo hiểm trách nhiệm đầy đủ, hoặc tăng lương của họ lên một khoản bù trừ để khiến họ ở lại với công việc. Hơn nữa, nếu mối đe dọa của một vụ kiện thay mặt ngăn chặn hành vi sai trái mà nếu không thì nhà quản lý sẽ được hưởng lợi, công ty phải tăng lương của anh ta cho tương xứng. Tất nhiên, những điều chỉnh lương thực tế vì lý do này có thể không thường xuyên xảy ra trên các thị trường dịch vụ quản lý thực tế. Tuy nhiên, để rõ ràng, chúng tôi giả định ở đây rằng tiền lương của các nhà quản lý điều chỉnh hoàn toàn theo những tác động dự kiến của các vụ kiện thay mặt.</w:t>
      </w:r>
    </w:p>
    <w:p>
      <w:pPr>
        <w:spacing w:after="80"/>
      </w:pPr>
      <w:r>
        <w:rPr>
          <w:b w:val="0"/>
          <w:i/>
        </w:rPr>
        <w:t>Khi nào các vụ kiện thay mặt làm tăng giá trị doanh nghiệp</w:t>
      </w:r>
    </w:p>
    <w:p>
      <w:pPr>
        <w:spacing w:after="80"/>
      </w:pPr>
      <w:r>
        <w:rPr>
          <w:b w:val="0"/>
          <w:i w:val="0"/>
        </w:rPr>
        <w:t>Để xác định khi nào việc đưa ra các vụ kiện thay mặt sẽ làm tăng giá trị doanh nghiệp, sẽ hữu ích khi xem xét một hành vi vi phạm nghĩa vụ ủy thác giả định. Giả sử rằng các nhà quản lý trong một ngành nhất định có quyền sở hữu trong các công ty cung ứng, những công ty này cố gắng tính giá quá cao cho các sản phẩm của họ đối với các doanh nghiệp. Cụ thể, giả sử rằng các khoản tính giá quá cao được cho phép của một nhà quản lý sẽ khiến một công ty tốn 3.000.000 đô la, trong đó anh ta sẽ kiếm được 1.000.000 đô la với tư cách là đồng sở hữu của nhà cung ứng. Giả sử thêm rằng mức lương dự trữ hiện hành cho các nhà quản lý là 2.000.000 đô la.</w:t>
      </w:r>
    </w:p>
    <w:p>
      <w:pPr>
        <w:spacing w:after="80"/>
      </w:pPr>
      <w:r>
        <w:rPr>
          <w:b w:val="0"/>
          <w:i w:val="0"/>
        </w:rPr>
        <w:t>Nếu không có vụ kiện thay mặt cổ đông nào được đưa ra, một nhà quản lý điển hình sẽ dự tính kiếm được 1.000.000 đô la từ việc tự giao dịch vì lợi ích bản thân. Theo đó, nhà quản lý này sẽ sẵn sàng chấp nhận mức lương chỉ 1.000.000 đô la, thay vì 2.000.000 đô la. Với những giả định này, một công ty sẽ phải chịu tổng chi phí liên quan đến nhà quản lý là 4.000.000 đô la: khoản lỗ 3.000.000 đô la từ việc mua các sản phẩm bị định giá quá cao và 1.000.000 đô la tiền lương.</w:t>
      </w:r>
    </w:p>
    <w:p>
      <w:pPr>
        <w:spacing w:after="80"/>
      </w:pPr>
      <w:r>
        <w:rPr>
          <w:b w:val="0"/>
          <w:i w:val="0"/>
        </w:rPr>
        <w:t>Ngược lại, nếu các cổ đông đưa ra các vụ kiện thay mặt cổ đông, và những vụ kiện này thành công trong việc ngăn chặn các nhà quản lý thực hiện các giao dịch tự giao dịch vì lợi ích bản thân, thì các công ty sẽ ở trong tình trạng tốt hơn. Các công ty sẽ không phải chịu khoản lỗ 3.000.000 đô la từ việc mua các sản phẩm bị định giá quá cao, nhưng sẽ phải trả cho các nhà quản lý 2.000.000 đô la tiền lương. Do đó, tổng chi phí liên quan đến nhà quản lý của một công ty sẽ là 2.000.000 đô la, thay vì 4.000.000 đô la.</w:t>
      </w:r>
    </w:p>
    <w:p>
      <w:pPr>
        <w:spacing w:after="80"/>
      </w:pPr>
      <w:r>
        <w:rPr>
          <w:b w:val="0"/>
          <w:i w:val="0"/>
        </w:rPr>
        <w:t>Lý do khiến các công ty ở trong tình trạng tốt hơn nếu các vụ kiện thay mặt cổ đông ngăn chặn được hành vi sai trái là vì khoản lỗ 3.000.000 đô la mà họ tránh được vượt quá mức tăng 1.000.000 đô la tiền lương mà họ phải trả. Diễn đạt theo cách hơi khác một chút, việc cho phép tự giao dịch vì lợi ích bản thân là một cách kém hiệu quả để các công ty trả cho nhà quản lý 1.000.000 đô la, bởi vì các giao dịch tự giao dịch vì lợi ích bản thân khiến các công ty tốn 3.000.000 đô la tiền thu quá cao; sẽ rẻ hơn cho các công ty nếu trả trực tiếp 1.000.000 đô la tiền lương cho các nhà quản lý của mình và ngăn chặn hành vi tự giao dịch vì lợi ích bản thân. Cũng cần lưu ý rằng khi việc ngăn chặn thành công, sẽ không có vụ tranh tụng thực tế nào về các vụ kiện thay mặt cổ đông (giả sử rằng các vụ kiện chỉ được đưa ra để phản ứng lại hành vi sai trái).</w:t>
      </w:r>
    </w:p>
    <w:p>
      <w:pPr>
        <w:spacing w:after="80"/>
      </w:pPr>
      <w:r>
        <w:rPr>
          <w:b w:val="0"/>
          <w:i w:val="0"/>
        </w:rPr>
        <w:t>Cuối cùng, nếu các cổ đông đưa ra các vụ kiện thay mặt cổ đông mà không ngăn chặn được hành vi sai trái của nhà quản lý, thì các công ty có thể hoặc không thể ở trong tình trạng tốt hơn. Ví dụ, giả sử rằng các cổ đông phát hiện hành vi sai trái trong năm mươi phần trăm trường hợp và nếu hành vi sai trái bị phát hiện, một vụ kiện chắc chắn sẽ thành công. Cũng giả sử rằng khi một vụ kiện thành công, một nhà quản lý vi phạm sẽ phải trả khoản bồi thường thiệt hại là 500.000 đô la và sẽ không phát sinh khoản thu quá cao nào, giúp công ty tiết kiệm 3.000.000 đô la (và tước đi 1.000.000 đô la của nhà quản lý). Khi đó, các nhà quản lý sẽ không bị ngăn chặn: lợi ích kỳ vọng của một nhà quản lý từ việc tự giao dịch vì lợi ích bản thân sẽ là 500.000 đô la (tức là, .5 × 1.000.000 đô la), trong khi hình phạt kỳ vọng của anh ta sẽ ít hơn, là 250.000 đô la (tức là, .5 × 500.000 đô la).</w:t>
      </w:r>
    </w:p>
    <w:p>
      <w:pPr>
        <w:spacing w:after="80"/>
      </w:pPr>
      <w:r>
        <w:rPr>
          <w:b w:val="0"/>
          <w:i w:val="0"/>
        </w:rPr>
        <w:t xml:space="preserve">Trong trường hợp này, khi hành vi sai trái không bị ngăn chặn, vụ kiện ảnh hưởng đến giá trị công ty như thế nào? Bởi vì xác suất là năm mươi phần trăm rằng các cổ đông sẽ đưa ra vụ kiện và công ty sẽ đảo ngược khoản lỗ 3.000.000 đô la và thu được 500.000 đô la tiền bồi thường thiệt hại, lợi ích kỳ vọng của công ty sẽ là 1.750.000 đô la (tức là, 0.5 × 3.500.000 đô la). Nhưng, công ty cũng phải tăng lương cho nhà quản lý của mình thêm 750.000 đô la để bù đắp cho cả khoản mất 500.000 đô la lợi ích kỳ vọng từ việc tự giao dịch vì lợi ích bản thân và trách nhiệm pháp lý kỳ vọng của anh ta là 250.000 đô la. Do đó, lợi ích kỳ vọng ròng cho công ty từ vụ kiện không phải là 1.750.000 đô la, mà chỉ là 1.000.000 đô la, không tính chi phí tranh tụng. Theo đó, nếu chi phí tranh tụng kỳ vọng ít hơn 1.000.000 đô la—nghĩa là, nếu chi phí tranh tụng thực tế ít hơn 2.000.000 đô la—thì các vụ kiện thay mặt cổ đông sẽ làm tăng giá trị công ty, nhưng không phải trong trường hợp ngược lại. Nói chung, các vụ kiện không ngăn chặn được hành vi sai trái thì đáng giá đối với các công ty nếu, và chỉ nếu, chi phí tranh tụng kỳ vọng ít hơn các khoản thu hồi kỳ vọng </w:t>
      </w:r>
      <w:r>
        <w:rPr>
          <w:b w:val="0"/>
          <w:i/>
        </w:rPr>
        <w:t>ròng</w:t>
      </w:r>
      <w:r>
        <w:rPr>
          <w:b w:val="0"/>
          <w:i w:val="0"/>
        </w:rPr>
        <w:t xml:space="preserve"> sau khi trừ đi các trách nhiệm pháp lý kỳ vọng của các nhà quản lý, vốn bằng với mức tăng lương của nhà quản lý (hoặc phí bảo hiểm trách nhiệm). Điểm quan trọng ở đây là một phần khoản thu hồi của công ty—cụ thể là trách nhiệm pháp lý của nhà quản lý—không phải là lợi ích thực tế đối với công ty bởi vì công ty phải bù đắp cho nhà quản lý những tổn thất kỳ vọng của anh ta (hoặc phải chịu phí bảo hiểm trách nhiệm cao hơn).</w:t>
      </w:r>
    </w:p>
    <w:p>
      <w:pPr>
        <w:spacing w:after="80"/>
      </w:pPr>
      <w:r>
        <w:rPr>
          <w:b w:val="0"/>
          <w:i/>
        </w:rPr>
        <w:t>Thị trường cho các nhà quản lý và bảo hiểm D&amp;O</w:t>
      </w:r>
    </w:p>
    <w:p>
      <w:pPr>
        <w:spacing w:after="80"/>
      </w:pPr>
      <w:r>
        <w:rPr>
          <w:b w:val="0"/>
          <w:i w:val="0"/>
        </w:rPr>
        <w:t>Mô hình của chúng tôi giả định một thị trường hoạt động tốt cho các dịch vụ của những nhà quản lý trung lập với rủi ro, những người yêu cầu (và nhận được) khoản bồi thường đầy đủ trước (ex ante) cho các chi phí cá nhân kỳ vọng và lợi ích bị mất đi phát sinh từ trách nhiệm pháp lý tiềm tàng. Do đó, một vấn đề quan trọng liên quan đến việc các khoản thu hồi từ các nhà quản lý—cũng như các lợi ích bất chính mà họ từ bỏ—thực sự được các công ty bù đắp thông qua bảo hiểm, bồi thường hoặc tiền lương ở mức độ nào.</w:t>
      </w:r>
    </w:p>
    <w:p>
      <w:pPr>
        <w:spacing w:after="80"/>
      </w:pPr>
      <w:r>
        <w:rPr>
          <w:b w:val="0"/>
          <w:i w:val="0"/>
        </w:rPr>
        <w:t>Nhìn trước tiên vào các khoản thu hồi kỳ vọng từ các nhà quản lý trong các vụ kiện thay mặt cổ đông, câu trả lời có vẻ khá rõ ràng. Các công ty bảo hiểm trách nhiệm pháp lý hấp thụ phần lớn các tổn thất thực tế trong các vụ kiện của cổ đông, điều này ngụ ý mạnh mẽ rằng các công ty phải trả một cách gián tiếp cho phần lớn chi phí kỳ vọng từ trách nhiệm pháp lý của các nhà quản lý. Chắc chắn rằng, các cổ đông trong thế giới đơn giản của mô hình chúng tôi sẽ thích bù đắp cho các nhà quản lý các chi phí trách nhiệm pháp lý kỳ vọng của họ dưới hình thức tăng lương hơn là bảo hiểm được trợ cấp. Bảo hiểm chỉ hấp dẫn trong thế giới thực, nơi các nhà quản lý e ngại rủi ro và các tòa án đôi khi mắc sai lầm khi áp đặt trách nhiệm pháp lý. Nhưng hình thức của chi phí trước (ex ante) mà các nhà quản lý áp đặt lên công ty thông qua trách nhiệm pháp lý tiềm tàng—dù là các khoản thanh toán cho nhà quản lý hay cho công ty bảo hiểm—không làm thay đổi kết luận của chúng tôi. Nếu phí bảo hiểm mà các công ty trả phản ánh gần đúng các chi phí trách nhiệm pháp lý của các công ty bảo hiểm, thì các công ty không thể thu được lợi ích theo bất kỳ nghĩa hệ thống nào khi họ thu hồi từ các công ty bảo hiểm trách nhiệm pháp lý. Và, rõ ràng, các công ty không thể thu được lợi ích khi họ phải bồi thường các chi phí trách nhiệm pháp lý của các nhà quản lý của mình, ngay cả khi họ được bảo hiểm chống lại các chi phí bồi thường đó.</w:t>
      </w:r>
    </w:p>
    <w:p>
      <w:pPr>
        <w:spacing w:after="80"/>
      </w:pPr>
      <w:r>
        <w:rPr>
          <w:b w:val="0"/>
          <w:i w:val="0"/>
        </w:rPr>
        <w:t>Tất nhiên, bảo hiểm không thể bảo vệ các nhà quản lý khỏi mọi tổn thất từ vụ kiện, cũng không thể hoàn trả các khoản lợi ích bất chính mà các nhà quản lý từ bỏ dưới mối đe dọa của vụ kiện. Câu hỏi còn lại, do đó, là liệu tiền lương của các nhà quản lý có tăng thêm bằng giá trị kỳ vọng của những tổn thất không thể bảo hiểm này hay không. Mặc dù các nhà quản lý, những người dự kiến sẽ dành thời gian và công sức để bảo vệ bản thân và danh tiếng của mình trong các vụ kiện thay mặt cổ đông, có thể sẽ muốn có một chút tăng lương như là khoản bồi thường, nhưng thật đáng nghi ngờ rằng tiền lương sẽ tăng lên để bù đắp cho các nhà quản lý những khoản lợi ích tham nhũng mà họ bị từ chối bởi mối đe dọa của vụ kiện. Có một số lý do cho sự hoài nghi như vậy.</w:t>
      </w:r>
    </w:p>
    <w:p>
      <w:pPr>
        <w:spacing w:after="80"/>
      </w:pPr>
      <w:r>
        <w:rPr>
          <w:b w:val="0"/>
          <w:i w:val="0"/>
        </w:rPr>
        <w:t>Thứ nhất, chỉ một thiểu số các nhà quản lý có thể thuộc loại người sẽ tham gia vào hành vi sai trái có chủ ý. Nếu những nhà quản lý này thương lượng công khai về những lợi ích từ hành vi sai trái mà họ sẽ được hưởng khi không có mối đe dọa của các vụ kiện thay mặt cổ đông, họ sẽ tiết lộ sự không trung thực của mình và do đó mời gọi sự soi xét hoặc sa thải không mong muốn. Thứ hai, việc thương lượng rõ ràng về những lợi ích từ hành vi sai trái có thể phản ánh xấu về công ty nếu, như có vẻ có khả năng, các cổ đông nghi ngờ công ty đang dung túng cho hành vi vô đạo đức mà lẽ ra phải bị trừng phạt. Do đó, công ty có thể sẽ tránh thương lượng rõ ràng về những lợi ích từ hành vi sai trái. Thứ ba, các cơ hội cho hành vi sai trái có thể là những sự kiện rời rạc, có xác suất thấp. Nếu vậy, những nhà quản lý không trung lập với rủi ro sẽ chỉ gán giá trị nhỏ cho những cơ hội như vậy. Ví dụ, giá trị mà một nhà quản lý sẽ gán cho một cơ hội hai phần trăm để kiếm thêm 100.000 đô la thông qua hành vi sai trái có thể chỉ là vài trăm đô la, ít hơn đáng kể so với giá trị kỳ vọng của nó là 2.000 đô la. Do đó, ngay cả những điều chỉnh lương đầy đủ cho những cơ hội như vậy cũng sẽ nhỏ so với giá trị kỳ vọng của chúng. Cùng nhau, chúng tôi nghi ngờ rằng ba yếu tố này thường ngăn cản tiền lương tăng lên để bù đắp cho giá trị kỳ vọng của các khoản thu hồi không được bảo hiểm chống lại các nhà quản lý.</w:t>
      </w:r>
    </w:p>
    <w:p>
      <w:pPr>
        <w:spacing w:after="80"/>
      </w:pPr>
      <w:r>
        <w:rPr>
          <w:b w:val="0"/>
          <w:i w:val="0"/>
        </w:rPr>
        <w:t>Do đó, chúng tôi tin rằng mô hình của chúng tôi có thể phóng đại các chi phí trước (ex ante) đối với công ty khi áp đặt trách nhiệm pháp lý lên các nhà quản lý. Các vụ kiện của cổ đông có thể áp đặt một số chi phí lên các nhà quản lý mà nên được tính là lợi ích cho các công ty bởi vì chúng không được bù đắp bằng các chi phí của công ty; những lợi ích bất chính cho các nhà quản lý bị ngăn chặn bởi triển vọng của vụ kiện có thể thuộc loại này, cũng như các khoản thu hồi tiền tệ không thể bảo hiểm không thường xuyên từ các nhà quản lý. Nhưng trong thế giới thực, cũng như trong mô hình, các công ty trả trước (ex ante) bằng phí bảo hiểm cho phần lớn các khoản thu hồi tiền tệ của chính họ từ các vụ kiện thay mặt cổ đông. Trong mọi trường hợp, ở mức độ mà mô hình của chúng tôi phóng đại các chi phí trước (ex ante) đối với công ty khi áp đặt trách nhiệm pháp lý lên các nhà quản lý (hoặc khi từ chối họ những lợi ích bất chính), các động cơ khuyến khích tranh tụng không nhất thiết bị bóp méo ít hơn trong thế giới thực. Thay vào đó, điều xảy ra là sự thay đổi về hình thức bóp méo. So với các kết quả mà chúng tôi kỳ vọng từ mô hình, các cổ đông sẽ đưa ra các vụ kiện làm giảm giá trị ít thường xuyên hơn, nhưng họ sẽ thất bại trong việc đưa ra các vụ kiện làm tăng giá trị thường xuyên hơn (bởi vì giá trị của việc ngăn chặn đối với công ty lớn hơn so với trong mô hình).</w:t>
      </w:r>
    </w:p>
    <w:p>
      <w:pPr>
        <w:spacing w:after="80"/>
      </w:pPr>
      <w:r>
        <w:rPr>
          <w:b w:val="0"/>
          <w:i/>
        </w:rPr>
        <w:t>Cải cách phí, các vấn đề đại diện và bảo hiểm D&amp;O</w:t>
      </w:r>
    </w:p>
    <w:p>
      <w:pPr>
        <w:spacing w:after="80"/>
      </w:pPr>
      <w:r>
        <w:rPr>
          <w:b w:val="0"/>
          <w:i w:val="0"/>
        </w:rPr>
        <w:t>Một đề xuất chỉ trao thù lao luật sư khi các vụ kiện có vẻ làm tăng giá trị giải quyết các vấn đề động cơ khuyến khích trong tranh tụng của cổ đông, vốn khác biệt về mặt logic với các vấn đề đại diện được thảo luận rộng rãi trong tài liệu. Do đó, việc trao thù lao như chúng tôi đề xuất sẽ không trực tiếp ngăn chặn các vụ kiện phù phiếm hoặc các dàn xếp thông đồng. Nhưng một quy tắc thù lao được sửa đổi có thể giảm thiểu một cách hợp lý cả hai vấn đề đại diện bằng cách thay đổi động cơ khuyến khích của các luật sư nguyên đơn. Các vụ kiện phù phiếm mà chỉ mang lại, nhiều nhất, những dàn xếp bảo hiểm nhỏ sẽ không mang lại khoản thu hồi ròng nào theo phân tích của chúng tôi, và do đó không có phần thưởng thù lao nào. Tương tự, các dàn xếp thông đồng của các vụ kiện có căn cứ mà khiến các công ty bảo hiểm tài trợ cho các dàn xếp lớn mà không trừng phạt các nhà quản lý sẽ không tạo ra lợi ích ngăn chặn cũng như không có khoản thu hồi ròng nào cho công ty. Kết quả là, các luật sư nguyên đơn sẽ từ chối những dàn xếp như vậy. Theo đề xuất của chúng tôi, họ chỉ có thể kiếm được thù lao bằng cách áp đặt các hình phạt thực sự lên các nhà quản lý vi phạm hoặc thu được các khoản thu hồi không được bảo hiểm, dù bằng cách ra tòa hay bằng cách thương lượng các dàn xếp có hiệu quả tương tự.</w:t>
      </w:r>
    </w:p>
    <w:p>
      <w:pPr>
        <w:spacing w:after="80"/>
      </w:pPr>
      <w:r>
        <w:rPr>
          <w:b w:val="0"/>
          <w:i w:val="0"/>
        </w:rPr>
        <w:t>Các nhà bình luận thường quan sát thấy rằng các vấn đề đại diện phổ biến trong tranh tụng của cổ đông có liên quan chặt chẽ đến các thực tiễn dàn xếp và bảo hiểm hiện hành. Các hội đồng quản trị dàn xếp các vụ kiện đáng ngờ (và do đó các luật sư đưa ra chúng) không chỉ để tránh chi phí pháp lý và rủi ro bên ngoài về trách nhiệm pháp lý cá nhân, mà còn bởi vì việc tài trợ bằng bảo hiểm che giấu chi phí thực sự của việc dàn xếp. Tương tự, việc dễ dàng tiếp cận các quỹ bảo hiểm cho phép các nhà quản lý có lỗi mua chuộc các yêu sách mạnh mẽ của cổ đông với chi phí ít thấy rõ đối với công ty của họ. Trên thực tế, đề xuất cải cách phí của chúng tôi sẽ hạn chế cả hai việc sử dụng quỹ bảo hiểm bằng cách buộc các luật sư nguyên đơn từ chối các dàn xếp chỉ cung cấp các khoản đóng góp của công ty bảo hiểm và hầu như không có gì khác.</w:t>
      </w:r>
    </w:p>
    <w:p>
      <w:pPr>
        <w:spacing w:after="80"/>
      </w:pPr>
      <w:r>
        <w:rPr>
          <w:b w:val="0"/>
          <w:i w:val="0"/>
        </w:rPr>
        <w:t>Tất nhiên, việc xem đề xuất của chúng tôi như một hạn chế đối với bảo hiểm D&amp;O đặt ra những câu hỏi thực chất về việc các nhà quản lý nên gánh chịu bao nhiêu rủi ro trách nhiệm pháp lý. Ở một thái cực, về mặt logic có thể—mặc dù rất khó xảy ra—rằng việc hạn chế các phần thưởng thù lao là không đi đủ xa: bản thân bảo hiểm D&amp;O nên được hạn chế, hoặc thậm chí bị cấm hoàn toàn, để tối đa hóa lợi ích ngăn chặn và các khoản thu hồi ròng từ các vụ kiện của cổ đông. Ở thái cực ngược lại, cũng có thể rằng việc hạn chế bảo hiểm D&amp;O theo cách tối thiểu và gián tiếp nhất mà chúng tôi đề xuất sẽ áp đặt quá nhiều rủi ro lên các nhà quản lý. Tuy nhiên, một lần nữa, chúng tôi hoài nghi.</w:t>
      </w:r>
    </w:p>
    <w:p>
      <w:pPr>
        <w:spacing w:after="80"/>
      </w:pPr>
      <w:r>
        <w:rPr>
          <w:b w:val="0"/>
          <w:i w:val="0"/>
        </w:rPr>
        <w:t>Mặc dù cải cách đề xuất của chúng tôi về các phần thưởng thù lao có thể làm tăng rủi ro trách nhiệm pháp lý của các nhà quản lý, hai cân nhắc cho thấy hiệu ứng này sẽ nhỏ so với lợi ích ngăn chặn và thu hồi tiềm năng của vụ kiện. Thứ nhất, việc giới hạn các phần thưởng thù lao cho các hành động làm tăng giá trị sẽ loại bỏ động cơ khuyến khích đưa ra số lượng lớn các vụ kiện yếu ớt hoặc đáng ngờ. Thứ hai, các công ty sẽ tiếp tục giữ quyền kiểm soát đáng kể đối với rủi ro pháp lý theo đề xuất của chúng tôi. Họ có thể chọn tranh tụng các vụ kiện thay mặt cổ đông hoặc dàn xếp theo các điều khoản kết hợp các khoản đóng góp bảo hiểm với các biện pháp làm tăng giá trị. Ví dụ, một dàn xếp hợp lý có thể áp đặt các hình phạt riêng lên các nhà quản lý bị nghi ngờ (như sa thải hoặc giáng chức) nhưng dựa vào các công ty bảo hiểm để trả các yêu cầu tiền tệ. Những điều khoản này có thể tạo ra lợi ích ngăn chặn (và do đó là thù lao cho luật sư nguyên đơn) nhưng vẫn sẽ hạn chế rủi ro cho các nhà quản lý bị kiện bằng cách bảo vệ họ khỏi các yêu cầu bồi thường thiệt hại khổng lồ.</w:t>
      </w:r>
    </w:p>
    <w:p>
      <w:pPr>
        <w:pStyle w:val="Heading5"/>
      </w:pPr>
      <w:r>
        <w:rPr>
          <w:rFonts w:ascii="Calibri" w:hAnsi="Calibri"/>
          <w:b/>
          <w:i/>
          <w:sz w:val="22"/>
        </w:rPr>
        <w:t>Bình luận và Câu hỏi</w:t>
      </w:r>
    </w:p>
    <w:p>
      <w:pPr>
        <w:spacing w:after="80"/>
      </w:pPr>
      <w:r>
        <w:rPr>
          <w:b w:val="0"/>
          <w:i w:val="0"/>
        </w:rPr>
        <w:t>1. Trong một vụ kiện phái sinh (derivative lawsuit) điển hình, nguyên đơn là cổ đông sẽ được hưởng lợi, nếu thắng kiện, một phần giá trị gia tăng của cổ phiếu công ty mà mình nắm giữ. Bởi vì nguyên đơn khởi kiện thay mặt cho công ty, nên mọi khoản tiền thu hồi được sẽ thuộc về chính công ty. Các cải cách quản trị công ty (corporate governance) cũng vậy, sẽ chỉ mang lại lợi ích gián tiếp cho cổ đông nguyên đơn. Vì hầu hết cổ đông chỉ đầu tư một phần hạn chế trong danh mục đầu tư (và tổng tài sản) của mình vào bất kỳ một công ty cụ thể nào, tại sao lại có cổ đông đồng ý đứng ra làm nguyên đơn đại diện trong một vụ kiện phái sinh?</w:t>
      </w:r>
    </w:p>
    <w:p>
      <w:pPr>
        <w:spacing w:after="80"/>
      </w:pPr>
      <w:r>
        <w:rPr>
          <w:b w:val="0"/>
          <w:i w:val="0"/>
        </w:rPr>
        <w:t>2. Bởi vì lợi ích mà họ nhận được từ một vụ kiện thắng lợi là hạn chế và gián tiếp, nên việc điều tra các nguyên nhân tiềm tàng để kiện những người có nghĩa vụ ủy thác (fiduciary) của công ty là không hợp lý về mặt kinh tế đối với hầu hết cổ đông, và cũng không hiệu quả về chi phí để họ khởi kiện. Vì lý do này, các vụ kiện của cổ đông thường mang tính "do luật sư dẫn dắt" (lawyer-driven), ở chỗ luật sư của nguyên đơn nhận diện các khiếu nại tiềm tàng chống lại giám đốc và cán bộ điều hành, điều tra tính xác đáng của chúng, quyết định kiện ai và kiện ở đâu, rồi nộp đơn kiện sau khi đã xác định và chọn ra một hoặc nhiều cổ đông sẵn sàng khởi kiện và đứng tên làm nguyên đơn. Được thúc đẩy bởi phí theo kết quả (contingent fees), chính luật sư của nguyên đơn — thường là những luật sư chuyên giám sát hoạt động của những người có nghĩa vụ ủy thác trong công ty — là những người gánh chịu rủi ro rằng tòa án sẽ bác bỏ các khiếu nại phái sinh vì không đưa ra yêu cầu (demand) hoặc vì các lý do khác. Vậy có những vấn đề gì khi các luật sư mang tinh thần khởi nghiệp lại đóng vai trò người canh gác chính cho cổ đông, nhận diện các vi phạm nghĩa vụ và những hành vi sai trái khác của những người có nghĩa vụ ủy thác trong công ty?</w:t>
      </w:r>
    </w:p>
    <w:p>
      <w:pPr>
        <w:spacing w:after="80"/>
      </w:pPr>
      <w:r>
        <w:rPr>
          <w:b w:val="0"/>
          <w:i w:val="0"/>
        </w:rPr>
        <w:t>3. Liệu việc chỉ đơn thuần áp đặt các nghĩa vụ ủy thác lên giám đốc và cán bộ điều hành có đủ để ngăn chặn sự bất trung, hành vi xấu (bad faith) và gian lận của họ mà không cần một mối đe dọa đáng tin cậy về trách nhiệm pháp lý khi vi phạm những nghĩa vụ đó hay không? Tại sao có, tại sao không?</w:t>
      </w:r>
    </w:p>
    <w:p>
      <w:pPr>
        <w:spacing w:after="80"/>
      </w:pPr>
      <w:r>
        <w:rPr>
          <w:b w:val="0"/>
          <w:i w:val="0"/>
        </w:rPr>
        <w:t>4. Một số học giả và người hành nghề cho rằng những vụ kiện phái sinh chính đáng bị thất bại vì các thẩm phán và những học thuyết thân thiện với ban quản lý của họ, như quy tắc phán đoán kinh doanh (business judgment rule), bảo vệ giám đốc và cán bộ điều hành công ty khỏi trách nhiệm pháp lý về sự bất trung, hành vi sai trái, hành vi xấu và/hoặc sự giám sát thiếu sót rõ ràng. Như chúng ta đã thấy, tòa án thường bác bỏ đơn kiện của cổ đông ngay ở giai đoạn đầu của vụ kiện bằng cách áp dụng các học thuyết về yêu cầu (demand doctrines) hoặc bằng cách khẳng định các quyết định của ủy ban kiện tụng đặc biệt (special litigation committees). Ngay cả trong trường hợp hiếm hoi mà một vụ kiện phái sinh của cổ đông được đưa ra xét xử, Delaware và các tòa án bang khác cũng không cho phép bồi thẩm đoàn xét xử các khiếu nại của cổ đông. Ở Delaware, nguyên đơn phải nộp đơn kiện phái sinh tại Tòa án Chancery, nơi các thẩm phán xét xử mà không có bồi thẩm đoàn. Liệu các thẩm phán Delaware, những người đã bị chỉ trích vì thiên vị ban quản lý, có nên đồng thời đóng vai trò người xác định sự thật cuối cùng, phán quyết tính xác đáng của các khiếu nại của cổ đông tại phiên tòa hay không? Giáo sư Ann Scarlett đã lập luận là không, nhận xét rằng nếu chính công ty, chứ không phải cổ đông, theo đuổi các khiếu nại pháp lý của mình chống lại những người có nghĩa vụ ủy thác để đòi bồi thường thiệt hại bằng tiền, thì công ty sẽ được xét xử có bồi thẩm đoàn. Tuy nhiên, khi hội đồng quản trị của công ty không thể hoặc không muốn kiện những người có nghĩa vụ ủy thác của mình, buộc cổ đông phải khởi kiện thay mặt cho công ty trong một vụ kiện phái sinh, thì Delaware và nhiều bang khác từ chối cho phép bồi thẩm đoàn xét xử các khiếu nại pháp lý. Bạn có nghĩ bồi thẩm đoàn nên phán quyết các khiếu nại phái sinh tại phiên tòa hay không? Tại sao có, tại sao không?</w:t>
      </w:r>
    </w:p>
    <w:p>
      <w:pPr>
        <w:spacing w:after="80"/>
      </w:pPr>
      <w:r>
        <w:rPr>
          <w:b w:val="0"/>
          <w:i w:val="0"/>
        </w:rPr>
        <w:t>5. Năm 2015, Tòa án Chancery của Delaware đã phê chuẩn một cách giải quyết độc đáo cho các khiếu nại phái sinh của cổ đông, cho phép cổ đông của Freeport-McMoRan nhận được lợi ích trực tiếp từ thỏa thuận dàn xếp của họ. Vụ kiện phái sinh này phát sinh từ thương vụ công ty mua lại hai công ty năng lượng có liên kết với giá 9 tỷ đô la vào năm 2013. Các cổ đông nguyên đơn phàn nàn rằng giám đốc của Freeport đã trả giá quá cao cho các công ty đó, rằng đa số giám đốc của Freeport nhận được lợi ích cá nhân đáng kể từ các thương vụ này, và rằng xung đột lợi ích đã làm ô uế các giao dịch, ở chỗ một số giám đốc của Freeport cũng đồng thời ngồi trong hội đồng quản trị và sở hữu cổ phần của các công ty được mua lại. Ngoài việc thỏa thuận các cải thiện về quản trị công ty, các bị đơn là giám đốc và cán bộ điều hành đã đồng ý dàn xếp bằng việc thanh toán 137,5 triệu đô la, được tài trợ bởi 115 triệu đô la từ các công ty bảo hiểm D&amp;O và 22,5 triệu đô la từ Freeport. Cố vấn tài chính của Freeport, Credit Suisse Securities, cũng đồng ý dàn xếp với nguyên đơn bằng cách đóng góp thêm 10 triệu đô la tiền mặt và 6,5 triệu đô la tín dụng cho các dịch vụ trong tương lai đối với Freeport. Nguyên đơn không chỉ đàm phán được một trong những thỏa thuận dàn xếp bằng tiền mặt lớn nhất của một vụ kiện phái sinh ở Delaware, mà dường như lần đầu tiên trong bất kỳ vụ kiện phái sinh nào, toàn bộ số tiền mặt thu hồi được thay mặt cho Freeport (147,5 triệu đô la trừ phí và chi phí luật sư) đã được phân phối cho cổ đông của Freeport dưới hình thức cổ tức đặc biệt (special dividend). Sau khi công bố cổ tức đặc biệt, các nhà bình luận đã tranh luận liệu hình thức dàn xếp này, vốn cung cấp tiền thu được trực tiếp cho cổ đông, có thể trở thành một mô hình để giải quyết các vụ kiện phái sinh trong tương lai hay không. Bạn nghĩ sao? Việc thanh toán tiền dàn xếp trực tiếp cho cổ đông dưới hình thức cổ tức đặc biệt có gửi đi một thông điệp mạnh mẽ hơn về trách nhiệm giải trình đối với giám đốc hay không? Cấu trúc dàn xếp này có tăng cường tính răn đe hay không?</w:t>
      </w:r>
    </w:p>
    <w:p>
      <w:pPr>
        <w:pStyle w:val="Heading2"/>
      </w:pPr>
      <w:r>
        <w:rPr>
          <w:rFonts w:ascii="Calibri" w:hAnsi="Calibri"/>
          <w:b/>
          <w:i w:val="0"/>
          <w:sz w:val="32"/>
        </w:rPr>
        <w:t>IV. Cải cách Kiện tụng của Cổ đông</w:t>
      </w:r>
    </w:p>
    <w:p>
      <w:pPr>
        <w:spacing w:after="80"/>
      </w:pPr>
      <w:r>
        <w:rPr>
          <w:b w:val="0"/>
          <w:i w:val="0"/>
        </w:rPr>
        <w:t>Không có gì đáng ngạc nhiên, làn sóng kiện tụng về M&amp;A gần đây nhất đã tạo ra những lời kêu gọi từ Corporate America và Wall Street về các hạn chế mới đối với kiện tụng của cổ đông. Như bằng chứng về sự lạm dụng, giám đốc, cán bộ điều hành và cố vấn của họ chỉ ra việc luật sư của nguyên đơn chạy đua đến các tòa án bang và liên bang để nộp nhiều đơn kiện phản đối các giao dịch chỉ trong vòng vài ngày, nếu không muốn nói là vài giờ, sau khi thương vụ được công bố. Theo Phòng Thương mại Hoa Kỳ (U.S. Chamber of Commerce), hầu hết các vụ kiện của cổ đông này đều không có cơ sở, nhưng các công ty lại đề nghị dàn xếp "những khiếu nại mang tính tống tiền", thường bằng cách đưa ra "những công bố bổ sung không liên quan", để có thể chốt các thương vụ. Các ý kiến đã công bố cho thấy các thẩm phán cũng có những lo ngại tương tự. Vấn đề về các vụ kiện mang tính gây sức ép của cổ đông (strike suits) — những khiếu nại không có cơ sở được nộp vì giá trị gây phiền hà của chúng — không phải là mới. Các học giả đã nghiên cứu và viết rất nhiều về chi phí đại diện (agency costs) gắn liền với kiện tụng của cổ đông trong gần bốn thập kỷ. Công trình và lời khai của họ đã ảnh hưởng đến các nhà lập pháp liên bang để thông qua Đạo luật Cải cách Kiện tụng Chứng khoán Tư nhân (Private Securities Litigation Reform Act - PSLRA) vào năm 1995. Được ban hành bất chấp sự phủ quyết của Tổng thống Bill Clinton, PSLRA đã hạn chế quyền của cổ đông, cũng như các động cơ khuyến khích của luật sư nguyên đơn, trong việc nộp các vụ kiện tập thể về chứng khoán tại tòa án liên bang. PSLRA và đạo luật chị em sau đó của nó, Đạo luật Tiêu chuẩn Thống nhất về Kiện tụng Chứng khoán năm 1998 (Securities Litigation Uniform Standards Act), đã giới hạn mức độ phơi nhiễm của các công ty và giám đốc, cán bộ điều hành, cố vấn của họ trước trách nhiệm pháp lý vì vi phạm các quy định chống gian lận của luật chứng khoán liên bang.</w:t>
      </w:r>
    </w:p>
    <w:p>
      <w:pPr>
        <w:spacing w:after="80"/>
      </w:pPr>
      <w:r>
        <w:rPr>
          <w:b w:val="0"/>
          <w:i w:val="0"/>
        </w:rPr>
        <w:t>Tuy nhiên, thay vì chờ đợi các nhà lập pháp bang hoặc liên bang điều chỉnh các vụ kiện M&amp;A của cổ đông, giám đốc và cán bộ điều hành công ty đã tập trung vào các giải pháp sắp xếp tư nhân (private ordering). Cụ thể, các hội đồng quản trị công ty đã cố gắng sử dụng các điều khoản trong điều lệ (bylaw provisions) để hạn chế kiện tụng của cổ đông. Phán quyết sau đây của Tòa án Tối cao Delaware, xem xét một điều khoản điều lệ về chuyển dịch phí (fee-shifting bylaw), đã làm dấy lên cuộc tranh luận gay gắt về tính khả thi của những điều khoản như vậy cũng như lợi ích và chi phí của các vụ kiện của cổ đông.</w:t>
      </w:r>
    </w:p>
    <w:p>
      <w:pPr>
        <w:pStyle w:val="Heading4"/>
      </w:pPr>
      <w:r>
        <w:rPr>
          <w:rFonts w:ascii="Calibri" w:hAnsi="Calibri"/>
          <w:b/>
          <w:i w:val="0"/>
          <w:sz w:val="23"/>
        </w:rPr>
        <w:t>ATP Tour, Inc. v. Deutscher Tennis Bund</w:t>
      </w:r>
    </w:p>
    <w:p>
      <w:pPr>
        <w:spacing w:after="80"/>
      </w:pPr>
      <w:r>
        <w:rPr>
          <w:b w:val="0"/>
          <w:i w:val="0"/>
        </w:rPr>
        <w:t>Tòa án Tối cao Delaware</w:t>
      </w:r>
      <w:r>
        <w:br/>
      </w:r>
      <w:r>
        <w:rPr>
          <w:b w:val="0"/>
          <w:i w:val="0"/>
        </w:rPr>
        <w:t xml:space="preserve"> 91 A.3d 554 (2014)</w:t>
      </w:r>
    </w:p>
    <w:p>
      <w:pPr>
        <w:spacing w:after="80"/>
      </w:pPr>
      <w:r>
        <w:rPr>
          <w:b w:val="0"/>
          <w:i w:val="0"/>
        </w:rPr>
        <w:t>THẨM PHÁN BERGER :</w:t>
      </w:r>
    </w:p>
    <w:p>
      <w:pPr>
        <w:spacing w:after="80"/>
      </w:pPr>
      <w:r>
        <w:rPr>
          <w:b w:val="0"/>
          <w:i w:val="0"/>
        </w:rPr>
        <w:t>Ý kiến này là phản hồi của Tòa án đối với bốn câu hỏi pháp lý được chứng nhận liên quan đến tính hợp lệ của một điều khoản chuyển dịch phí trong điều lệ của một công ty phi cổ phần (non-stock corporation) ở Delaware. Điều khoản này, mà các giám đốc đã thông qua theo quyền hạn được điều lệ công ty ủy quyền để đơn phương sửa đổi điều lệ, chuyển phí và chi phí luật sư sang cho những nguyên đơn không thắng kiện trong các vụ kiện nội bộ công ty. Tòa án Quận Hoa Kỳ cho Quận Delaware nhận thấy rằng tính hợp lệ của điều khoản điều lệ này là một câu hỏi còn bỏ ngỏ theo luật Delaware và đã chứng nhận bốn câu hỏi lên Tòa án này, yêu cầu tòa quyết định liệu, và trong những hoàn cảnh nào, một điều khoản như vậy là hợp lệ và có thể thi hành. Mặc dù chúng tôi không thể trực tiếp giải quyết điều khoản điều lệ đang được bàn đến, chúng tôi cho rằng các điều khoản chuyển dịch phí trong điều lệ của một công ty phi cổ phần có thể hợp lệ và có thể thi hành theo luật Delaware. Ngoài ra, các điều lệ thường áp dụng cho tất cả thành viên của một công ty phi cổ phần bất kể điều lệ đó được thông qua trước hay sau khi thành viên được đề cập trở thành thành viên.</w:t>
      </w:r>
    </w:p>
    <w:p>
      <w:pPr>
        <w:spacing w:after="80"/>
      </w:pPr>
      <w:r>
        <w:rPr>
          <w:b w:val="0"/>
          <w:i w:val="0"/>
        </w:rPr>
        <w:t>Bối cảnh Thực tế và Tố tụng</w:t>
      </w:r>
    </w:p>
    <w:p>
      <w:pPr>
        <w:spacing w:after="80"/>
      </w:pPr>
      <w:r>
        <w:rPr>
          <w:b w:val="0"/>
          <w:i w:val="0"/>
        </w:rPr>
        <w:t>Các sự kiện không tranh cãi sau đây được trích từ Chứng nhận Câu hỏi Pháp lý của Tòa án Quận. ATP Tour, Inc. (ATP) là một công ty thành viên (membership corporation) ở Delaware, điều hành một giải quần vợt nam chuyên nghiệp toàn cầu (Giải đấu). Các thành viên của nó bao gồm các tay vợt nam chuyên nghiệp và các thực thể sở hữu và điều hành các giải quần vợt nam chuyên nghiệp. Hai trong số các thực thể đó là Deutscher Tennis Bund (DTB) và Qatar Tennis Federation (QTF, và gọi chung là các Liên đoàn). ATP được điều hành bởi một hội đồng quản trị gồm bảy thành viên, trong đó ba người được bầu bởi các chủ sở hữu giải đấu, ba người được bầu bởi các thành viên là tay vợt, và vị trí giám đốc thứ bảy do chủ tịch kiêm tổng giám đốc của ATP nắm giữ.</w:t>
      </w:r>
    </w:p>
    <w:p>
      <w:pPr>
        <w:spacing w:after="80"/>
      </w:pPr>
      <w:r>
        <w:rPr>
          <w:b w:val="0"/>
          <w:i w:val="0"/>
        </w:rPr>
        <w:t>Khi gia nhập ATP vào đầu những năm 1990, các Liên đoàn "đã đồng ý bị ràng buộc bởi Điều lệ của ATP, như được sửa đổi tùy từng thời điểm." Năm 2006, hội đồng quản trị đã sửa đổi điều lệ của ATP để thêm Điều 23, trong đó quy định, ở phần liên quan:</w:t>
      </w:r>
    </w:p>
    <w:p>
      <w:pPr>
        <w:spacing w:after="80"/>
      </w:pPr>
      <w:r>
        <w:rPr>
          <w:b w:val="0"/>
          <w:i w:val="0"/>
        </w:rPr>
        <w:t>(a) Trong trường hợp (i) bất kỳ [thành viên hiện tại hoặc trước đây hoặc Chủ sở hữu hoặc bất kỳ ai thay mặt họ (“Bên Khiếu nại”)] khởi xướng hoặc đưa ra bất kỳ [khiếu nại hoặc phản khiếu nại (“Khiếu nại”)] nào hoặc tham gia, cung cấp hỗ trợ đáng kể cho hoặc có lợi ích tài chính trực tiếp trong bất kỳ Khiếu nại nào chống lại Liên đoàn hoặc bất kỳ thành viên hoặc Chủ sở hữu nào (bao gồm bất kỳ Khiếu nại nào được cho là nộp thay mặt cho Liên đoàn hoặc bất kỳ thành viên nào), và (ii) Bên Khiếu nại (hoặc bên thứ ba đã nhận được hỗ trợ đáng kể từ Bên Khiếu nại hoặc bên mà Bên Khiếu nại có lợi ích tài chính trực tiếp trong Khiếu nại của họ) không đạt được phán quyết dựa trên nội dung vụ việc mà về cơ bản và về số lượng đạt được toàn bộ biện pháp khắc phục được yêu cầu, thì mỗi Bên Khiếu nại sẽ có nghĩa vụ liên đới và riêng rẽ hoàn trả cho Liên đoàn và bất kỳ thành viên hoặc Chủ sở hữu nào như vậy mọi khoản phí, chi phí và lệ phí thuộc mọi loại và mọi hình thức (bao gồm, nhưng không giới hạn ở, mọi khoản phí luật sư hợp lý và các chi phí tranh tụng khác) (gọi chung là “Chi phí Tranh tụng”) mà các bên có thể phát sinh liên quan đến Khiếu nại đó.</w:t>
      </w:r>
    </w:p>
    <w:p>
      <w:pPr>
        <w:spacing w:after="80"/>
      </w:pPr>
      <w:r>
        <w:rPr>
          <w:b w:val="0"/>
          <w:i w:val="0"/>
        </w:rPr>
        <w:t>Năm 2007, ban điều hành ATP đã bỏ phiếu thay đổi lịch trình và thể thức của Giải đấu. Theo kế hoạch “Brave New World” của ban điều hành, giải đấu Hamburg, do các Liên đoàn sở hữu và điều hành, đã bị hạ cấp từ hạng giải đấu cao nhất xuống hạng cao thứ hai, và được chuyển từ mùa xuân sang mùa hè. Không hài lòng với những thay đổi này, các Liên đoàn đã kiện ATP và sáu thành viên ban điều hành của nó tại Tòa án Quận Hoa Kỳ cho Quận Delaware, với các cáo buộc về cả khiếu nại chống độc quyền liên bang và khiếu nại về nghĩa vụ ủy thác theo luật Delaware.</w:t>
      </w:r>
    </w:p>
    <w:p>
      <w:pPr>
        <w:spacing w:after="80"/>
      </w:pPr>
      <w:r>
        <w:rPr>
          <w:b w:val="0"/>
          <w:i w:val="0"/>
        </w:rPr>
        <w:t>Sau phiên tòa xét xử có bồi thẩm đoàn kéo dài mười ngày, Tòa án Quận đã chấp thuận đề nghị của ATP và các bị cáo là giám đốc về việc ra phán quyết như một vấn đề pháp lý đối với tất cả các khiếu nại về nghĩa vụ ủy thác, và cả đối với các khiếu nại chống độc quyền chống lại các bị cáo là giám đốc. Sau đó bồi thẩm đoàn đã ra phán quyết có lợi cho ATP đối với các khiếu nại chống độc quyền còn lại. Như vậy, các Liên đoàn đã không thắng được bất kỳ khiếu nại nào. ATP sau đó đã đề nghị thu hồi phí pháp lý, chi phí và lệ phí của mình theo Quy tắc 54 của Quy tắc Tố tụng Dân sự Liên bang. ATP dựa trên đề nghị của mình vào Điều 23.3(a) trong điều lệ của ATP. Tòa án Quận đã bác bỏ đề nghị theo Quy tắc 54 của ATP vì tòa thấy rằng Điều 23.3(a) trái với chính sách nền tảng của luật chống độc quyền liên bang.4 Tòa án Quận đã thực sự phán quyết rằng “luật liên bang thay thế việc thực thi các thỏa thuận chuyển dịch phí khi có liên quan đến các khiếu nại chống độc quyền.”</w:t>
      </w:r>
    </w:p>
    <w:p>
      <w:pPr>
        <w:spacing w:after="80"/>
      </w:pPr>
      <w:r>
        <w:rPr>
          <w:b w:val="0"/>
          <w:i w:val="0"/>
        </w:rPr>
        <w:t>ATP đã kháng cáo, và Tòa án Phúc thẩm Hoa Kỳ cho Vòng thứ ba đã hủy bỏ lệnh của Tòa án Quận. Vòng thứ ba nhận thấy rằng Tòa án Quận lẽ ra phải quyết định liệu Điều 23.3(a) có thể được thực thi như một vấn đề của luật Delaware trước khi đi đến câu hỏi về quyền thay thế của liên bang. Khi xét xử lại, Tòa án Quận lập luận rằng câu hỏi về tính thực thi của Điều 23.3(a) là một câu hỏi mới của luật Delaware mà nên được giải quyết lần đầu tiên bởi Tòa án này. Tòa án Quận đã chứng nhận bốn câu hỏi pháp lý sau đây:</w:t>
      </w:r>
    </w:p>
    <w:p>
      <w:pPr>
        <w:spacing w:after="80"/>
      </w:pPr>
      <w:r>
        <w:rPr>
          <w:b w:val="0"/>
          <w:i w:val="0"/>
        </w:rPr>
        <w:t>1. Ban điều hành của một công ty phi cổ phần Delaware có thể hợp pháp thông qua một điều lệ (i) áp dụng trong trường hợp một thành viên đưa ra khiếu nại chống lại một thành viên khác, một thành viên kiện công ty, hoặc công ty kiện một thành viên (ii) theo đó bên khiếu nại có nghĩa vụ trả cho “mọi khoản phí, chi phí và lệ phí thuộc mọi loại và mọi hình thức (bao gồm, nhưng không giới hạn ở, mọi khoản phí luật sư hợp lý và các chi phí tranh tụng khác)” của bên bị khiếu nại trong trường hợp bên khiếu nại “không đạt được phán quyết dựa trên nội dung vụ việc mà về cơ bản và về số lượng đạt được toàn bộ biện pháp khắc phục được yêu cầu”?</w:t>
      </w:r>
    </w:p>
    <w:p>
      <w:pPr>
        <w:spacing w:after="80"/>
      </w:pPr>
      <w:r>
        <w:rPr>
          <w:b w:val="0"/>
          <w:i w:val="0"/>
        </w:rPr>
        <w:t>2. Liệu một điều lệ như vậy có thể được thực thi một cách hợp pháp chống lại một thành viên không nhận được bất kỳ biện pháp khắc phục nào đối với các khiếu nại của mình chống lại công ty, ngay cả khi điều lệ đó có thể không thể thực thi trong một tình huống khác nơi thành viên nhận được một số biện pháp khắc phục?</w:t>
      </w:r>
    </w:p>
    <w:p>
      <w:pPr>
        <w:spacing w:after="80"/>
      </w:pPr>
      <w:r>
        <w:rPr>
          <w:b w:val="0"/>
          <w:i w:val="0"/>
        </w:rPr>
        <w:t>3. Liệu một điều lệ như vậy có bị coi là không thể thực thi như một vấn đề pháp lý nếu một hoặc nhiều thành viên Ban điều hành có chủ ý chủ quan rằng việc thông qua điều lệ nhằm ngăn cản các thách thức pháp lý của các thành viên đối với hành động tiềm năng khác của công ty đang được xem xét vào thời điểm đó?</w:t>
      </w:r>
    </w:p>
    <w:p>
      <w:pPr>
        <w:spacing w:after="80"/>
      </w:pPr>
      <w:r>
        <w:rPr>
          <w:b w:val="0"/>
          <w:i w:val="0"/>
        </w:rPr>
        <w:t>4. Liệu một điều lệ như vậy có thể được thực thi chống lại một thành viên nếu nó được thông qua sau khi thành viên đó đã tham gia công ty, nhưng trong trường hợp thành viên đó đã đồng ý bị ràng buộc bởi các quy tắc của công ty “có thể được thông qua và/hoặc sửa đổi tùy từng thời điểm” bởi Ban điều hành của công ty, và trong trường hợp thành viên đó là thành viên vào thời điểm khởi kiện công ty?</w:t>
      </w:r>
    </w:p>
    <w:p>
      <w:pPr>
        <w:spacing w:after="80"/>
      </w:pPr>
      <w:r>
        <w:rPr>
          <w:b w:val="0"/>
          <w:i w:val="0"/>
        </w:rPr>
        <w:t>Chúng tôi đã chấp nhận các câu hỏi được chứng nhận dựa trên các nguyên tắc lịch sự quốc tế, và sẽ giải quyết từng câu hỏi lần lượt.</w:t>
      </w:r>
    </w:p>
    <w:p>
      <w:pPr>
        <w:spacing w:after="80"/>
      </w:pPr>
      <w:r>
        <w:rPr>
          <w:b w:val="0"/>
          <w:i w:val="0"/>
        </w:rPr>
        <w:t>Thảo luận</w:t>
      </w:r>
    </w:p>
    <w:p>
      <w:pPr>
        <w:spacing w:after="80"/>
      </w:pPr>
      <w:r>
        <w:rPr>
          <w:b w:val="0"/>
          <w:i/>
        </w:rPr>
        <w:t>Các điều lệ chuyển dịch phí được cho phép theo luật Delaware</w:t>
      </w:r>
    </w:p>
    <w:p>
      <w:pPr>
        <w:spacing w:after="80"/>
      </w:pPr>
      <w:r>
        <w:rPr>
          <w:b w:val="0"/>
          <w:i w:val="0"/>
        </w:rPr>
        <w:t>Câu hỏi được chứng nhận đầu tiên hỏi liệu ban điều hành của một công ty phi cổ phần Delaware có thể hợp pháp thông qua một điều lệ chuyển tất cả chi phí tranh tụng cho nguyên đơn trong vụ tranh tụng nội bộ công ty mà “không đạt được phán quyết dựa trên nội dung vụ việc mà về cơ bản và về số lượng đạt được toàn bộ biện pháp khắc phục được yêu cầu.” Theo luật Delaware, điều lệ của một công ty được “coi là hợp lệ, và các tòa án sẽ giải thích điều lệ theo cách phù hợp với luật thay vì bãi bỏ điều lệ.” Để hợp lệ về mặt hình thức, một điều lệ phải được cho phép bởi Luật Công ty Tổng hợp Delaware (DGCL), phù hợp với giấy chứng nhận thành lập của công ty, và việc ban hành nó không bị cấm theo cách khác. Việc trong một số trường hợp, một điều lệ có thể xung đột với một đạo luật, hoặc hoạt động không hợp pháp, không phải là căn cứ để tìm thấy nó không hợp lệ về mặt hình thức.</w:t>
      </w:r>
    </w:p>
    <w:p>
      <w:pPr>
        <w:spacing w:after="80"/>
      </w:pPr>
      <w:r>
        <w:rPr>
          <w:b w:val="0"/>
          <w:i w:val="0"/>
        </w:rPr>
        <w:t>Một điều lệ chuyển dịch phí, như điều được mô tả trong câu hỏi được chứng nhận đầu tiên, là hợp lệ về mặt hình thức. Cả DGCL lẫn bất kỳ đạo luật nào khác của Delaware đều không cấm việc ban hành các điều lệ chuyển dịch phí. Một điều lệ phân bổ rủi ro giữa các bên trong vụ tranh tụng nội bộ công ty cũng có vẻ thỏa mãn yêu cầu của DGCL rằng điều lệ phải “liên quan đến hoạt động kinh doanh của công ty, việc điều hành các công việc của công ty, và các quyền hoặc quyền hạn của công ty hoặc các quyền hoặc quyền hạn của các cổ đông, giám đốc, viên chức hoặc nhân viên.” Điều lệ công ty có thể cho phép các quy định chuyển dịch phí, hoặc một cách rõ ràng hoặc một cách ngầm hiểu bằng sự im lặng. Hơn nữa, không có nguyên tắc nào của luật thông lệ cấm các giám đốc ban hành các điều lệ chuyển dịch phí.</w:t>
      </w:r>
    </w:p>
    <w:p>
      <w:pPr>
        <w:spacing w:after="80"/>
      </w:pPr>
      <w:r>
        <w:rPr>
          <w:b w:val="0"/>
          <w:i w:val="0"/>
        </w:rPr>
        <w:t>Delaware tuân theo Quy tắc Mỹ, theo đó các bên trong vụ tranh tụng nói chung phải tự trả phí luật sư và chi phí của mình. Nhưng đã được xác lập rằng các bên ký kết có thể đồng ý sửa đổi Quy tắc Mỹ và buộc bên thua phải trả phí của bên thắng. Vì điều lệ công ty là “các hợp đồng giữa các cổ đông của một công ty,” một quy định chuyển dịch phí nằm trong điều lệ được ban hành hợp lệ của một công ty phi cổ phần sẽ thuộc ngoại lệ hợp đồng đối với Quy tắc Mỹ. Do đó, một điều lệ chuyển dịch phí sẽ không bị cấm theo luật thông lệ Delaware.</w:t>
      </w:r>
    </w:p>
    <w:p>
      <w:pPr>
        <w:spacing w:after="80"/>
      </w:pPr>
      <w:r>
        <w:rPr>
          <w:b w:val="0"/>
          <w:i w:val="0"/>
        </w:rPr>
        <w:t xml:space="preserve">Tuy nhiên, liệu điều lệ chuyển dịch phí cụ thể của ATP có thể thực thi được hay không phụ thuộc vào cách thức nó được thông qua và các hoàn cảnh mà nó được viện dẫn. Các điều lệ mà nếu không thì có thể hợp lệ về mặt hình thức sẽ không được thực thi nếu được thông qua hoặc sử dụng cho một mục đích không công bằng. Trong phán quyết mang tính bước ngoặt </w:t>
      </w:r>
      <w:r>
        <w:rPr>
          <w:b w:val="0"/>
          <w:i/>
        </w:rPr>
        <w:t>Schnell v. Chris-Craft Industries</w:t>
      </w:r>
      <w:r>
        <w:rPr>
          <w:b w:val="0"/>
          <w:i w:val="0"/>
        </w:rPr>
        <w:t xml:space="preserve">, ví dụ, Tòa án này đã bãi bỏ một sửa đổi điều lệ do ban điều hành thông qua nhằm dời ngày họp cổ đông thường niên lên sớm hơn một tháng so với ngày dự kiến ban đầu. Tòa án nhận thấy rằng mục đích của ban điều hành khi thông qua điều lệ và dời cuộc họp là để “duy trì chính mình trong chức vụ” và để “cản trở những nỗ lực chính đáng của các cổ đông bất đồng trong việc thực hiện quyền của họ để tiến hành một cuộc tranh giành ủy quyền chống lại ban quản lý.” Tòa án trong </w:t>
      </w:r>
      <w:r>
        <w:rPr>
          <w:b w:val="0"/>
          <w:i/>
        </w:rPr>
        <w:t>Schnell</w:t>
      </w:r>
      <w:r>
        <w:rPr>
          <w:b w:val="0"/>
          <w:i w:val="0"/>
        </w:rPr>
        <w:t xml:space="preserve"> đã nổi tiếng tuyên bố rằng “hành động không công bằng không trở nên được phép chỉ vì nó khả thi về mặt pháp lý.”</w:t>
      </w:r>
    </w:p>
    <w:p>
      <w:pPr>
        <w:spacing w:after="80"/>
      </w:pPr>
      <w:r>
        <w:rPr>
          <w:b w:val="0"/>
          <w:i w:val="0"/>
        </w:rPr>
        <w:t xml:space="preserve">Gần đây hơn, trong </w:t>
      </w:r>
      <w:r>
        <w:rPr>
          <w:b w:val="0"/>
          <w:i/>
        </w:rPr>
        <w:t>Hollinger Int'l, Inc. v. Black,</w:t>
      </w:r>
      <w:r>
        <w:rPr>
          <w:b w:val="0"/>
          <w:i w:val="0"/>
        </w:rPr>
        <w:t xml:space="preserve"> Tòa án Chancery đã giải quyết các sửa đổi điều lệ, được ban hành bởi một cổ đông kiểm soát, nhằm ngăn ban điều hành “hành động về bất kỳ vấn đề quan trọng nào trừ khi có biểu quyết nhất trí” và “đặt yêu cầu túc số của ban điều hành ở mức 80%,” cùng với những thay đổi khác. Tòa án Chancery nhận thấy, và Tòa án này đồng ý, rằng các sửa đổi điều lệ không có hiệu lực vì chúng “rõ ràng được thông qua cho một mục đích không công bằng và có hiệu ứng không công bằng.” Phát hiện đó dựa trên việc xem xét kỹ lưỡng các sự kiện xung quanh quyết định của cổ đông kiểm soát trong việc sửa đổi điều lệ.</w:t>
      </w:r>
    </w:p>
    <w:p>
      <w:pPr>
        <w:spacing w:after="80"/>
      </w:pPr>
      <w:r>
        <w:rPr>
          <w:b w:val="0"/>
          <w:i w:val="0"/>
        </w:rPr>
        <w:t xml:space="preserve">Ngược lại, Tòa án này đã giữ nguyên hiệu lực của những điều lệ có tính hạn chế tương tự được ban hành vì những mục đích chính đáng. Trong </w:t>
      </w:r>
      <w:r>
        <w:rPr>
          <w:b w:val="0"/>
          <w:i/>
        </w:rPr>
        <w:t>Frantz Manuf. Co. v. EAC Indus.,</w:t>
      </w:r>
      <w:r>
        <w:rPr>
          <w:b w:val="0"/>
          <w:i w:val="0"/>
        </w:rPr>
        <w:t xml:space="preserve"> một cổ đông nắm đa số đã sửa đổi điều lệ của công ty bằng văn bản đồng thuận nhằm "hạn chế việc [ ] hội đồng quản trị thao túng chống thâu tóm sau khi [cổ đông đó] đã giành được quyền kiểm soát công ty." Các điều lệ được sửa đổi, giống như những điều lệ bị vô hiệu trong </w:t>
      </w:r>
      <w:r>
        <w:rPr>
          <w:b w:val="0"/>
          <w:i/>
        </w:rPr>
        <w:t>Hollinger,</w:t>
      </w:r>
      <w:r>
        <w:rPr>
          <w:b w:val="0"/>
          <w:i w:val="0"/>
        </w:rPr>
        <w:t xml:space="preserve"> đã nâng yêu cầu về số lượng thành viên hội đồng tối thiểu để họp và buộc mọi quyết định của hội đồng phải được nhất trí. Tòa án nhận định rằng các sửa đổi điều lệ đó là "một phần được phép trong nỗ lực của [cổ đông] nhằm tránh bị tước quyền với tư cách cổ đông đa số" và do đó "không bất công trong hoàn cảnh đó."</w:t>
      </w:r>
    </w:p>
    <w:p>
      <w:pPr>
        <w:spacing w:after="80"/>
      </w:pPr>
      <w:r>
        <w:rPr>
          <w:b w:val="0"/>
          <w:i w:val="0"/>
        </w:rPr>
        <w:t>Tóm lại, tính hiệu lực thi hành của một điều lệ có vẻ hợp lệ về mặt hình thức có thể phụ thuộc vào các hoàn cảnh xung quanh việc ban hành và áp dụng nó. Bản Chứng nhận (Certification) không cung cấp các sự kiện đã được thống nhất cần thiết để xác định liệu điều lệ ATP được ban hành vì mục đích chính đáng hay được áp dụng đúng đắn hay không. Hơn nữa, vì các bản chứng nhận về bản chất chỉ giải quyết các câu hỏi pháp lý, chúng tôi chỉ có thể nói rằng một điều lệ thuộc loại đang được bàn đến ở đây là hợp lệ về mặt hình thức, theo nghĩa nó được cho phép theo DGCL, và rằng nó có thể có hiệu lực thi hành nếu được thông qua theo đúng các thủ tục công ty và vì một mục đích công ty chính đáng.</w:t>
      </w:r>
    </w:p>
    <w:p>
      <w:pPr>
        <w:spacing w:after="80"/>
      </w:pPr>
      <w:r>
        <w:rPr>
          <w:b w:val="0"/>
          <w:i w:val="0"/>
        </w:rPr>
        <w:t>Điều lệ này, nếu hợp lệ và có hiệu lực thi hành, có thể chuyển dịch chi phí nếu nguyên đơn không giành được biện pháp khắc phục nào trong vụ kiện.</w:t>
      </w:r>
    </w:p>
    <w:p>
      <w:pPr>
        <w:spacing w:after="80"/>
      </w:pPr>
      <w:r>
        <w:rPr>
          <w:b w:val="0"/>
          <w:i w:val="0"/>
        </w:rPr>
        <w:t>Câu hỏi chứng nhận thứ hai về cơ bản hỏi liệu một phiên bản hạn chế hơn của điều lệ ATP có hợp lệ hay không. Điều 23.3(a) quy định rằng nó có thể được viện dẫn chống lại bất kỳ nguyên đơn nào không giành được phán quyết "mà về thực chất và số lượng đạt được đáng kể toàn bộ biện pháp khắc phục được yêu cầu." Vì có thể gặp khó khăn khi áp dụng tiêu chuẩn "đạt được đáng kể", Tòa án Quận (District Court) hỏi liệu điều lệ có thể được thi hành, ít nhất là trong trường hợp nguyên đơn không giành được "biện pháp khắc phục nào cả đối với công ty" hay không. Với những giới hạn được nêu trong câu trả lời của chúng tôi cho câu hỏi chứng nhận thứ nhất, chúng tôi trả lời câu hỏi thứ hai là có.</w:t>
      </w:r>
    </w:p>
    <w:p>
      <w:pPr>
        <w:spacing w:after="80"/>
      </w:pPr>
      <w:r>
        <w:rPr>
          <w:b w:val="0"/>
          <w:i/>
        </w:rPr>
        <w:t>Điều lệ sẽ không thể thi hành nếu được ban hành vì mục đích không chính đáng</w:t>
      </w:r>
    </w:p>
    <w:p>
      <w:pPr>
        <w:spacing w:after="80"/>
      </w:pPr>
      <w:r>
        <w:rPr>
          <w:b w:val="0"/>
          <w:i w:val="0"/>
        </w:rPr>
        <w:t xml:space="preserve">Câu hỏi chứng nhận thứ ba hỏi liệu điều lệ có bị "vô hiệu về mặt pháp lý nếu một hoặc nhiều thành viên Hội đồng quản trị chủ quan có ý định rằng việc ban hành điều lệ nhằm ngăn cản các thách thức pháp lý của các thành viên đối với hành động công ty tiềm năng khác đang được xem xét" hay không. Một lần nữa, chúng tôi không thể trả lời đầy đủ. Những điều lệ được pháp luật cho phép nhưng được ban hành vì mục đích không chính đáng thì không thể thi hành theo luật công bằng. Tuy nhiên, ý định ngăn cản kiện tụng không phải lúc nào cũng là mục đích không chính đáng. Các quy định chuyển dịch chi phí, về bản chất, vốn ngăn cản kiện tụng. Vì các quy định chuyển dịch chi phí không </w:t>
      </w:r>
      <w:r>
        <w:rPr>
          <w:b w:val="0"/>
          <w:i/>
        </w:rPr>
        <w:t>đương nhiên</w:t>
      </w:r>
      <w:r>
        <w:rPr>
          <w:b w:val="0"/>
          <w:i w:val="0"/>
        </w:rPr>
        <w:t xml:space="preserve"> vô hiệu, nên ý định ngăn cản kiện tụng sẽ không nhất thiết khiến điều lệ không thể thi hành theo luật công bằng.</w:t>
      </w:r>
    </w:p>
    <w:p>
      <w:pPr>
        <w:spacing w:after="80"/>
      </w:pPr>
      <w:r>
        <w:rPr>
          <w:b w:val="0"/>
          <w:i/>
        </w:rPr>
        <w:t>Nói chung, một sửa đổi điều lệ có hiệu lực thi hành đối với các thành viên gia nhập công ty trước khi nó được ban hành</w:t>
      </w:r>
    </w:p>
    <w:p>
      <w:pPr>
        <w:spacing w:after="80"/>
      </w:pPr>
      <w:r>
        <w:rPr>
          <w:b w:val="0"/>
          <w:i w:val="0"/>
        </w:rPr>
        <w:t>Câu hỏi chứng nhận thứ tư hỏi liệu một quy định điều lệ về chuyển dịch chi phí có hiệu lực thi hành đối với các thành viên gia nhập công ty trước khi quy định đó được ban hành và những người đã đồng ý bị ràng buộc bởi các quy tắc "có thể được hội đồng quản trị thông qua và/hoặc sửa đổi tùy từng thời điểm" hay không. Giả sử quy định này hợp lệ và có hiệu lực thi hành về mặt khác, thì xét về mặt luật định, câu trả lời là có. DGCL cho phép một công ty "trong điều lệ thành lập của mình, trao quyền thông qua, sửa đổi hoặc bãi bỏ điều lệ cho các giám đốc." Nếu các giám đốc được trao quyền như vậy, "các cổ đông sẽ bị ràng buộc bởi các điều lệ được hội đồng quản trị của họ thông qua đơn phương."</w:t>
      </w:r>
    </w:p>
    <w:p>
      <w:pPr>
        <w:spacing w:after="80"/>
      </w:pPr>
      <w:r>
        <w:rPr>
          <w:b w:val="0"/>
          <w:i w:val="0"/>
        </w:rPr>
        <w:t>KẾT LUẬN</w:t>
      </w:r>
    </w:p>
    <w:p>
      <w:pPr>
        <w:spacing w:after="80"/>
      </w:pPr>
      <w:r>
        <w:rPr>
          <w:b w:val="0"/>
          <w:i w:val="0"/>
        </w:rPr>
        <w:t xml:space="preserve">Theo luật Delaware, một điều lệ chuyển dịch chi phí không </w:t>
      </w:r>
      <w:r>
        <w:rPr>
          <w:b w:val="0"/>
          <w:i/>
        </w:rPr>
        <w:t>đương nhiên</w:t>
      </w:r>
      <w:r>
        <w:rPr>
          <w:b w:val="0"/>
          <w:i w:val="0"/>
        </w:rPr>
        <w:t xml:space="preserve"> vô hiệu, và việc nó được ban hành sau khi các thực thể trở thành thành viên sẽ không ảnh hưởng đến tính hiệu lực thi hành của nó. Nhưng chúng tôi không thể nói, như một vấn đề pháp lý, rằng quy định chuyển dịch chi phí ATP được ban hành vì mục đích chính đáng hay có hiệu lực thi hành trong các hoàn cảnh được trình bày.</w:t>
      </w:r>
    </w:p>
    <w:p>
      <w:pPr>
        <w:pStyle w:val="Heading5"/>
      </w:pPr>
      <w:r>
        <w:rPr>
          <w:rFonts w:ascii="Calibri" w:hAnsi="Calibri"/>
          <w:b/>
          <w:i/>
          <w:sz w:val="22"/>
        </w:rPr>
        <w:t>Bình luận và Câu hỏi</w:t>
      </w:r>
    </w:p>
    <w:p>
      <w:pPr>
        <w:spacing w:after="80"/>
      </w:pPr>
      <w:r>
        <w:rPr>
          <w:b w:val="0"/>
          <w:i w:val="0"/>
        </w:rPr>
        <w:t>1. Vụ án này đến Tòa án Tối cao Delaware dưới dạng một loạt câu hỏi chứng nhận từ tòa án quận liên bang ở Delaware, nơi đã xét xử yêu cầu theo luật tiểu bang của nguyên đơn sau khi vụ án được chuyển lại từ Tòa Phúc thẩm Vòng ba (Third Circuit). Phán quyết của Tòa Phúc thẩm Vòng ba lưu ý:</w:t>
      </w:r>
    </w:p>
    <w:p>
      <w:pPr>
        <w:spacing w:after="80"/>
      </w:pPr>
      <w:r>
        <w:rPr>
          <w:b w:val="0"/>
          <w:i w:val="0"/>
        </w:rPr>
        <w:t>[Q]uy định điều lệ ở đây áp đặt chi phí lên một nguyên đơn "không giành được phán quyết về nội dung vụ án mà về thực chất và số lượng đạt được đáng kể toàn bộ biện pháp khắc phục được yêu cầu." Đây không phải là quy định chuyển dịch chi phí thông thường. Ngôn ngữ của nó dường như ngụ ý rằng một nguyên đơn sẽ phải trả chi phí của bị đơn ngay cả khi nguyên đơn nhận được một dàn xếp có lợi, bởi vì nguyên đơn trong trường hợp đó đã không "giành được phán quyết về nội dung vụ án." Hơn nữa, nếu một nguyên đơn thắng kiện tại phiên tòa và giành được 10,000,000 đô la, nhưng yêu cầu 20,000,000 đô la, thì điều lệ này về mặt lý thuyết có thể buộc nguyên đơn phải trả chi phí của bị đơn vì phán quyết mà nguyên đơn nhận được có thể được cho là đã không "đạt được đáng kể, về thực chất và số lượng, toàn bộ biện pháp khắc phục được yêu cầu."</w:t>
      </w:r>
    </w:p>
    <w:p>
      <w:pPr>
        <w:spacing w:after="80"/>
      </w:pPr>
      <w:r>
        <w:rPr>
          <w:b w:val="0"/>
          <w:i w:val="0"/>
        </w:rPr>
        <w:t>Điều lệ chuyển dịch chi phí này có phục vụ lợi ích của các tòa án không? Tại sao có hoặc tại sao không? Việc các điều lệ chuyển dịch chi phí được áp dụng rộng rãi có thể ảnh hưởng đến sự phát triển của luật công ty như thế nào? Các điều lệ chuyển dịch chi phí có thể ảnh hưởng đến động cơ của cổ đông trong việc nộp các yêu cầu cổ đông chính đáng như thế nào, nếu có?</w:t>
      </w:r>
    </w:p>
    <w:p>
      <w:pPr>
        <w:spacing w:after="80"/>
      </w:pPr>
      <w:r>
        <w:rPr>
          <w:b w:val="0"/>
          <w:i w:val="0"/>
        </w:rPr>
        <w:t>2. Các giám đốc, viên chức công ty và cố vấn của họ lập luận rằng các điều lệ chuyển dịch chi phí là cần thiết để ngăn cản các vụ kiện lạm dụng của cổ đông thách thức các giao dịch M&amp;A. Họ cho rằng các vụ kiện này là vô nghĩa và áp đặt chi phí đáng kể, cả về tiền bạc lẫn các mặt khác, lên các công ty. Pháp luật hiện đã cung cấp những biện pháp khắc phục nào cho các bị đơn bị thiệt hại bởi các vụ kiện vô nghĩa? Tại sao những biện pháp khắc phục đó có thể không đủ?</w:t>
      </w:r>
    </w:p>
    <w:p>
      <w:pPr>
        <w:spacing w:after="80"/>
      </w:pPr>
      <w:r>
        <w:rPr>
          <w:b w:val="0"/>
          <w:i w:val="0"/>
        </w:rPr>
        <w:t>3. Trong khi lưu ý rằng các điều lệ được pháp luật cho phép nhưng không thể thi hành theo luật công bằng nếu được ban hành vì mục đích không chính đáng, Tòa án Tối cao Delaware đã phán quyết rằng ý định của hội đồng quản trị nhằm ngăn cản kiện tụng không phải "lúc nào cũng là mục đích không chính đáng." Khi nào thì ý định ngăn cản kiện tụng của các giám đốc sẽ khiến một điều lệ không thể thi hành theo luật công bằng? Thế nào là mục đích không chính đáng?</w:t>
      </w:r>
    </w:p>
    <w:p>
      <w:pPr>
        <w:spacing w:after="80"/>
      </w:pPr>
      <w:r>
        <w:rPr>
          <w:b w:val="0"/>
          <w:i w:val="0"/>
        </w:rPr>
        <w:t>4. Thống đốc bang Delaware Jack Markell đã ký Dự luật Thượng viện số 75 vào tháng 6 năm 2015, trong đó có nội dung sửa đổi Mục 102 và 109 của Luật Tổng công ty (General Corporation Law), có hiệu lực từ ngày 1 tháng 8 năm 2015, cụ thể như sau:</w:t>
      </w:r>
    </w:p>
    <w:p>
      <w:pPr>
        <w:spacing w:after="80"/>
      </w:pPr>
      <w:r>
        <w:rPr>
          <w:b/>
          <w:i w:val="0"/>
        </w:rPr>
        <w:t>Sửa đổi § 102, Tiêu đề 8 của Bộ luật Delaware, bằng cách thêm một mục mới, § 102(f), được thể hiện bằng gạch chân như sau:</w:t>
      </w:r>
    </w:p>
    <w:p>
      <w:pPr>
        <w:spacing w:after="80"/>
      </w:pPr>
      <w:r>
        <w:rPr>
          <w:b w:val="0"/>
          <w:i w:val="0"/>
        </w:rPr>
        <w:t>(f) Điều lệ thành lập công ty (certificate of incorporation) không được chứa bất kỳ điều khoản nào áp đặt trách nhiệm lên cổ đông đối với phí luật sư hoặc chi phí của công ty hoặc bất kỳ bên nào khác liên quan đến khiếu nại nội bộ công ty (internal corporate claim), như được định nghĩa tại § 115 của tiêu đề này.</w:t>
      </w:r>
    </w:p>
    <w:p>
      <w:pPr>
        <w:spacing w:after="80"/>
      </w:pPr>
      <w:r>
        <w:rPr>
          <w:b/>
          <w:i w:val="0"/>
        </w:rPr>
        <w:t>Sửa đổi § 109(b), Tiêu đề 8 của Bộ luật Delaware, bằng cách thêm vào được thể hiện bằng gạch chân và xóa đi được thể hiện bằng gạch ngang như sau:</w:t>
      </w:r>
    </w:p>
    <w:p>
      <w:pPr>
        <w:spacing w:after="80"/>
      </w:pPr>
      <w:r>
        <w:rPr>
          <w:b w:val="0"/>
          <w:i w:val="0"/>
        </w:rPr>
        <w:t>(b) Quy chế công ty (bylaws) có thể chứa bất kỳ điều khoản nào, không trái với pháp luật hoặc với điều lệ thành lập công ty, liên quan đến hoạt động kinh doanh của công ty, việc điều hành các công việc của công ty, và các quyền hoặc quyền hạn của công ty hoặc quyền hoặc quyền hạn của các cổ đông, giám đốc, cán bộ hoặc nhân viên của công ty. Quy chế công ty không được chứa bất kỳ điều khoản nào áp đặt trách nhiệm lên cổ đông đối với phí luật sư hoặc chi phí của công ty hoặc bất kỳ bên nào khác liên quan đến khiếu nại nội bộ công ty, như được định nghĩa tại § 115 của tiêu đề này.</w:t>
      </w:r>
    </w:p>
    <w:p>
      <w:pPr>
        <w:spacing w:after="80"/>
      </w:pPr>
      <w:r>
        <w:rPr>
          <w:b w:val="0"/>
          <w:i w:val="0"/>
        </w:rPr>
        <w:t xml:space="preserve">Đối với cả hai điều khoản này, thuật ngữ "khiếu nại nội bộ công ty" (intracorporate claims) được định nghĩa là các khiếu nại phát sinh theo luật định của Delaware, bao gồm các khiếu nại về vi phạm nghĩa vụ tín thác (breach of fiduciary duty) của các giám đốc hoặc cán bộ hiện tại hoặc trước đây hoặc cổ đông kiểm soát của công ty, hoặc những người hỗ trợ hoặc tiếp tay cho hành vi vi phạm đó. Vì các sửa đổi chỉ áp dụng cho các công ty cổ phần Delaware, các luật mới không vô hiệu hóa phán quyết </w:t>
      </w:r>
      <w:r>
        <w:rPr>
          <w:b w:val="0"/>
          <w:i/>
        </w:rPr>
        <w:t>ATP Tour</w:t>
      </w:r>
      <w:r>
        <w:rPr>
          <w:b w:val="0"/>
          <w:i w:val="0"/>
        </w:rPr>
        <w:t>.</w:t>
      </w:r>
    </w:p>
    <w:p>
      <w:pPr>
        <w:spacing w:after="80"/>
      </w:pPr>
      <w:r>
        <w:rPr>
          <w:b w:val="0"/>
          <w:i w:val="0"/>
        </w:rPr>
        <w:t>Theo bạn, những lợi ích nào đã thúc đẩy các nhà lập pháp Delaware ban hành lệnh cấm các quy chế công ty về chuyển dịch phí (fee-shifting bylaws)?</w:t>
      </w:r>
    </w:p>
    <w:p>
      <w:pPr>
        <w:spacing w:after="80"/>
      </w:pPr>
      <w:r>
        <w:rPr>
          <w:b w:val="0"/>
          <w:i w:val="0"/>
        </w:rPr>
        <w:t>5. Mặc dù luật năm 2015 đã cấm các quy chế công ty về chuyển dịch phí đối với các công ty cổ phần Delaware, luật mới cũng đã hợp thức hóa các điều khoản trong quy chế công ty (và điều lệ thành lập) chọn tòa án Delaware — nhưng không phải bất kỳ bang nào khác — làm diễn đàn độc quyền (exclusive forum) để giải quyết tranh chấp "khiếu nại nội bộ công ty". Theo Mục 115 mới được bổ sung của DGCL, "khiếu nại nội bộ công ty" là những khiếu nại "(i) dựa trên hành vi vi phạm nghĩa vụ của một giám đốc hoặc cán bộ hoặc cổ đông hiện tại hoặc trước đây với tư cách đó, hoặc (ii) mà tiêu đề này trao thẩm quyền xét xử cho Tòa án Chancery." Các điều khoản của điều lệ thành lập hoặc quy chế công ty chọn một diễn đàn khác ngoài Delaware cho các khiếu nại nội bộ công ty không được cho phép rõ ràng cũng không bị cấm theo quy chế mới. Tuy nhiên, luật này vô hiệu hóa bất kỳ điều khoản nào như vậy chọn tòa án bên ngoài Delaware, hoặc bất kỳ diễn đàn trọng tài nào, trong phạm vi mà quy chế công ty đó sẽ cấm việc kiện tụng các khiếu nại nội bộ công ty tại tòa án Delaware.</w:t>
      </w:r>
    </w:p>
    <w:p>
      <w:pPr>
        <w:spacing w:after="80"/>
      </w:pPr>
      <w:r>
        <w:rPr>
          <w:b w:val="0"/>
          <w:i w:val="0"/>
        </w:rPr>
        <w:t xml:space="preserve">Luật năm 2015 được ban hành sau hai phán quyết của Delaware đã chấp thuận các quy chế công ty về lựa chọn diễn đàn (hoặc diễn đàn duy nhất) như một công cụ quan trọng để các công ty sử dụng nhằm tránh kiện tụng đa thẩm quyền. Trong vụ </w:t>
      </w:r>
      <w:r>
        <w:rPr>
          <w:b w:val="0"/>
          <w:i/>
        </w:rPr>
        <w:t>Boilermakers Local 154 Retirement Fund v. Chevron Corp</w:t>
      </w:r>
      <w:r>
        <w:rPr>
          <w:b w:val="0"/>
          <w:i w:val="0"/>
        </w:rPr>
        <w:t xml:space="preserve"> ., 73 A.3d 934 (Del. Ch. 2013), Thẩm phán lúc đó là Leo Strine đã giữ nguyên hiệu lực theo luật định và hợp đồng của các quy chế công ty chọn Delaware làm diễn đàn độc quyền cho các tranh chấp nội bộ công ty. Năm 2014, Thẩm phán Andre Bouchard đã giữ nguyên một quy chế công ty chỉ định một diễn đàn độc quyền khác ngoài Delaware cho các tranh chấp nội bộ công ty. </w:t>
      </w:r>
      <w:r>
        <w:rPr>
          <w:b w:val="0"/>
          <w:i/>
        </w:rPr>
        <w:t>City of Providence v. First Citizens BancShares</w:t>
      </w:r>
      <w:r>
        <w:rPr>
          <w:b w:val="0"/>
          <w:i w:val="0"/>
        </w:rPr>
        <w:t xml:space="preserve"> , </w:t>
      </w:r>
      <w:r>
        <w:rPr>
          <w:b w:val="0"/>
          <w:i/>
        </w:rPr>
        <w:t>Inc.</w:t>
      </w:r>
      <w:r>
        <w:rPr>
          <w:b w:val="0"/>
          <w:i w:val="0"/>
        </w:rPr>
        <w:t xml:space="preserve"> , 99 A.3d 229, 234 (Del. Ch. 2014).</w:t>
      </w:r>
    </w:p>
    <w:p>
      <w:pPr>
        <w:spacing w:after="80"/>
      </w:pPr>
      <w:r>
        <w:rPr>
          <w:b w:val="0"/>
          <w:i w:val="0"/>
        </w:rPr>
        <w:t xml:space="preserve">1 . </w:t>
      </w:r>
      <w:r>
        <w:rPr>
          <w:b w:val="0"/>
          <w:i/>
        </w:rPr>
        <w:t>Schoon v. Smith</w:t>
      </w:r>
      <w:r>
        <w:rPr>
          <w:b w:val="0"/>
          <w:i w:val="0"/>
        </w:rPr>
        <w:t xml:space="preserve"> , 953 A.2d 196 (Del. 2008).</w:t>
      </w:r>
    </w:p>
    <w:p>
      <w:pPr>
        <w:spacing w:after="80"/>
      </w:pPr>
      <w:r>
        <w:rPr>
          <w:b w:val="0"/>
          <w:i w:val="0"/>
        </w:rPr>
        <w:t xml:space="preserve">2 . J. Travis Laster, </w:t>
      </w:r>
      <w:r>
        <w:rPr>
          <w:b w:val="0"/>
          <w:i/>
        </w:rPr>
        <w:t>Goodbye to the Contemporaneous Ownership Requirement</w:t>
      </w:r>
      <w:r>
        <w:rPr>
          <w:b w:val="0"/>
          <w:i w:val="0"/>
        </w:rPr>
        <w:t xml:space="preserve"> , 33 Del. J. Corp. L. 673 (2008) (lập luận rằng quy tắc này áp đặt một cách tùy tiện việc bác bỏ các khiếu nại có khả năng có căn cứ và là không cần thiết khi xét đến nhiều lựa chọn thay thế sẵn có cho các bị đơn đang tìm cách bác bỏ các vụ kiện mang tính đánh phá).</w:t>
      </w:r>
    </w:p>
    <w:p>
      <w:pPr>
        <w:spacing w:after="80"/>
      </w:pPr>
      <w:r>
        <w:rPr>
          <w:b w:val="0"/>
          <w:i w:val="0"/>
        </w:rPr>
        <w:t xml:space="preserve">3 . </w:t>
      </w:r>
      <w:r>
        <w:rPr>
          <w:b w:val="0"/>
          <w:i/>
        </w:rPr>
        <w:t>Quadrant Structured Prod. Co. v. Vertin</w:t>
      </w:r>
      <w:r>
        <w:rPr>
          <w:b w:val="0"/>
          <w:i w:val="0"/>
        </w:rPr>
        <w:t xml:space="preserve"> , 2014 WL 5099428 (Del. Ch. Oct. 1, 2014).</w:t>
      </w:r>
    </w:p>
    <w:p>
      <w:pPr>
        <w:spacing w:after="80"/>
      </w:pPr>
      <w:r>
        <w:rPr>
          <w:b w:val="0"/>
          <w:i w:val="0"/>
        </w:rPr>
        <w:t xml:space="preserve">4 . </w:t>
      </w:r>
      <w:r>
        <w:rPr>
          <w:b w:val="0"/>
          <w:i/>
        </w:rPr>
        <w:t>See, e.g.</w:t>
      </w:r>
      <w:r>
        <w:rPr>
          <w:b w:val="0"/>
          <w:i w:val="0"/>
        </w:rPr>
        <w:t xml:space="preserve"> , I</w:t>
      </w:r>
      <w:r>
        <w:rPr>
          <w:b w:val="0"/>
          <w:i/>
        </w:rPr>
        <w:t>n re Fuqua Indus., Inc. Shareholder Litig</w:t>
      </w:r>
      <w:r>
        <w:rPr>
          <w:b w:val="0"/>
          <w:i w:val="0"/>
        </w:rPr>
        <w:t xml:space="preserve"> ., 752 A.2d 126 (Del. Ch. 1999).</w:t>
      </w:r>
    </w:p>
    <w:p>
      <w:pPr>
        <w:spacing w:after="80"/>
      </w:pPr>
      <w:r>
        <w:rPr>
          <w:b w:val="0"/>
          <w:i w:val="0"/>
        </w:rPr>
        <w:t xml:space="preserve">5 . </w:t>
      </w:r>
      <w:r>
        <w:rPr>
          <w:b w:val="0"/>
          <w:i/>
        </w:rPr>
        <w:t>See Lewis v. Anderson</w:t>
      </w:r>
      <w:r>
        <w:rPr>
          <w:b w:val="0"/>
          <w:i w:val="0"/>
        </w:rPr>
        <w:t xml:space="preserve"> , 477 A.2d 1040 (Del. 1984).</w:t>
      </w:r>
    </w:p>
    <w:p>
      <w:pPr>
        <w:spacing w:after="80"/>
      </w:pPr>
      <w:r>
        <w:rPr>
          <w:b w:val="0"/>
          <w:i w:val="0"/>
        </w:rPr>
        <w:t xml:space="preserve">6 . </w:t>
      </w:r>
      <w:r>
        <w:rPr>
          <w:b w:val="0"/>
          <w:i/>
        </w:rPr>
        <w:t>Grimes v. Donald,</w:t>
      </w:r>
      <w:r>
        <w:rPr>
          <w:b w:val="0"/>
          <w:i w:val="0"/>
        </w:rPr>
        <w:t xml:space="preserve"> 673 A.2d 1207, 1216 (Del. 1996).</w:t>
      </w:r>
    </w:p>
    <w:p>
      <w:pPr>
        <w:spacing w:after="80"/>
      </w:pPr>
      <w:r>
        <w:rPr>
          <w:b w:val="0"/>
          <w:i w:val="0"/>
        </w:rPr>
        <w:t xml:space="preserve">7 . </w:t>
      </w:r>
      <w:r>
        <w:rPr>
          <w:b w:val="0"/>
          <w:i/>
        </w:rPr>
        <w:t>See Spiegel v. Buntrock,</w:t>
      </w:r>
      <w:r>
        <w:rPr>
          <w:b w:val="0"/>
          <w:i w:val="0"/>
        </w:rPr>
        <w:t xml:space="preserve"> 571 A.2d 767, 774–75 (Del. 1990).</w:t>
      </w:r>
    </w:p>
    <w:p>
      <w:pPr>
        <w:spacing w:after="80"/>
      </w:pPr>
      <w:r>
        <w:rPr>
          <w:b w:val="0"/>
          <w:i w:val="0"/>
        </w:rPr>
        <w:t xml:space="preserve">8 . </w:t>
      </w:r>
      <w:r>
        <w:rPr>
          <w:b w:val="0"/>
          <w:i/>
        </w:rPr>
        <w:t>Xem Levine v. Smith</w:t>
      </w:r>
      <w:r>
        <w:rPr>
          <w:b w:val="0"/>
          <w:i w:val="0"/>
        </w:rPr>
        <w:t xml:space="preserve"> , 591 A.2d 194, 212 (Del. 1991).</w:t>
      </w:r>
    </w:p>
    <w:p>
      <w:pPr>
        <w:spacing w:after="80"/>
      </w:pPr>
      <w:r>
        <w:rPr>
          <w:b w:val="0"/>
          <w:i w:val="0"/>
        </w:rPr>
        <w:t xml:space="preserve">9 . </w:t>
      </w:r>
      <w:r>
        <w:rPr>
          <w:b w:val="0"/>
          <w:i/>
        </w:rPr>
        <w:t>Ironworkers Dist. Council of Philadelphia &amp; Vicinity Retirement &amp; Pension Plan v. Andreotti</w:t>
      </w:r>
      <w:r>
        <w:rPr>
          <w:b w:val="0"/>
          <w:i w:val="0"/>
        </w:rPr>
        <w:t xml:space="preserve"> , 2015 WL 2270673 (Del. Ch. May 8, 2015).</w:t>
      </w:r>
    </w:p>
    <w:p>
      <w:pPr>
        <w:spacing w:after="80"/>
      </w:pPr>
      <w:r>
        <w:rPr>
          <w:b w:val="0"/>
          <w:i w:val="0"/>
        </w:rPr>
        <w:t xml:space="preserve">10 . </w:t>
      </w:r>
      <w:r>
        <w:rPr>
          <w:b w:val="0"/>
          <w:i/>
        </w:rPr>
        <w:t>Xem</w:t>
      </w:r>
      <w:r>
        <w:rPr>
          <w:b w:val="0"/>
          <w:i w:val="0"/>
        </w:rPr>
        <w:t xml:space="preserve"> Robert B. Thompson &amp; Randall S. Thomas, </w:t>
      </w:r>
      <w:r>
        <w:rPr>
          <w:b w:val="0"/>
          <w:i/>
        </w:rPr>
        <w:t>The Public and Private Faces of Derivative Lawsuits</w:t>
      </w:r>
      <w:r>
        <w:rPr>
          <w:b w:val="0"/>
          <w:i w:val="0"/>
        </w:rPr>
        <w:t xml:space="preserve"> , 57 Vand. L. Rev. 1747 (2004).</w:t>
      </w:r>
    </w:p>
    <w:p>
      <w:pPr>
        <w:spacing w:after="80"/>
      </w:pPr>
      <w:r>
        <w:rPr>
          <w:b w:val="0"/>
          <w:i w:val="0"/>
        </w:rPr>
        <w:t>* Chúng tôi thừa nhận rằng việc vạch ranh giới ở mức đa số thành viên hội đồng quản trị có thể bị coi là một điểm phân chia có phần tùy tiện. Những người chỉ trích sẽ cho rằng chúng tôi đang phớt lờ khuynh hướng thiên vị mang tính cấu trúc vốn phổ biến ở các hội đồng quản trị doanh nghiệp trên khắp nước Mỹ, cũng như các quá trình xã hội hóa vô hình khác cản trở việc thảo luận và ra quyết định độc lập trong phòng họp hội đồng quản trị. Khó khăn với khuynh hướng thiên vị mang tính cấu trúc trong một vụ án yêu cầu vô ích (demand futile) đơn giản chỉ là việc chứng minh nó trong đơn kiện (complaint) nhằm mục đích của Quy tắc 23.1. Chúng tôi hài lòng rằng việc Tòa án Chancery xem xét theo quyền tùy ý đối với các đơn kiện nêu ra những sự kiện cụ thể chỉ ra sự thiên vị ở một hội đồng quản trị cụ thể sẽ đủ để xác định yêu cầu vô ích.</w:t>
      </w:r>
    </w:p>
    <w:p>
      <w:pPr>
        <w:spacing w:after="80"/>
      </w:pPr>
      <w:r>
        <w:rPr>
          <w:b w:val="0"/>
          <w:i w:val="0"/>
        </w:rPr>
        <w:t>11 . 634 A.2d 927 (Del. 1993).</w:t>
      </w:r>
    </w:p>
    <w:p>
      <w:pPr>
        <w:spacing w:after="80"/>
      </w:pPr>
      <w:r>
        <w:rPr>
          <w:b w:val="0"/>
          <w:i w:val="0"/>
        </w:rPr>
        <w:t xml:space="preserve">12 . </w:t>
      </w:r>
      <w:r>
        <w:rPr>
          <w:b w:val="0"/>
          <w:i/>
        </w:rPr>
        <w:t>Lewis v. Fuqua</w:t>
      </w:r>
      <w:r>
        <w:rPr>
          <w:b w:val="0"/>
          <w:i w:val="0"/>
        </w:rPr>
        <w:t xml:space="preserve"> , 502 A.2d 962, 967 (Del. Ch. 1985).</w:t>
      </w:r>
    </w:p>
    <w:p>
      <w:pPr>
        <w:spacing w:after="80"/>
      </w:pPr>
      <w:r>
        <w:rPr>
          <w:b w:val="0"/>
          <w:i w:val="0"/>
        </w:rPr>
        <w:t>13 . 393 N.E.2d 994 (N.Y. Ct. App. 1979).</w:t>
      </w:r>
    </w:p>
    <w:p>
      <w:pPr>
        <w:spacing w:after="80"/>
      </w:pPr>
      <w:r>
        <w:rPr>
          <w:b w:val="0"/>
          <w:i w:val="0"/>
        </w:rPr>
        <w:t xml:space="preserve">14 . </w:t>
      </w:r>
      <w:r>
        <w:rPr>
          <w:b w:val="0"/>
          <w:i/>
        </w:rPr>
        <w:t>Xem, ví dụ</w:t>
      </w:r>
      <w:r>
        <w:rPr>
          <w:b w:val="0"/>
          <w:i w:val="0"/>
        </w:rPr>
        <w:t xml:space="preserve"> , James D. Cox, </w:t>
      </w:r>
      <w:r>
        <w:rPr>
          <w:b w:val="0"/>
          <w:i/>
        </w:rPr>
        <w:t>Searching for the Corporation's Voice in Derivative Suit Litigation: A Critique of</w:t>
      </w:r>
      <w:r>
        <w:rPr>
          <w:b w:val="0"/>
          <w:i w:val="0"/>
        </w:rPr>
        <w:t xml:space="preserve"> Zapata </w:t>
      </w:r>
      <w:r>
        <w:rPr>
          <w:b w:val="0"/>
          <w:i/>
        </w:rPr>
        <w:t>and the ALI Project</w:t>
      </w:r>
      <w:r>
        <w:rPr>
          <w:b w:val="0"/>
          <w:i w:val="0"/>
        </w:rPr>
        <w:t xml:space="preserve"> , 1982 Duke L.J. 959 (trong tất cả trừ một trong hai mươi vụ án được báo cáo, các SLC kết luận rằng vụ kiện không vì lợi ích tốt nhất của công ty).</w:t>
      </w:r>
    </w:p>
    <w:p>
      <w:pPr>
        <w:spacing w:after="80"/>
      </w:pPr>
      <w:r>
        <w:rPr>
          <w:b w:val="0"/>
          <w:i w:val="0"/>
        </w:rPr>
        <w:t xml:space="preserve">15 . Minor Myers, </w:t>
      </w:r>
      <w:r>
        <w:rPr>
          <w:b w:val="0"/>
          <w:i/>
        </w:rPr>
        <w:t>The Decisions of Corporate Special Litigation Committees: An Empirical Investigation</w:t>
      </w:r>
      <w:r>
        <w:rPr>
          <w:b w:val="0"/>
          <w:i w:val="0"/>
        </w:rPr>
        <w:t xml:space="preserve"> , 84 Ind. L. Rev. 1309 (2009).</w:t>
      </w:r>
    </w:p>
    <w:p>
      <w:pPr>
        <w:spacing w:after="80"/>
      </w:pPr>
      <w:r>
        <w:rPr>
          <w:b w:val="0"/>
          <w:i w:val="0"/>
        </w:rPr>
        <w:t xml:space="preserve">16 . Jessica M. Erickson, </w:t>
      </w:r>
      <w:r>
        <w:rPr>
          <w:b w:val="0"/>
          <w:i/>
        </w:rPr>
        <w:t>Corporate Governance in the Courtroom: An Empirical Analysis</w:t>
      </w:r>
      <w:r>
        <w:rPr>
          <w:b w:val="0"/>
          <w:i w:val="0"/>
        </w:rPr>
        <w:t xml:space="preserve"> , 51 Wm. &amp; Mary L. Rev. 1749 (2010).</w:t>
      </w:r>
    </w:p>
    <w:p>
      <w:pPr>
        <w:spacing w:after="80"/>
      </w:pPr>
      <w:r>
        <w:rPr>
          <w:b w:val="0"/>
          <w:i w:val="0"/>
        </w:rPr>
        <w:t>17 . 556 N.E.2d 51 (Mass. 1990) (dẫn chiếu ALI Principles of Corporate Governance Mục 7.08 (Tent. Draft No. 8, 1988)).</w:t>
      </w:r>
    </w:p>
    <w:p>
      <w:pPr>
        <w:spacing w:after="80"/>
      </w:pPr>
      <w:r>
        <w:rPr>
          <w:b w:val="0"/>
          <w:i w:val="0"/>
        </w:rPr>
        <w:t xml:space="preserve">18 . </w:t>
      </w:r>
      <w:r>
        <w:rPr>
          <w:b w:val="0"/>
          <w:i/>
        </w:rPr>
        <w:t>In re Oracle Corp. Deriv. Litig.</w:t>
      </w:r>
      <w:r>
        <w:rPr>
          <w:b w:val="0"/>
          <w:i w:val="0"/>
        </w:rPr>
        <w:t xml:space="preserve"> , 824 A.2d 917 (Del. Ch. 2003) </w:t>
      </w:r>
      <w:r>
        <w:rPr>
          <w:b w:val="0"/>
          <w:i/>
        </w:rPr>
        <w:t>appeal denied, Oracle Corp. ex rel. Special Litig. Comm. v. Barone</w:t>
      </w:r>
      <w:r>
        <w:rPr>
          <w:b w:val="0"/>
          <w:i w:val="0"/>
        </w:rPr>
        <w:t xml:space="preserve"> , 829 A.2d 141 (Del. 2003), </w:t>
      </w:r>
      <w:r>
        <w:rPr>
          <w:b w:val="0"/>
          <w:i/>
        </w:rPr>
        <w:t>summary judgment granted, In re Oracle Corp., Derivative Litig.</w:t>
      </w:r>
      <w:r>
        <w:rPr>
          <w:b w:val="0"/>
          <w:i w:val="0"/>
        </w:rPr>
        <w:t xml:space="preserve"> , 867 A.2d 904 (Del. Ch. 2004), </w:t>
      </w:r>
      <w:r>
        <w:rPr>
          <w:b w:val="0"/>
          <w:i/>
        </w:rPr>
        <w:t>aff'd</w:t>
      </w:r>
      <w:r>
        <w:rPr>
          <w:b w:val="0"/>
          <w:i w:val="0"/>
        </w:rPr>
        <w:t xml:space="preserve"> , 872 A.2d 960 (Del. 2005).</w:t>
      </w:r>
    </w:p>
    <w:p>
      <w:pPr>
        <w:spacing w:after="80"/>
      </w:pPr>
      <w:r>
        <w:rPr>
          <w:b w:val="0"/>
          <w:i w:val="0"/>
        </w:rPr>
        <w:t>* Tòa án Chancery đã quyết định rằng các nguyên đơn chưa bác bỏ được tính độc lập của Jackson vì họ chưa nêu ra các sự kiện cho thấy Chủ tịch Sanchez có quyền lực đơn phương khiến Jackson bị chấm dứt vị trí điều hành tại IBC, bởi vì Chủ tịch Sanchez chỉ là một trong chín giám đốc tại công ty mẹ và các nguyên đơn không nêu rõ chính xác Chủ tịch Sanchez và gia đình ông kiểm soát bao nhiêu phần cổ phiếu của IBC. Mặc dù đúng là các nguyên đơn không nêu ra tỷ lệ phần trăm cổ phiếu IBC mà gia đình Sanchez sở hữu, nhưng các nguyên đơn i) đã nêu rằng Chủ tịch Sanchez là “cổ đông lớn nhất” của IBC; ii) đã nêu rằng Chủ tịch Sanchez từng là giám đốc không độc lập của IBC; và iii) đã dẫn chiếu một bản tuyên bố ủy quyền (proxy statement) thừa nhận lợi ích của Chủ tịch Sanchez tại IBC bằng cách lưu ý rằng ông không phải là giám đốc độc lập “theo định nghĩa trong các Quy tắc Thị trường NASDAQ hiện hành,” vốn định nghĩa giám đốc không độc lập là người “có một mối quan hệ mà theo ý kiến của hội đồng quản trị Công ty, sẽ cản trở việc thực hiện phán đoán độc lập trong khi thực hiện các trách nhiệm của một giám đốc.”. . . NASDAQ Marketplace Rule 5605(a)(2). Các nguyên đơn cũng đã nêu rằng “[n]ếu Jackson . . . hành động chống lại lợi ích của Sanchez Jr., ông phải đối mặt với nguy cơ bị chấm dứt tại IBC, mất cơ hội thăng tiến, và mất hoặc giảm lương—chính sinh kế của ông—vì vị trí của Sanchez Jr. trong hội đồng quản trị IBC và ảnh hưởng đáng kể thông qua cổ phần sở hữu lớn của ông ta.” Một suy luận tự nhiên từ những sự kiện đã nêu này là Chủ tịch Sanchez có ảnh hưởng rất lớn tại IBC nói chung, bao gồm cả công ty con do IBC sở hữu toàn phần. Và sự kiện rằng “cả Jackson và anh trai ông đều nhận được một phần hoa hồng mà [Sanchez Energy] và các chi nhánh của nó trả cho IBC,” và rằng việc làm của họ là nguồn thu nhập chính, đã được nêu ra. Việc thiếu tính độc lập không phụ thuộc vào việc bên có quyền lợi có thể trực tiếp sa thải một giám đốc khỏi công việc chính của ông ta hay không. Ở giai đoạn nêu đơn kiện, nó phụ thuộc vào việc liệu các nguyên đơn đã nêu ra các sự kiện mà từ đó có thể nghi ngờ khả năng của giám đốc đó trong việc hành động công bằng đối với một vấn đề quan trọng với bên có quyền lợi, bởi vì giám đốc đó có thể cảm thấy hoặc bị đặt dưới sự chi phối của bên có quyền lợi hoặc mang ơn bên có quyền lợi đó. Ít nhất thì những sự kiện đã nêu cũng gợi ra một suy luận rằng Jackson có thể cảm thấy rất mang ơn Chủ tịch Sanchez với tư cách là nguồn cung cấp công việc chính của ông, và của cả anh trai ông.</w:t>
      </w:r>
    </w:p>
    <w:p>
      <w:pPr>
        <w:spacing w:after="80"/>
      </w:pPr>
      <w:r>
        <w:rPr>
          <w:b w:val="0"/>
          <w:i w:val="0"/>
        </w:rPr>
        <w:t xml:space="preserve">19 . </w:t>
      </w:r>
      <w:r>
        <w:rPr>
          <w:b w:val="0"/>
          <w:i/>
        </w:rPr>
        <w:t>In re Oracle Corp. Deriv. Litig.,</w:t>
      </w:r>
      <w:r>
        <w:rPr>
          <w:b w:val="0"/>
          <w:i w:val="0"/>
        </w:rPr>
        <w:t xml:space="preserve"> 824 A.2d 917, 939 (Del. Ch. 2003).</w:t>
      </w:r>
    </w:p>
    <w:p>
      <w:pPr>
        <w:spacing w:after="80"/>
      </w:pPr>
      <w:r>
        <w:rPr>
          <w:b w:val="0"/>
          <w:i w:val="0"/>
        </w:rPr>
        <w:t xml:space="preserve">20 . </w:t>
      </w:r>
      <w:r>
        <w:rPr>
          <w:b w:val="0"/>
          <w:i/>
        </w:rPr>
        <w:t>Xem</w:t>
      </w:r>
      <w:r>
        <w:rPr>
          <w:b w:val="0"/>
          <w:i w:val="0"/>
        </w:rPr>
        <w:t xml:space="preserve"> Valerie Bauerlein &amp; Mike Esterl, </w:t>
      </w:r>
      <w:r>
        <w:rPr>
          <w:b w:val="0"/>
          <w:i/>
        </w:rPr>
        <w:t>Judge Orders Scrushy to Pay $2.88 Billion in Civil Suit</w:t>
      </w:r>
      <w:r>
        <w:rPr>
          <w:b w:val="0"/>
          <w:i w:val="0"/>
        </w:rPr>
        <w:t xml:space="preserve"> , Wall St. J., June 19, 2009, at B1.</w:t>
      </w:r>
    </w:p>
    <w:p>
      <w:pPr>
        <w:spacing w:after="80"/>
      </w:pPr>
      <w:r>
        <w:rPr>
          <w:b w:val="0"/>
          <w:i w:val="0"/>
        </w:rPr>
        <w:t xml:space="preserve">21 . </w:t>
      </w:r>
      <w:r>
        <w:rPr>
          <w:b w:val="0"/>
          <w:i/>
        </w:rPr>
        <w:t>Xem Scrushy v. Tucker</w:t>
      </w:r>
      <w:r>
        <w:rPr>
          <w:b w:val="0"/>
          <w:i w:val="0"/>
        </w:rPr>
        <w:t xml:space="preserve"> , 70 So.3d 289 (2011) (giữ nguyên toàn bộ phán quyết).</w:t>
      </w:r>
    </w:p>
    <w:p>
      <w:pPr>
        <w:spacing w:after="80"/>
      </w:pPr>
      <w:r>
        <w:rPr>
          <w:b w:val="0"/>
          <w:i w:val="0"/>
        </w:rPr>
        <w:t xml:space="preserve">22 . </w:t>
      </w:r>
      <w:r>
        <w:rPr>
          <w:b w:val="0"/>
          <w:i/>
        </w:rPr>
        <w:t>Xem</w:t>
      </w:r>
      <w:r>
        <w:rPr>
          <w:b w:val="0"/>
          <w:i w:val="0"/>
        </w:rPr>
        <w:t xml:space="preserve"> Bernard Black, và cộng sự, </w:t>
      </w:r>
      <w:r>
        <w:rPr>
          <w:b w:val="0"/>
          <w:i/>
        </w:rPr>
        <w:t>Trách nhiệm của Thành viên Hội đồng Quản trị Bên ngoài</w:t>
      </w:r>
      <w:r>
        <w:rPr>
          <w:b w:val="0"/>
          <w:i w:val="0"/>
        </w:rPr>
        <w:t xml:space="preserve"> , 58 Stan. L. Rev. 1055, 1090–91 (2006).</w:t>
      </w:r>
    </w:p>
    <w:p>
      <w:pPr>
        <w:spacing w:after="80"/>
      </w:pPr>
      <w:r>
        <w:rPr>
          <w:b w:val="0"/>
          <w:i w:val="0"/>
        </w:rPr>
        <w:t xml:space="preserve">23 . </w:t>
      </w:r>
      <w:r>
        <w:rPr>
          <w:b w:val="0"/>
          <w:i/>
        </w:rPr>
        <w:t>Xem</w:t>
      </w:r>
      <w:r>
        <w:rPr>
          <w:b w:val="0"/>
          <w:i w:val="0"/>
        </w:rPr>
        <w:t xml:space="preserve"> Robert B. Thompson &amp; Randall S. Thomas, </w:t>
      </w:r>
      <w:r>
        <w:rPr>
          <w:b w:val="0"/>
          <w:i/>
        </w:rPr>
        <w:t>Những Gương mặt Công khai và Riêng tư của các Vụ kiện Phái sinh</w:t>
      </w:r>
      <w:r>
        <w:rPr>
          <w:b w:val="0"/>
          <w:i w:val="0"/>
        </w:rPr>
        <w:t xml:space="preserve"> , 57 Vand. L. Rev. 1747, 1775–76 (2004). </w:t>
      </w:r>
      <w:r>
        <w:rPr>
          <w:b w:val="0"/>
          <w:i/>
        </w:rPr>
        <w:t>Xem thêm</w:t>
      </w:r>
      <w:r>
        <w:rPr>
          <w:b w:val="0"/>
          <w:i w:val="0"/>
        </w:rPr>
        <w:t xml:space="preserve"> Robert B. Thompson &amp; Randall S. Thomas, </w:t>
      </w:r>
      <w:r>
        <w:rPr>
          <w:b w:val="0"/>
          <w:i/>
        </w:rPr>
        <w:t>Diện mạo Mới của Tranh chấp Cổ đông: Các Vụ kiện Tập thể Hướng đến Thâu tóm</w:t>
      </w:r>
      <w:r>
        <w:rPr>
          <w:b w:val="0"/>
          <w:i w:val="0"/>
        </w:rPr>
        <w:t xml:space="preserve"> , 57 Vand. L. Rev. 133 (2004).</w:t>
      </w:r>
    </w:p>
    <w:p>
      <w:pPr>
        <w:spacing w:after="80"/>
      </w:pPr>
      <w:r>
        <w:rPr>
          <w:b w:val="0"/>
          <w:i w:val="0"/>
        </w:rPr>
        <w:t xml:space="preserve">24 . John Armour và cộng sự, </w:t>
      </w:r>
      <w:r>
        <w:rPr>
          <w:b w:val="0"/>
          <w:i/>
        </w:rPr>
        <w:t>Thực thi Tư nhân Luật Doanh nghiệp: So sánh Thực nghiệm giữa Vương quốc Anh và Hoa Kỳ</w:t>
      </w:r>
      <w:r>
        <w:rPr>
          <w:b w:val="0"/>
          <w:i w:val="0"/>
        </w:rPr>
        <w:t xml:space="preserve"> , 6 J. Empir. L. Stud. 687, 705–10 (2009).</w:t>
      </w:r>
    </w:p>
    <w:p>
      <w:pPr>
        <w:spacing w:after="80"/>
      </w:pPr>
      <w:r>
        <w:rPr>
          <w:b w:val="0"/>
          <w:i w:val="0"/>
        </w:rPr>
        <w:t xml:space="preserve">25 . Ira M. Millstein &amp; E. Norman Veasey, </w:t>
      </w:r>
      <w:r>
        <w:rPr>
          <w:b w:val="0"/>
          <w:i/>
        </w:rPr>
        <w:t>Vài Suy nghĩ về Bảo vệ Thành viên Hội đồng Quản trị dưới ánh sáng của các Dàn xếp WorldCom và Enron: Đề xuất cho các Thành viên Hội đồng Quản trị</w:t>
      </w:r>
      <w:r>
        <w:rPr>
          <w:b w:val="0"/>
          <w:i w:val="0"/>
        </w:rPr>
        <w:t xml:space="preserve"> , Metro. Corp. Counsel (tháng 6 năm 2005).</w:t>
      </w:r>
    </w:p>
    <w:p>
      <w:pPr>
        <w:spacing w:after="80"/>
      </w:pPr>
      <w:r>
        <w:rPr>
          <w:b w:val="0"/>
          <w:i w:val="0"/>
        </w:rPr>
        <w:t xml:space="preserve">26 . </w:t>
      </w:r>
      <w:r>
        <w:rPr>
          <w:b w:val="0"/>
          <w:i/>
        </w:rPr>
        <w:t>Wied v. Valhi, Inc.</w:t>
      </w:r>
      <w:r>
        <w:rPr>
          <w:b w:val="0"/>
          <w:i w:val="0"/>
        </w:rPr>
        <w:t xml:space="preserve"> , 466 A.2d 9, 15 (Del. 1983).</w:t>
      </w:r>
    </w:p>
    <w:p>
      <w:pPr>
        <w:spacing w:after="80"/>
      </w:pPr>
      <w:r>
        <w:rPr>
          <w:b w:val="0"/>
          <w:i w:val="0"/>
        </w:rPr>
        <w:t xml:space="preserve">27 . </w:t>
      </w:r>
      <w:r>
        <w:rPr>
          <w:b w:val="0"/>
          <w:i/>
        </w:rPr>
        <w:t>Mills v. Elec. Auto-Lite Co.</w:t>
      </w:r>
      <w:r>
        <w:rPr>
          <w:b w:val="0"/>
          <w:i w:val="0"/>
        </w:rPr>
        <w:t xml:space="preserve"> , 396 U.S. 375, 395 (1970).</w:t>
      </w:r>
    </w:p>
    <w:p>
      <w:pPr>
        <w:spacing w:after="80"/>
      </w:pPr>
      <w:r>
        <w:rPr>
          <w:b w:val="0"/>
          <w:i w:val="0"/>
        </w:rPr>
        <w:t xml:space="preserve">28 . </w:t>
      </w:r>
      <w:r>
        <w:rPr>
          <w:b w:val="0"/>
          <w:i/>
        </w:rPr>
        <w:t>Barkan v. Amsted Indus., Inc.</w:t>
      </w:r>
      <w:r>
        <w:rPr>
          <w:b w:val="0"/>
          <w:i w:val="0"/>
        </w:rPr>
        <w:t xml:space="preserve"> , 567 A.2d 1279, 1283 (Del. 1989).</w:t>
      </w:r>
    </w:p>
    <w:p>
      <w:pPr>
        <w:spacing w:after="80"/>
      </w:pPr>
      <w:r>
        <w:rPr>
          <w:b w:val="0"/>
          <w:i w:val="0"/>
        </w:rPr>
        <w:t xml:space="preserve">29 . </w:t>
      </w:r>
      <w:r>
        <w:rPr>
          <w:b w:val="0"/>
          <w:i/>
        </w:rPr>
        <w:t>Polk v. Good</w:t>
      </w:r>
      <w:r>
        <w:rPr>
          <w:b w:val="0"/>
          <w:i w:val="0"/>
        </w:rPr>
        <w:t xml:space="preserve"> , 507 A.2d 531, 536 (Del. 1986).</w:t>
      </w:r>
    </w:p>
    <w:p>
      <w:pPr>
        <w:spacing w:after="80"/>
      </w:pPr>
      <w:r>
        <w:rPr>
          <w:b w:val="0"/>
          <w:i w:val="0"/>
        </w:rPr>
        <w:t xml:space="preserve">30 . </w:t>
      </w:r>
      <w:r>
        <w:rPr>
          <w:b w:val="0"/>
          <w:i/>
        </w:rPr>
        <w:t>Xem</w:t>
      </w:r>
      <w:r>
        <w:rPr>
          <w:b w:val="0"/>
          <w:i w:val="0"/>
        </w:rPr>
        <w:t xml:space="preserve"> Jessica Erickson, </w:t>
      </w:r>
      <w:r>
        <w:rPr>
          <w:b w:val="0"/>
          <w:i/>
        </w:rPr>
        <w:t>Quản trị Doanh nghiệp tại Phòng xử án: Một Phân tích Thực nghiệm</w:t>
      </w:r>
      <w:r>
        <w:rPr>
          <w:b w:val="0"/>
          <w:i w:val="0"/>
        </w:rPr>
        <w:t xml:space="preserve"> , 51 Wm. &amp; Mary L. Rev. 1749, 1816–25 (2010) (kết luận rằng bằng chứng thực nghiệm ngày càng nhiều cho thấy phần lớn các vụ kiện phái sinh mang lại lợi ích cho luật sư của các bên hơn là cho các công ty).</w:t>
      </w:r>
    </w:p>
    <w:p>
      <w:pPr>
        <w:spacing w:after="80"/>
      </w:pPr>
      <w:r>
        <w:rPr>
          <w:b w:val="0"/>
          <w:i w:val="0"/>
        </w:rPr>
        <w:t xml:space="preserve">31 . Ví dụ, vào năm 2014, các cổ đông bất mãn đã đệ đơn kiện cáo buộc ban lãnh đạo có hành vi sai trái trong 93 phần trăm tất cả các thương vụ M&amp;A có giá trị trên 100 triệu đô la. Cornerstone Research, </w:t>
      </w:r>
      <w:r>
        <w:rPr>
          <w:b w:val="0"/>
          <w:i/>
        </w:rPr>
        <w:t>Tranh chấp Cổ đông Liên quan đến Thâu tóm các Công ty Đại chúng: Đánh giá Tranh chấp M&amp;A năm 2014</w:t>
      </w:r>
      <w:r>
        <w:rPr>
          <w:b w:val="0"/>
          <w:i w:val="0"/>
        </w:rPr>
        <w:t xml:space="preserve"> 2 (2014), </w:t>
      </w:r>
      <w:r>
        <w:rPr>
          <w:b w:val="0"/>
          <w:i/>
        </w:rPr>
        <w:t>có tại</w:t>
      </w:r>
      <w:r>
        <w:rPr>
          <w:b w:val="0"/>
          <w:i w:val="0"/>
        </w:rPr>
        <w:t xml:space="preserve"> http://www.cornerstone.com . Tần suất tranh chấp M&amp;A đã tăng từ chỉ dưới 40 phần trăm các giao dịch vào năm 2005 lên hơn 92 phần trăm vào năm 2011. Matthew D. Cain &amp; Steven Davidoff Solomon, </w:t>
      </w:r>
      <w:r>
        <w:rPr>
          <w:b w:val="0"/>
          <w:i/>
        </w:rPr>
        <w:t>Một Trò chơi Tuyệt vời: Động lực của Cạnh tranh giữa các Bang và Tranh chấp</w:t>
      </w:r>
      <w:r>
        <w:rPr>
          <w:b w:val="0"/>
          <w:i w:val="0"/>
        </w:rPr>
        <w:t xml:space="preserve"> , 100 Iowa L. Rev. 465, 469 (2015).</w:t>
      </w:r>
    </w:p>
    <w:p>
      <w:pPr>
        <w:spacing w:after="80"/>
      </w:pPr>
      <w:r>
        <w:rPr>
          <w:b w:val="0"/>
          <w:i w:val="0"/>
        </w:rPr>
        <w:t xml:space="preserve">32 . </w:t>
      </w:r>
      <w:r>
        <w:rPr>
          <w:b w:val="0"/>
          <w:i/>
        </w:rPr>
        <w:t>Matsushita Electric Industrial Co. v. Epstein</w:t>
      </w:r>
      <w:r>
        <w:rPr>
          <w:b w:val="0"/>
          <w:i w:val="0"/>
        </w:rPr>
        <w:t xml:space="preserve"> , 516 U.S. 367 (1996).</w:t>
      </w:r>
    </w:p>
    <w:p>
      <w:pPr>
        <w:spacing w:after="80"/>
      </w:pPr>
      <w:r>
        <w:rPr>
          <w:b w:val="0"/>
          <w:i w:val="0"/>
        </w:rPr>
        <w:t xml:space="preserve">33 . </w:t>
      </w:r>
      <w:r>
        <w:rPr>
          <w:b w:val="0"/>
          <w:i/>
        </w:rPr>
        <w:t>In re Revlon, Inc. Shareholders Litig.</w:t>
      </w:r>
      <w:r>
        <w:rPr>
          <w:b w:val="0"/>
          <w:i w:val="0"/>
        </w:rPr>
        <w:t xml:space="preserve"> , 990 A.2d 940, 946 (Del. Ch. 2010) (“[M]ột bên kiểm soát đã đưa ra đề xuất sáp nhập. Một loạt hành động đã được đệ trình với một đợt hoạt động ngắn ngủi cho đến khi cơ cấu lãnh đạo [của luật sư nguyên đơn] được giải quyết. Hoạt động tranh tụng thực sự sau đó đã chấm dứt.”).</w:t>
      </w:r>
    </w:p>
    <w:p>
      <w:pPr>
        <w:spacing w:after="80"/>
      </w:pPr>
      <w:r>
        <w:rPr>
          <w:b w:val="0"/>
          <w:i w:val="0"/>
        </w:rPr>
        <w:t xml:space="preserve">34 . Robert M. Daines &amp; Olga Kouminan, Cornerstone Research, </w:t>
      </w:r>
      <w:r>
        <w:rPr>
          <w:b w:val="0"/>
          <w:i/>
        </w:rPr>
        <w:t>Phát triển Gần đây trong Tranh chấp Cổ đông Liên quan đến Sáp nhập và Thâu tóm</w:t>
      </w:r>
      <w:r>
        <w:rPr>
          <w:b w:val="0"/>
          <w:i w:val="0"/>
        </w:rPr>
        <w:t xml:space="preserve"> , Cập nhật 2012 9, 11 (2012), </w:t>
      </w:r>
      <w:r>
        <w:rPr>
          <w:b w:val="0"/>
          <w:i/>
        </w:rPr>
        <w:t>có tại</w:t>
      </w:r>
      <w:r>
        <w:rPr>
          <w:b w:val="0"/>
          <w:i w:val="0"/>
        </w:rPr>
        <w:t xml:space="preserve"> http://www.cornerstone.com .</w:t>
      </w:r>
    </w:p>
    <w:p>
      <w:pPr>
        <w:spacing w:after="80"/>
      </w:pPr>
      <w:r>
        <w:rPr>
          <w:b w:val="0"/>
          <w:i w:val="0"/>
        </w:rPr>
        <w:t xml:space="preserve">35 . Olga Kouminan, Cornerstone Research, </w:t>
      </w:r>
      <w:r>
        <w:rPr>
          <w:b w:val="0"/>
          <w:i/>
        </w:rPr>
        <w:t>Tranh chấp Cổ đông Liên quan đến Thâu tóm các Công ty Đại chúng: Đánh giá Tranh chấp M&amp;A năm 2014</w:t>
      </w:r>
      <w:r>
        <w:rPr>
          <w:b w:val="0"/>
          <w:i w:val="0"/>
        </w:rPr>
        <w:t xml:space="preserve"> (2014), </w:t>
      </w:r>
      <w:r>
        <w:rPr>
          <w:b w:val="0"/>
          <w:i/>
        </w:rPr>
        <w:t>có tại</w:t>
      </w:r>
      <w:r>
        <w:rPr>
          <w:b w:val="0"/>
          <w:i w:val="0"/>
        </w:rPr>
        <w:t xml:space="preserve"> http://www.cornerstone.com .</w:t>
      </w:r>
    </w:p>
    <w:p>
      <w:pPr>
        <w:spacing w:after="80"/>
      </w:pPr>
      <w:r>
        <w:rPr>
          <w:b w:val="0"/>
          <w:i w:val="0"/>
        </w:rPr>
        <w:t xml:space="preserve">36 . Trước phiên điều trần tư pháp về tính công bằng của dàn xếp được đề xuất, cả nguyên đơn và bị đơn đều đệ trình lên tòa án các bản lập luận chi tiết ủng hộ việc phê duyệt giải pháp đàm phán của họ, và các bên gửi thông báo cho cổ đông. Các lập luận đối kháng do các cổ đông phản đối đệ trình có thể cung cấp cho tòa án xem xét thông tin mới liên quan đến tính công bằng và hợp lý của các dàn xếp do luật sư nguyên đơn và bị đơn đàm phán. </w:t>
      </w:r>
      <w:r>
        <w:rPr>
          <w:b w:val="0"/>
          <w:i/>
        </w:rPr>
        <w:t>In re Jefferies Grp., Inc. S'holders Litig</w:t>
      </w:r>
      <w:r>
        <w:rPr>
          <w:b w:val="0"/>
          <w:i w:val="0"/>
        </w:rPr>
        <w:t xml:space="preserve"> ., 2015 WL 3540662, tại *2 n.5 (Del. Ch. ngày 5 tháng 6 năm 2015) (giải thích cách lập luận đối kháng mang lại lợi ích “lành mạnh”). Những người phản đối các dàn xếp chỉ công bố thông tin đã phàn nàn rằng khoản đền bù giá trị thấp do bị đơn cung cấp không thể biện minh cho việc nguyên đơn giải phóng rộng rãi các khiếu nại, đặc biệt là các khiếu nại trong tương lai phát sinh từ cùng một giao dịch.</w:t>
      </w:r>
    </w:p>
    <w:p>
      <w:pPr>
        <w:spacing w:after="80"/>
      </w:pPr>
      <w:r>
        <w:rPr>
          <w:b w:val="0"/>
          <w:i w:val="0"/>
        </w:rPr>
        <w:t xml:space="preserve">37 . </w:t>
      </w:r>
      <w:r>
        <w:rPr>
          <w:b w:val="0"/>
          <w:i/>
        </w:rPr>
        <w:t>Xem, ví dụ, In re Rural/Metro Corp. Shareholders Litig.,</w:t>
      </w:r>
      <w:r>
        <w:rPr>
          <w:b w:val="0"/>
          <w:i w:val="0"/>
        </w:rPr>
        <w:t xml:space="preserve"> CA No. 6350-VCL, tr. tại 134 (Del. Ch. ngày 17 tháng 1 năm 2012) (bác bỏ dàn xếp chỉ công bố thông tin); </w:t>
      </w:r>
      <w:r>
        <w:rPr>
          <w:b w:val="0"/>
          <w:i/>
        </w:rPr>
        <w:t>Gordon v. Verizon Comm., Inc.,</w:t>
      </w:r>
      <w:r>
        <w:rPr>
          <w:b w:val="0"/>
          <w:i w:val="0"/>
        </w:rPr>
        <w:t xml:space="preserve"> 2014 WL 7250212 (Sup. Ct. N.Y. ngày 19 tháng 12 năm 2014) (tương tự).</w:t>
      </w:r>
    </w:p>
    <w:p>
      <w:pPr>
        <w:spacing w:after="80"/>
      </w:pPr>
      <w:r>
        <w:rPr>
          <w:b w:val="0"/>
          <w:i w:val="0"/>
        </w:rPr>
        <w:t xml:space="preserve">38 . </w:t>
      </w:r>
      <w:r>
        <w:rPr>
          <w:b w:val="0"/>
          <w:i/>
        </w:rPr>
        <w:t>Xem, ví dụ, In re Riverbed Tech., Inc.</w:t>
      </w:r>
      <w:r>
        <w:rPr>
          <w:b w:val="0"/>
          <w:i w:val="0"/>
        </w:rPr>
        <w:t xml:space="preserve"> , 2015 WL 5458041 (Del. Ch. ngày 17 tháng 9 năm 2015) (miễn cưỡng chấp thuận dàn xếp vì các bên đã dựa một cách hợp lý vào thông lệ dàn xếp trước đây của tòa án, nhưng bày tỏ lo ngại về phạm vi của việc giải phóng trách nhiệm).</w:t>
      </w:r>
    </w:p>
    <w:p>
      <w:pPr>
        <w:spacing w:after="80"/>
      </w:pPr>
      <w:r>
        <w:rPr>
          <w:b w:val="0"/>
          <w:i w:val="0"/>
        </w:rPr>
        <w:t xml:space="preserve">39 . </w:t>
      </w:r>
      <w:r>
        <w:rPr>
          <w:b w:val="0"/>
          <w:i/>
        </w:rPr>
        <w:t>Alaska Elec. Pension Fund v. Brown</w:t>
      </w:r>
      <w:r>
        <w:rPr>
          <w:b w:val="0"/>
          <w:i w:val="0"/>
        </w:rPr>
        <w:t xml:space="preserve"> , 988 A.2d 412, 417 (Del. 2010). Học thuyết lợi ích công ty thực chất là một biến thể của các phán quyết trước đây của tòa án về việc trao thù lao luật sư từ các quỹ chung trong những vụ án mà các vụ kiện đã tạo ra khoản thu hồi vì lợi ích của các công ty hoặc nhóm nguyên đơn. Sean J. Griffith, </w:t>
      </w:r>
      <w:r>
        <w:rPr>
          <w:b w:val="0"/>
          <w:i/>
        </w:rPr>
        <w:t>Correcting Corporate Benefit: How to Fix Shareholder Litigation by Shifting the Doctrine on Fees</w:t>
      </w:r>
      <w:r>
        <w:rPr>
          <w:b w:val="0"/>
          <w:i w:val="0"/>
        </w:rPr>
        <w:t xml:space="preserve"> , 56 B.C. L. Rev. 1, 37–41 (2015).</w:t>
      </w:r>
    </w:p>
    <w:p>
      <w:pPr>
        <w:spacing w:after="80"/>
      </w:pPr>
      <w:r>
        <w:rPr>
          <w:b w:val="0"/>
          <w:i w:val="0"/>
        </w:rPr>
        <w:t xml:space="preserve">40 . </w:t>
      </w:r>
      <w:r>
        <w:rPr>
          <w:b w:val="0"/>
          <w:i/>
        </w:rPr>
        <w:t>Tandycrafts, Inc. v. Initio Partners</w:t>
      </w:r>
      <w:r>
        <w:rPr>
          <w:b w:val="0"/>
          <w:i w:val="0"/>
        </w:rPr>
        <w:t xml:space="preserve"> , 562 A.2d 1162 (Del. 1989).</w:t>
      </w:r>
    </w:p>
    <w:p>
      <w:pPr>
        <w:spacing w:after="80"/>
      </w:pPr>
      <w:r>
        <w:rPr>
          <w:b w:val="0"/>
          <w:i w:val="0"/>
        </w:rPr>
        <w:t xml:space="preserve">41 . </w:t>
      </w:r>
      <w:r>
        <w:rPr>
          <w:b w:val="0"/>
          <w:i/>
        </w:rPr>
        <w:t>In re Cox Radio, Inc. Shareholders Litig.</w:t>
      </w:r>
      <w:r>
        <w:rPr>
          <w:b w:val="0"/>
          <w:i w:val="0"/>
        </w:rPr>
        <w:t xml:space="preserve"> , 2010 WL 1806616, tại *20 (Del. Ch. ngày 6 tháng 5 năm 2010), </w:t>
      </w:r>
      <w:r>
        <w:rPr>
          <w:b w:val="0"/>
          <w:i/>
        </w:rPr>
        <w:t>aff'd</w:t>
      </w:r>
      <w:r>
        <w:rPr>
          <w:b w:val="0"/>
          <w:i w:val="0"/>
        </w:rPr>
        <w:t xml:space="preserve"> , 9 A.3d 475 (Del. 2010).</w:t>
      </w:r>
    </w:p>
    <w:p>
      <w:pPr>
        <w:spacing w:after="80"/>
      </w:pPr>
      <w:r>
        <w:rPr>
          <w:b w:val="0"/>
          <w:i w:val="0"/>
        </w:rPr>
        <w:t xml:space="preserve">42 . </w:t>
      </w:r>
      <w:r>
        <w:rPr>
          <w:b w:val="0"/>
          <w:i/>
        </w:rPr>
        <w:t>In re Cendant Corp. Litig.</w:t>
      </w:r>
      <w:r>
        <w:rPr>
          <w:b w:val="0"/>
          <w:i w:val="0"/>
        </w:rPr>
        <w:t xml:space="preserve"> , 264 F.3d 201 (3d Cir. 2001).</w:t>
      </w:r>
    </w:p>
    <w:p>
      <w:pPr>
        <w:spacing w:after="80"/>
      </w:pPr>
      <w:r>
        <w:rPr>
          <w:b w:val="0"/>
          <w:i w:val="0"/>
        </w:rPr>
        <w:t>43 . 420 A.2d 142 (Del. 1980) (không tán thành phương pháp lodestar).</w:t>
      </w:r>
    </w:p>
    <w:p>
      <w:pPr>
        <w:spacing w:after="80"/>
      </w:pPr>
      <w:r>
        <w:rPr>
          <w:b w:val="0"/>
          <w:i w:val="0"/>
        </w:rPr>
        <w:t xml:space="preserve">44 . </w:t>
      </w:r>
      <w:r>
        <w:rPr>
          <w:b w:val="0"/>
          <w:i/>
        </w:rPr>
        <w:t>Americas Mining Corp. v. Theriault</w:t>
      </w:r>
      <w:r>
        <w:rPr>
          <w:b w:val="0"/>
          <w:i w:val="0"/>
        </w:rPr>
        <w:t xml:space="preserve"> , 51 A.3d 1213, 1252–62 (Del. 2012).</w:t>
      </w:r>
    </w:p>
    <w:p>
      <w:pPr>
        <w:spacing w:after="80"/>
      </w:pPr>
      <w:r>
        <w:rPr>
          <w:b w:val="0"/>
          <w:i w:val="0"/>
        </w:rPr>
        <w:t xml:space="preserve">45 . </w:t>
      </w:r>
      <w:r>
        <w:rPr>
          <w:b w:val="0"/>
          <w:i/>
        </w:rPr>
        <w:t>Xem</w:t>
      </w:r>
      <w:r>
        <w:rPr>
          <w:b w:val="0"/>
          <w:i w:val="0"/>
        </w:rPr>
        <w:t xml:space="preserve"> Elaine Buckberg, và cộng sự, </w:t>
      </w:r>
      <w:r>
        <w:rPr>
          <w:b w:val="0"/>
          <w:i/>
        </w:rPr>
        <w:t>“Recent Trends in Shareholder Class Action Litigation: Bear Market Cases Bring Big Settlements” How Markets Work</w:t>
      </w:r>
      <w:r>
        <w:rPr>
          <w:b w:val="0"/>
          <w:i w:val="0"/>
        </w:rPr>
        <w:t xml:space="preserve"> , National Econ. Research Assoc. (tháng 2 năm 2005).</w:t>
      </w:r>
    </w:p>
    <w:p>
      <w:pPr>
        <w:spacing w:after="80"/>
      </w:pPr>
      <w:r>
        <w:rPr>
          <w:b w:val="0"/>
          <w:i w:val="0"/>
        </w:rPr>
        <w:t xml:space="preserve">46 . </w:t>
      </w:r>
      <w:r>
        <w:rPr>
          <w:b w:val="0"/>
          <w:i/>
        </w:rPr>
        <w:t>Xem In re Sauer-Danfoss Inc. S'holders Litig.</w:t>
      </w:r>
      <w:r>
        <w:rPr>
          <w:b w:val="0"/>
          <w:i w:val="0"/>
        </w:rPr>
        <w:t xml:space="preserve"> , 2011 WL 2519210 (Del. Ch. ngày 29 tháng 4 năm 2011) (phân tích các khoản thù lao được trao trong các dàn xếp chỉ công bố thông tin khác và trao 75.000 đô la cho các luật sư nguyên đơn, những người đã yêu cầu 750.000 đô la, nhận thấy rằng chỉ một trong mười một công bố bổ sung cung cấp cho cổ đông thông tin bổ sung có ý nghĩa đối với cổ đông).</w:t>
      </w:r>
    </w:p>
    <w:p>
      <w:pPr>
        <w:spacing w:after="80"/>
      </w:pPr>
      <w:r>
        <w:rPr>
          <w:b w:val="0"/>
          <w:i w:val="0"/>
        </w:rPr>
        <w:t xml:space="preserve">47 . </w:t>
      </w:r>
      <w:r>
        <w:rPr>
          <w:b w:val="0"/>
          <w:i/>
        </w:rPr>
        <w:t>Xem, ví dụ,</w:t>
      </w:r>
      <w:r>
        <w:rPr>
          <w:b w:val="0"/>
          <w:i w:val="0"/>
        </w:rPr>
        <w:t xml:space="preserve"> Jill E. Fisch, Sean J. Griffith &amp; Steven Davidoff Solomon, </w:t>
      </w:r>
      <w:r>
        <w:rPr>
          <w:b w:val="0"/>
          <w:i/>
        </w:rPr>
        <w:t>Confronting the Peppercorn Settlement in Merger Litigation: An Empirical Analysis and a Proposal for Reform</w:t>
      </w:r>
      <w:r>
        <w:rPr>
          <w:b w:val="0"/>
          <w:i w:val="0"/>
        </w:rPr>
        <w:t xml:space="preserve"> , 93 Tex. L. Rev. 557 (2015) (báo cáo kết quả nghiên cứu cho thấy các công bố bổ sung được thương lượng trong các dàn xếp của vụ kiện cổ đông không ảnh hưởng đến việc bỏ phiếu của cổ đông đối với các giao dịch bị thách thức).</w:t>
      </w:r>
    </w:p>
    <w:p>
      <w:pPr>
        <w:spacing w:after="80"/>
      </w:pPr>
      <w:r>
        <w:rPr>
          <w:b w:val="0"/>
          <w:i w:val="0"/>
        </w:rPr>
        <w:t xml:space="preserve">48 . </w:t>
      </w:r>
      <w:r>
        <w:rPr>
          <w:b w:val="0"/>
          <w:i/>
        </w:rPr>
        <w:t>Xem In re Riverbed Tech., Inc.</w:t>
      </w:r>
      <w:r>
        <w:rPr>
          <w:b w:val="0"/>
          <w:i w:val="0"/>
        </w:rPr>
        <w:t xml:space="preserve"> , 2015 WL 5458041 (Del. Ch. ngày 17 tháng 9 năm 2015) (trao thù lao 200.000 đô la, dù luật sư yêu cầu 500.000 đô la). Các khoản thù lao được trao trong các dàn xếp chỉ công bố thông tin dao động từ 250.000 đô la đến 450.000 đô la. </w:t>
      </w:r>
      <w:r>
        <w:rPr>
          <w:b w:val="0"/>
          <w:i/>
        </w:rPr>
        <w:t>Xem In re Sauer-Danfoss Inc. S'holders Litig.</w:t>
      </w:r>
      <w:r>
        <w:rPr>
          <w:b w:val="0"/>
          <w:i w:val="0"/>
        </w:rPr>
        <w:t xml:space="preserve"> , 2011 WL 2519210 (Del. Ch. ngày 29 tháng 4 năm 2011) (phụ lục biểu đồ xác định mười dàn xếp chỉ công bố thông tin và ghi nhận các tòa án Delaware đã trao thù lao từ 250.000 đô la đến 450.000 đô la, với hai ngoại lệ).</w:t>
      </w:r>
    </w:p>
    <w:p>
      <w:pPr>
        <w:spacing w:after="80"/>
      </w:pPr>
      <w:r>
        <w:rPr>
          <w:b w:val="0"/>
          <w:i w:val="0"/>
        </w:rPr>
        <w:t xml:space="preserve">49 . </w:t>
      </w:r>
      <w:r>
        <w:rPr>
          <w:b w:val="0"/>
          <w:i/>
        </w:rPr>
        <w:t>Emerald Partners v. Berlin</w:t>
      </w:r>
      <w:r>
        <w:rPr>
          <w:b w:val="0"/>
          <w:i w:val="0"/>
        </w:rPr>
        <w:t xml:space="preserve"> , 787 A.2d 85, 90 (Del. 2001).</w:t>
      </w:r>
    </w:p>
    <w:p>
      <w:pPr>
        <w:spacing w:after="80"/>
      </w:pPr>
      <w:r>
        <w:rPr>
          <w:b w:val="0"/>
          <w:i w:val="0"/>
        </w:rPr>
        <w:t xml:space="preserve">50 . Tom Baker &amp; Sean J. Griffith, </w:t>
      </w:r>
      <w:r>
        <w:rPr>
          <w:b w:val="0"/>
          <w:i/>
        </w:rPr>
        <w:t>The Missing Monitor in Corporate Governance: The Directors' &amp; Officers' Liability Insurer</w:t>
      </w:r>
      <w:r>
        <w:rPr>
          <w:b w:val="0"/>
          <w:i w:val="0"/>
        </w:rPr>
        <w:t xml:space="preserve"> , 95 Geo. L.J. 1795, 1808–13 (2007).</w:t>
      </w:r>
    </w:p>
    <w:p>
      <w:pPr>
        <w:spacing w:after="80"/>
      </w:pPr>
      <w:r>
        <w:rPr>
          <w:b w:val="0"/>
          <w:i w:val="0"/>
        </w:rPr>
        <w:t xml:space="preserve">51 . </w:t>
      </w:r>
      <w:r>
        <w:rPr>
          <w:b w:val="0"/>
          <w:i/>
        </w:rPr>
        <w:t>Stifel Fin. Corp. v. Cochran</w:t>
      </w:r>
      <w:r>
        <w:rPr>
          <w:b w:val="0"/>
          <w:i w:val="0"/>
        </w:rPr>
        <w:t xml:space="preserve"> , 809 A.2d 555 (Del. 2002) (“việc thực thi đầy đủ Mục 145 ngăn một công ty sử dụng ‘túi tiền sâu’ của mình để bào mòn một cựu giám đốc, người có yêu cầu bồi hoàn hợp lệ, thông qua các vụ kiện tốn kém.”). </w:t>
      </w:r>
      <w:r>
        <w:rPr>
          <w:b w:val="0"/>
          <w:i/>
        </w:rPr>
        <w:t>Xem thêm Reddy v. Elec. Data Sys. Corp.</w:t>
      </w:r>
      <w:r>
        <w:rPr>
          <w:b w:val="0"/>
          <w:i w:val="0"/>
        </w:rPr>
        <w:t xml:space="preserve"> , 2002 Del. Ch. LEXIS 69 (ngày 18 tháng 6 năm 2002), </w:t>
      </w:r>
      <w:r>
        <w:rPr>
          <w:b w:val="0"/>
          <w:i/>
        </w:rPr>
        <w:t>aff'd</w:t>
      </w:r>
      <w:r>
        <w:rPr>
          <w:b w:val="0"/>
          <w:i w:val="0"/>
        </w:rPr>
        <w:t xml:space="preserve"> , 820 A.2d 371 (Del. 2003) (áp dụng nguyên tắc “phí trên phí” cho vụ án tạm ứng).</w:t>
      </w:r>
    </w:p>
    <w:p>
      <w:pPr>
        <w:spacing w:after="80"/>
      </w:pPr>
      <w:r>
        <w:rPr>
          <w:b w:val="0"/>
          <w:i w:val="0"/>
        </w:rPr>
        <w:t>* 15 U.S.C. § 7243 quy định đầy đủ như sau:</w:t>
      </w:r>
    </w:p>
    <w:p>
      <w:pPr>
        <w:spacing w:after="80"/>
      </w:pPr>
      <w:r>
        <w:rPr>
          <w:b w:val="0"/>
          <w:i w:val="0"/>
        </w:rPr>
        <w:t>(a) Thù lao bổ sung trước khi không tuân thủ các yêu cầu báo cáo tài chính của Ủy ban</w:t>
      </w:r>
    </w:p>
    <w:p>
      <w:pPr>
        <w:spacing w:after="80"/>
      </w:pPr>
      <w:r>
        <w:rPr>
          <w:b w:val="0"/>
          <w:i w:val="0"/>
        </w:rPr>
        <w:t>Nếu một tổ chức phát hành buộc phải lập lại báo cáo tài chính do sự không tuân thủ trọng yếu của tổ chức phát hành, hậu quả từ hành vi sai trái, đối với bất kỳ yêu cầu báo cáo tài chính nào theo luật chứng khoán, thì giám đốc điều hành và giám đốc tài chính của tổ chức phát hành phải hoàn trả cho tổ chức phát hành—</w:t>
      </w:r>
    </w:p>
    <w:p>
      <w:pPr>
        <w:spacing w:after="80"/>
      </w:pPr>
      <w:r>
        <w:rPr>
          <w:b w:val="0"/>
          <w:i w:val="0"/>
        </w:rPr>
        <w:t>(1) bất kỳ khoản tiền thưởng hoặc thù lao khác dựa trên khuyến khích hoặc dựa trên cổ phần mà người đó nhận được từ tổ chức phát hành trong khoảng thời gian 12 tháng sau lần phát hành công khai đầu tiên hoặc nộp cho Ủy ban (tùy sự kiện nào xảy ra trước) tài liệu tài chính thể hiện yêu cầu báo cáo tài chính đó; và</w:t>
      </w:r>
    </w:p>
    <w:p>
      <w:pPr>
        <w:spacing w:after="80"/>
      </w:pPr>
      <w:r>
        <w:rPr>
          <w:b w:val="0"/>
          <w:i w:val="0"/>
        </w:rPr>
        <w:t>(2) bất kỳ lợi nhuận nào thu được từ việc bán chứng khoán của tổ chức phát hành trong khoảng thời gian 12 tháng đó.</w:t>
      </w:r>
    </w:p>
    <w:p>
      <w:pPr>
        <w:spacing w:after="80"/>
      </w:pPr>
      <w:r>
        <w:rPr>
          <w:b w:val="0"/>
          <w:i w:val="0"/>
        </w:rPr>
        <w:t>(b) Thẩm quyền miễn trừ của Ủy ban</w:t>
      </w:r>
    </w:p>
    <w:p>
      <w:pPr>
        <w:spacing w:after="80"/>
      </w:pPr>
      <w:r>
        <w:rPr>
          <w:b w:val="0"/>
          <w:i w:val="0"/>
        </w:rPr>
        <w:t>Ủy ban có thể miễn trừ bất kỳ người nào khỏi việc áp dụng tiểu mục (a) của điều này, khi Ủy ban thấy cần thiết và phù hợp.</w:t>
      </w:r>
    </w:p>
    <w:p>
      <w:pPr>
        <w:spacing w:after="80"/>
      </w:pPr>
      <w:r>
        <w:rPr>
          <w:b w:val="0"/>
          <w:i w:val="0"/>
        </w:rPr>
        <w:t>** Mục 1.27 của Thỏa thuận dàn xếp quy định ở phần liên quan:</w:t>
      </w:r>
    </w:p>
    <w:p>
      <w:pPr>
        <w:spacing w:after="80"/>
      </w:pPr>
      <w:r>
        <w:rPr>
          <w:b w:val="0"/>
          <w:i w:val="0"/>
        </w:rPr>
        <w:t>Các Khiếu nại Phái sinh Được Giải phóng bao gồm, không giới hạn, việc DHB giải phóng David H. Brooks và Dawn M. Schlegel, và từng người trong số họ, khỏi mọi trách nhiệm pháp lý theo § 304 của Đạo luật Sarbanes-Oxley năm 2002 về việc hoàn trả cho DHB bất kỳ khoản tiền thưởng hoặc thù lao khác dựa trên khuyến khích hoặc dựa trên cổ phần mà họ hoặc một trong hai người nhận được, hoặc bất kỳ lợi nhuận nào mà họ hoặc một trong hai người thu được từ việc bán bất kỳ chứng khoán nào của DHB.</w:t>
      </w:r>
    </w:p>
    <w:p>
      <w:pPr>
        <w:spacing w:after="80"/>
      </w:pPr>
      <w:r>
        <w:rPr>
          <w:b w:val="0"/>
          <w:i w:val="0"/>
        </w:rPr>
        <w:t>Mục 4.7 quy định ở phần liên quan:</w:t>
      </w:r>
    </w:p>
    <w:p>
      <w:pPr>
        <w:spacing w:after="80"/>
      </w:pPr>
      <w:r>
        <w:rPr>
          <w:b w:val="0"/>
          <w:i w:val="0"/>
        </w:rPr>
        <w:t>DHB phải bồi thường cho các bị đơn David H. Brooks và Dawn M. Schlegel, và từng người trong số họ, đối với bất kỳ trách nhiệm pháp lý nào theo § 304 của Đạo luật Sarbanes-Oxley năm 2002 mà họ, hoặc một trong hai người, phải gánh chịu trong bất kỳ vụ kiện nào do bên thứ ba khởi xướng theo § 304, và thanh toán cho họ, và cho từng người trong số họ, một khoản tiền bằng với bất kỳ khoản thanh toán nào mà họ, hoặc một trong hai người, đã trả cho DHB theo bất kỳ phán quyết nào trong bất kỳ vụ kiện nào như vậy.</w:t>
      </w:r>
    </w:p>
    <w:p>
      <w:pPr>
        <w:spacing w:after="80"/>
      </w:pPr>
      <w:r>
        <w:rPr>
          <w:b w:val="0"/>
          <w:i w:val="0"/>
        </w:rPr>
        <w:t xml:space="preserve">52 . Jesse Fried &amp; Nitzan Shilon, </w:t>
      </w:r>
      <w:r>
        <w:rPr>
          <w:b w:val="0"/>
          <w:i/>
        </w:rPr>
        <w:t>Excess-Pay Clawbacks</w:t>
      </w:r>
      <w:r>
        <w:rPr>
          <w:b w:val="0"/>
          <w:i w:val="0"/>
        </w:rPr>
        <w:t xml:space="preserve"> , 36 J. Corp. L. 722 (2011).</w:t>
      </w:r>
    </w:p>
    <w:p>
      <w:pPr>
        <w:spacing w:after="80"/>
      </w:pPr>
      <w:r>
        <w:rPr>
          <w:b w:val="0"/>
          <w:i w:val="0"/>
        </w:rPr>
        <w:t>53 . Được tái bản với sự cho phép của nhà xuất bản, Georgetown Law Journal © 1994.</w:t>
      </w:r>
    </w:p>
    <w:p>
      <w:pPr>
        <w:spacing w:after="80"/>
      </w:pPr>
      <w:r>
        <w:rPr>
          <w:b w:val="0"/>
          <w:i w:val="0"/>
        </w:rPr>
        <w:t xml:space="preserve">54 . </w:t>
      </w:r>
      <w:r>
        <w:rPr>
          <w:b w:val="0"/>
          <w:i/>
        </w:rPr>
        <w:t>Xem</w:t>
      </w:r>
      <w:r>
        <w:rPr>
          <w:b w:val="0"/>
          <w:i w:val="0"/>
        </w:rPr>
        <w:t xml:space="preserve"> Ann M. Scarlett, </w:t>
      </w:r>
      <w:r>
        <w:rPr>
          <w:b w:val="0"/>
          <w:i/>
        </w:rPr>
        <w:t>Shareholders in the Jury Box: A Populist Check Against Corporate Mismanagement</w:t>
      </w:r>
      <w:r>
        <w:rPr>
          <w:b w:val="0"/>
          <w:i w:val="0"/>
        </w:rPr>
        <w:t xml:space="preserve"> , 78 U. Cin. L. Rev. 127 (2009).</w:t>
      </w:r>
    </w:p>
    <w:p>
      <w:pPr>
        <w:spacing w:after="80"/>
      </w:pPr>
      <w:r>
        <w:rPr>
          <w:b w:val="0"/>
          <w:i w:val="0"/>
        </w:rPr>
        <w:t xml:space="preserve">55 . Victor E. Schwartz &amp; Cary Silverman, U.S. Chamber Institute for Legal Reform, </w:t>
      </w:r>
      <w:r>
        <w:rPr>
          <w:b w:val="0"/>
          <w:i/>
        </w:rPr>
        <w:t>The New Lawsuit Ecosystem: Trends, Targets &amp; Players</w:t>
      </w:r>
      <w:r>
        <w:rPr>
          <w:b w:val="0"/>
          <w:i w:val="0"/>
        </w:rPr>
        <w:t xml:space="preserve"> 3 (Oct. 2013), </w:t>
      </w:r>
      <w:r>
        <w:rPr>
          <w:b w:val="0"/>
          <w:i/>
        </w:rPr>
        <w:t>có tại</w:t>
      </w:r>
      <w:r>
        <w:rPr>
          <w:b w:val="0"/>
          <w:i w:val="0"/>
        </w:rPr>
        <w:t xml:space="preserve"> www.instituteforlegalreform.com .</w:t>
      </w:r>
    </w:p>
    <w:p>
      <w:pPr>
        <w:spacing w:after="80"/>
      </w:pPr>
      <w:r>
        <w:rPr>
          <w:b w:val="0"/>
          <w:i w:val="0"/>
        </w:rPr>
        <w:t xml:space="preserve">56 . </w:t>
      </w:r>
      <w:r>
        <w:rPr>
          <w:b w:val="0"/>
          <w:i/>
        </w:rPr>
        <w:t>Xem, ví dụ, In re Cox Comm'ns, Inc. S'holders Litig.</w:t>
      </w:r>
      <w:r>
        <w:rPr>
          <w:b w:val="0"/>
          <w:i w:val="0"/>
        </w:rPr>
        <w:t xml:space="preserve"> , 879 A.2d 604, 608 (Del. Ch. 2005) (“[C]ác đơn khiếu nại được nộp vội vàng trong ngày đầu tiên . . . không phục vụ mục đích nào khác ngoài việc để một công ty luật cụ thể và khách hàng của họ lọt vào vòng tranh huy chương của cuộc thi tốc độ nộp đơn (trước đây còn được gọi là cuộc thi tuyển chọn luật sư chính) Olympics.”); </w:t>
      </w:r>
      <w:r>
        <w:rPr>
          <w:b w:val="0"/>
          <w:i/>
        </w:rPr>
        <w:t>In re Revlon, Inc. S'holders Litig.</w:t>
      </w:r>
      <w:r>
        <w:rPr>
          <w:b w:val="0"/>
          <w:i w:val="0"/>
        </w:rPr>
        <w:t xml:space="preserve"> , 990 A.2d 940, 945–64 (Del. Ch. 2010) (thay thế vị trí luật sư chính đối với những “khách hàng quen” không tranh tụng các khiếu nại trước khi đồng ý dàn xếp với luật sư bên bị đơn).</w:t>
      </w:r>
    </w:p>
    <w:p>
      <w:pPr>
        <w:spacing w:after="80"/>
      </w:pPr>
      <w:r>
        <w:rPr>
          <w:b w:val="0"/>
          <w:i w:val="0"/>
        </w:rPr>
        <w:t xml:space="preserve">57 . </w:t>
      </w:r>
      <w:r>
        <w:rPr>
          <w:b w:val="0"/>
          <w:i/>
        </w:rPr>
        <w:t>Deutscher Tennis Bund v. ATP Tour Inc.</w:t>
      </w:r>
      <w:r>
        <w:rPr>
          <w:b w:val="0"/>
          <w:i w:val="0"/>
        </w:rPr>
        <w:t xml:space="preserve"> , 480 F.3d 124, 128 (3d Cir. 2012).</w:t>
      </w:r>
    </w:p>
    <w:p>
      <w:pPr>
        <w:pStyle w:val="Heading1"/>
      </w:pPr>
      <w:r>
        <w:rPr>
          <w:rFonts w:ascii="Calibri" w:hAnsi="Calibri"/>
          <w:b/>
          <w:i w:val="0"/>
          <w:sz w:val="40"/>
        </w:rPr>
        <w:t>Chương 11</w:t>
      </w:r>
    </w:p>
    <w:p>
      <w:pPr>
        <w:pStyle w:val="Heading1"/>
      </w:pPr>
      <w:r>
        <w:rPr>
          <w:rFonts w:ascii="Calibri" w:hAnsi="Calibri"/>
          <w:b/>
          <w:i w:val="0"/>
          <w:sz w:val="40"/>
        </w:rPr>
        <w:t>Hoạt động từ thiện, Trách nhiệm xã hội và Quyền của các bên liên quan</w:t>
      </w:r>
    </w:p>
    <w:p>
      <w:pPr>
        <w:spacing w:after="80"/>
      </w:pPr>
      <w:r>
        <w:rPr>
          <w:b w:val="0"/>
          <w:i w:val="0"/>
        </w:rPr>
        <w:t xml:space="preserve">Hội đồng quản trị có nghĩa vụ pháp lý phải hành động vì lợi ích tốt nhất của công ty và cổ đông. Một số người đánh đồng động cơ này với việc tối đa hóa lợi nhuận. Như tòa án đã lưu ý trong </w:t>
      </w:r>
      <w:r>
        <w:rPr>
          <w:b w:val="0"/>
          <w:i/>
        </w:rPr>
        <w:t>Dodge v. Ford Motor Co.</w:t>
      </w:r>
      <w:r>
        <w:rPr>
          <w:b w:val="0"/>
          <w:i w:val="0"/>
        </w:rPr>
        <w:t xml:space="preserve"> , 170 N.W. 668 (Mich. 1919):</w:t>
      </w:r>
    </w:p>
    <w:p>
      <w:pPr>
        <w:spacing w:after="80"/>
      </w:pPr>
      <w:r>
        <w:rPr>
          <w:b w:val="0"/>
          <w:i w:val="0"/>
        </w:rPr>
        <w:t>Một công ty kinh doanh được tổ chức và điều hành chủ yếu vì lợi nhuận của các cổ đông. Quyền hạn của các giám đốc phải được sử dụng cho mục đích đó. Quyền quyết định của các giám đốc phải được thực thi trong việc lựa chọn phương tiện để đạt được mục đích đó, và không mở rộng đến việc thay đổi chính mục đích đó, đến việc giảm lợi nhuận, hoặc đến việc không phân phối lợi nhuận cho các cổ đông nhằm dành chúng cho các mục đích khác.</w:t>
      </w:r>
    </w:p>
    <w:p>
      <w:pPr>
        <w:spacing w:after="80"/>
      </w:pPr>
      <w:r>
        <w:rPr>
          <w:b w:val="0"/>
          <w:i w:val="0"/>
        </w:rPr>
        <w:t>Ngôn từ này gợi ý rằng các công ty không nên tham gia vào việc phân phối lại của cải cho bất kỳ nhóm nào khác ngoài cổ đông.</w:t>
      </w:r>
    </w:p>
    <w:p>
      <w:pPr>
        <w:spacing w:after="80"/>
      </w:pPr>
      <w:r>
        <w:rPr>
          <w:b w:val="0"/>
          <w:i w:val="0"/>
        </w:rPr>
        <w:t>Khái niệm tối đa hóa lợi nhuận không mấy ăn khớp với các quan niệm về hoạt động từ thiện và trách nhiệm xã hội. Ban đầu, một số tòa án coi những loại hoạt động này nằm ngoài thẩm quyền của công ty. Theo thời gian, quan điểm đã phát triển nhưng mối liên hệ với nhu cầu về lợi ích kinh doanh vẫn còn. Nói ngắn gọn, trách nhiệm xã hội và hoạt động từ thiện được cho phép nhưng chỉ khi chúng làm tăng lợi nhuận ròng.</w:t>
      </w:r>
    </w:p>
    <w:p>
      <w:pPr>
        <w:spacing w:after="80"/>
      </w:pPr>
      <w:r>
        <w:rPr>
          <w:b w:val="0"/>
          <w:i w:val="0"/>
        </w:rPr>
        <w:t>Quan điểm hạn hẹp này đã bị thách thức. Một số bang đã giải quyết vấn đề bằng cách thông qua các đạo luật cho phép đóng góp từ thiện mà không cần phải chứng minh lợi ích. Tuy nhiên, khi làm như vậy, họ đã tạo ra một loạt vấn đề khác. Việc loại bỏ yêu cầu về lợi ích có khả năng cho phép những khoản đóng góp không bị ràng buộc bởi bất kỳ tiêu chuẩn hay giới hạn khách quan nào. Trong những tình huống này, nảy sinh rủi ro rằng ban quản lý sẽ thực hiện hoạt động từ thiện không nhằm thúc đẩy lợi ích của cổ đông hay thậm chí của cộng đồng mà là vì lợi ích riêng của chính họ.</w:t>
      </w:r>
    </w:p>
    <w:p>
      <w:pPr>
        <w:spacing w:after="80"/>
      </w:pPr>
      <w:r>
        <w:rPr>
          <w:b w:val="0"/>
          <w:i w:val="0"/>
        </w:rPr>
        <w:t>Ngoài các khoản đóng góp từ thiện, một số người cho rằng các công ty nên có nghĩa vụ bắt buộc phải tính đến các lợi ích khác, không phải của cổ đông. Họ khẳng định rằng hội đồng quản trị, khi đưa ra quyết định, nên xem xét mối quan tâm của một loạt các bên liên quan, từ nhà cung cấp đến nhân viên đến cộng đồng. Những người ủng hộ quan điểm này thường tìm cách trao cho các bên liên quan vai trò lớn hơn trong việc quản lý. Điều này có thể bao gồm việc đại diện trong hội đồng quản trị hoặc việc thành lập các công ty đặc biệt nhằm loại bỏ rõ ràng nhu cầu tối đa hóa lợi nhuận hoặc hành động chỉ vì lợi ích của cổ đông.</w:t>
      </w:r>
    </w:p>
    <w:p>
      <w:pPr>
        <w:spacing w:after="80"/>
      </w:pPr>
      <w:r>
        <w:rPr>
          <w:b w:val="0"/>
          <w:i w:val="0"/>
        </w:rPr>
        <w:t>Các bang đã can thiệp vào lĩnh vực này thông qua việc thông qua các đạo luật về thành phần cổ đông. Chúng cho phép các giám đốc ít nhất đôi khi xem xét các bên liên quan khi đưa ra quyết định. Tuy nhiên, những đạo luật này đã gây tranh cãi và ý nghĩa của chúng không rõ ràng. Ban đầu chúng ra đời nhằm nỗ lực mang lại cho ban quản lý sự linh hoạt lớn hơn để chống lại các vụ thâu tóm thù địch bằng cách tính đến tác động đối với các nhóm khác ngoài cổ đông. Một số người cũng đã thách thức tiền đề trung tâm của các đạo luật này, đặt câu hỏi liệu các nghĩa vụ ủy thác có phải là cách tốt nhất để tối đa hóa quyền của các bên liên quan hay không. Cuối cùng, những người khác cho rằng các đạo luật này, bằng cách cho phép nhưng không bắt buộc việc xem xét các bên liên quan, đã không nâng cao đáng kể việc xem xét lợi ích của các bên liên quan.</w:t>
      </w:r>
    </w:p>
    <w:p>
      <w:pPr>
        <w:spacing w:after="80"/>
      </w:pPr>
      <w:r>
        <w:rPr>
          <w:b w:val="0"/>
          <w:i w:val="0"/>
        </w:rPr>
        <w:t>Một số thay đổi đã đến từ việc tự sắp xếp tư nhân. Các công ty ngày càng đưa ra các quy tắc ứng xử và đạo đức cho nhân viên. Trong khi hầu hết chỉ đảm bảo sự tuân thủ các yêu cầu pháp lý hiện hành, một số thể hiện những mục tiêu mang tính khát vọng hơn như cấm lao động trẻ em hoặc giảm thiểu sự nóng lên toàn cầu. Các công ty khác tuân theo Global Compact, một bộ tiêu chuẩn tự nguyện do Liên Hợp Quốc phát triển nhằm nâng cao hành vi của doanh nghiệp liên quan đến nhân quyền, tiêu chuẩn lao động, môi trường và tham nhũng.</w:t>
      </w:r>
    </w:p>
    <w:p>
      <w:pPr>
        <w:spacing w:after="80"/>
      </w:pPr>
      <w:r>
        <w:rPr>
          <w:b w:val="0"/>
          <w:i w:val="0"/>
        </w:rPr>
        <w:t>Tất cả các tiêu chuẩn như vậy đều làm dấy lên lo ngại về việc tuân thủ và xác minh. Trong một số trường hợp, áp lực từ khách hàng và rủi ro về danh tiếng có thể đủ để đảm bảo rằng các công ty tuân thủ cam kết của mình. Tuy nhiên, lĩnh vực này không hoàn toàn thiếu cơ chế thực thi. Theo Alien Tort Claims Act, một đạo luật được Quốc hội đầu tiên thông qua, đôi khi có thể khởi kiện tại các tòa án Hoa Kỳ đối với các công ty vi phạm các tiêu chuẩn nhân quyền được quốc tế chấp nhận. Một số vụ kiện liên quan cũng đã được đưa ra theo Antiterrorism Act of 1991. Các luật chứng khoán liên bang là một con đường thực thi khác, ít nhất là trong trường hợp các công ty xuyên tạc hành vi có trách nhiệm xã hội của mình.</w:t>
      </w:r>
    </w:p>
    <w:p>
      <w:pPr>
        <w:pStyle w:val="Heading2"/>
      </w:pPr>
      <w:r>
        <w:rPr>
          <w:rFonts w:ascii="Calibri" w:hAnsi="Calibri"/>
          <w:b/>
          <w:i w:val="0"/>
          <w:sz w:val="32"/>
        </w:rPr>
        <w:t>I. Mục đích của Hình thức Công ty</w:t>
      </w:r>
    </w:p>
    <w:p>
      <w:pPr>
        <w:spacing w:after="80"/>
      </w:pPr>
      <w:r>
        <w:rPr>
          <w:b w:val="0"/>
          <w:i w:val="0"/>
        </w:rPr>
        <w:t>Các công ty được cho là đại diện cho lợi ích của cổ đông. Tuy nhiên, chúng hoạt động trong một môi trường phức tạp hơn và ảnh hưởng đến các nhóm liên quan khác. Cuộc tranh luận từ lâu đã xoay quanh vai trò thích hợp của các công ty và nghĩa vụ của chúng đối với cộng đồng rộng lớn hơn.</w:t>
      </w:r>
    </w:p>
    <w:p>
      <w:pPr>
        <w:pStyle w:val="Heading4"/>
      </w:pPr>
      <w:r>
        <w:rPr>
          <w:rFonts w:ascii="Calibri" w:hAnsi="Calibri"/>
          <w:b/>
          <w:i w:val="0"/>
          <w:sz w:val="23"/>
        </w:rPr>
        <w:t xml:space="preserve">William W. Bratton &amp; Michael L. Wachter, </w:t>
      </w:r>
      <w:r>
        <w:rPr>
          <w:rFonts w:ascii="Calibri" w:hAnsi="Calibri"/>
          <w:b/>
          <w:i/>
          <w:sz w:val="23"/>
        </w:rPr>
        <w:t>Shareholder Primacy's</w:t>
      </w:r>
      <w:r>
        <w:br/>
      </w:r>
      <w:r>
        <w:rPr>
          <w:rFonts w:ascii="Calibri" w:hAnsi="Calibri"/>
          <w:b/>
          <w:i/>
          <w:sz w:val="23"/>
        </w:rPr>
        <w:t xml:space="preserve"> Corporatist Origins: Adolf Berle and The Modern Corporation</w:t>
      </w:r>
    </w:p>
    <w:p>
      <w:pPr>
        <w:spacing w:after="80"/>
      </w:pPr>
      <w:r>
        <w:rPr>
          <w:b w:val="0"/>
          <w:i w:val="0"/>
        </w:rPr>
        <w:t>34 J. Corp. L. 99, 124–26, 129, 131 (2008)</w:t>
      </w:r>
    </w:p>
    <w:p>
      <w:pPr>
        <w:spacing w:after="80"/>
      </w:pPr>
      <w:r>
        <w:rPr>
          <w:b w:val="0"/>
          <w:i w:val="0"/>
        </w:rPr>
        <w:t xml:space="preserve">Dodd's </w:t>
      </w:r>
      <w:r>
        <w:rPr>
          <w:b w:val="0"/>
          <w:i/>
        </w:rPr>
        <w:t>For Whom Are Corporate Managers Trustees?</w:t>
      </w:r>
      <w:r>
        <w:rPr>
          <w:b w:val="0"/>
          <w:i w:val="0"/>
        </w:rPr>
        <w:t xml:space="preserve"> bắt đầu bằng việc bày tỏ lòng tôn kính ngắn gọn đối với mong muốn của Berle về việc hạn chế các nhà quản lý chuyển tài sản của công ty vào túi riêng của họ. Nhưng Dodd nhanh chóng chuyển sang tấn công, tuyên bố rằng quan điểm người được ủy thác vì cổ đông của Berle là có vấn đề bởi vì “thật không mong muốn . . . khi nhấn mạnh hơn vào thời điểm hiện tại quan điểm rằng các công ty kinh doanh tồn tại chỉ vì mục đích tạo lợi nhuận cho các cổ đông của họ.” Thay vào đó, các công ty nên hành động như những thể chế xã hội.</w:t>
      </w:r>
    </w:p>
    <w:p>
      <w:pPr>
        <w:spacing w:after="80"/>
      </w:pPr>
      <w:r>
        <w:rPr>
          <w:b w:val="0"/>
          <w:i w:val="0"/>
        </w:rPr>
        <w:t>* * *</w:t>
      </w:r>
    </w:p>
    <w:p>
      <w:pPr>
        <w:spacing w:after="80"/>
      </w:pPr>
      <w:r>
        <w:rPr>
          <w:b w:val="0"/>
          <w:i w:val="0"/>
        </w:rPr>
        <w:t>Dodd tin rằng chính sách tập đoàn (corporatist policy) cho Hoa Kỳ nên dựa trên giả định rằng giới tinh hoa quản lý (managerial elite), khi được giao quyền hạn thích hợp, sẽ hành động như những người được ủy thác (trustees) cho cộng đồng và sử dụng các tập đoàn của họ để giải quyết các vấn đề kinh tế và xã hội của cuộc Đại Suy thoái (Great Depression). Việc quản lý chặt chẽ sẽ là không cần thiết, và “mục tiêu chính của sự cưỡng chế pháp lý khi đó có thể là buộc những ai không bắt kịp tinh thần mới phải đạt tới các tiêu chuẩn mà những đối thủ sáng suốt hơn của họ sẵn lòng tự nguyện áp dụng.”</w:t>
      </w:r>
    </w:p>
    <w:p>
      <w:pPr>
        <w:spacing w:after="80"/>
      </w:pPr>
      <w:r>
        <w:rPr>
          <w:b w:val="0"/>
          <w:i w:val="0"/>
        </w:rPr>
        <w:t>Dodd tuyên bố có niềm tin tuyệt đối vào các nhà quản lý và ý thức trách nhiệm nghề nghiệp của họ. Ông tuyên bố rằng “quyền lực đối với cuộc sống của người khác có xu hướng tạo ra, nơi những người xứng đáng nhất để thực thi nó, một ý thức trách nhiệm.” Ông lưu ý:</w:t>
      </w:r>
    </w:p>
    <w:p>
      <w:pPr>
        <w:spacing w:after="80"/>
      </w:pPr>
      <w:r>
        <w:rPr>
          <w:b w:val="0"/>
          <w:i w:val="0"/>
        </w:rPr>
        <w:t>Một số nhà lãnh đạo doanh nghiệp và học giả về kinh doanh nói với chúng ta rằng, thực tế đang có một cảm nhận ngày càng tăng không chỉ rằng doanh nghiệp có trách nhiệm với cộng đồng, mà còn rằng các nhà quản lý tập đoàn của chúng ta, những người kiểm soát doanh nghiệp, nên tự nguyện và không cần chờ đến sự cưỡng chế pháp lý mà điều hành nó theo cách để hoàn thành những trách nhiệm đó.</w:t>
      </w:r>
    </w:p>
    <w:p>
      <w:pPr>
        <w:spacing w:after="80"/>
      </w:pPr>
      <w:r>
        <w:rPr>
          <w:b w:val="0"/>
          <w:i w:val="0"/>
        </w:rPr>
        <w:t>* * *</w:t>
      </w:r>
    </w:p>
    <w:p>
      <w:pPr>
        <w:spacing w:after="80"/>
      </w:pPr>
      <w:r>
        <w:rPr>
          <w:b w:val="0"/>
          <w:i w:val="0"/>
        </w:rPr>
        <w:t xml:space="preserve">Câu trả lời của Berle dành cho Dodd, </w:t>
      </w:r>
      <w:r>
        <w:rPr>
          <w:b w:val="0"/>
          <w:i/>
        </w:rPr>
        <w:t>For Whom Corporate Managers Are Trustees: A Note</w:t>
      </w:r>
      <w:r>
        <w:rPr>
          <w:b w:val="0"/>
          <w:i w:val="0"/>
        </w:rPr>
        <w:t xml:space="preserve"> , xuất hiện trên số tiếp theo của Harvard Law Review. Đó là một cú phản đòn ngắn gọn nhưng mạnh mẽ, tránh phản hồi rộng rãi về chủ nghĩa tập đoàn của Dodd, và chỉ tập trung vào cơ chế. Berle tấn công ý tưởng rằng các nhà quản lý có thể được tin tưởng để sử dụng quyền lực tùy nghi vì lợi ích của người khác như là lối suy nghĩ ngây thơ và xa rời thực tế của một học giả tháp ngà. Berle nhận xét một cách cay nghiệt rằng lập luận của Dodd “là lý thuyết, không phải thực tiễn” và “[các luật sư doanh nghiệp] biết điều mà nhà lý thuyết xã hội không biết.” Điểm mấu chốt mà Berle gán cho các luật sư doanh nghiệp này là một hệ thống đa thành phần (multiple constituency system) do ban quản lý điều phối đơn giản sẽ không hoạt động được.</w:t>
      </w:r>
    </w:p>
    <w:p>
      <w:pPr>
        <w:spacing w:after="80"/>
      </w:pPr>
      <w:r>
        <w:rPr>
          <w:b w:val="0"/>
          <w:i w:val="0"/>
        </w:rPr>
        <w:t>Vấn đề là những nhà quản lý không bị ràng buộc sẽ tối đa hóa lợi ích của chính họ. Cụ thể: “Phải thừa nhận rằng, hiện tại, phạm vi tương đối không bị kiềm chế của ban quản lý tập đoàn, cho đến nay, chủ yếu đã dẫn đến việc chiếm đoạt quyền lực mà không thừa nhận trách nhiệm—tham vọng mà không có can đảm.” Mối nguy là “khi nghĩa vụ ủy thác (fiduciary obligation) của ban quản lý tập đoàn và ‘quyền kiểm soát’ đối với cổ đông bị suy yếu hoặc loại bỏ, thì ban quản lý và ‘quyền kiểm soát’ trở thành tuyệt đối trên mọi phương diện thực tiễn.” Biến các nhà quản lý thành người được ủy thác cho cộng đồng sẽ giải phóng họ khỏi mọi ràng buộc có ý nghĩa, bởi vì gần như mọi hoạt động của tập đoàn đều có thể được biện minh vì lợi ích của nhóm này hay nhóm khác.</w:t>
      </w:r>
    </w:p>
    <w:p>
      <w:pPr>
        <w:spacing w:after="80"/>
      </w:pPr>
      <w:r>
        <w:rPr>
          <w:b w:val="0"/>
          <w:i w:val="0"/>
        </w:rPr>
        <w:t>* * *</w:t>
      </w:r>
    </w:p>
    <w:p>
      <w:pPr>
        <w:spacing w:after="80"/>
      </w:pPr>
      <w:r>
        <w:rPr>
          <w:b w:val="0"/>
          <w:i w:val="0"/>
        </w:rPr>
        <w:t>Giải pháp của Dodd khiến chúng ta, những người hiện đại, ngạc nhiên nhưng lại đúng với quan điểm khối thịnh vượng doanh nghiệp (business commonwealth view). Câu trả lời là giải phóng ban quản lý khỏi các ràng buộc từ cổ đông và biến các nhà quản lý thành người phục vụ cộng đồng. Nhưng làm sao có thể tin tưởng các nhà quản lý sẽ thúc đẩy phúc lợi xã hội khi họ không thể được tin tưởng với chính vốn của cổ đông mình? Dodd chơi lá bài công/tư. Sự trung thành của các nhà quản lý trong bối cảnh rộng lớn hơn có thể được tin cậy nhờ “sức hấp dẫn cảm xúc mạnh mẽ” của việc phụng sự công chúng. “Phụng sự đồng nghiệp của mình, phụng sự những người cần sản phẩm của mình, hay phụng sự cộng đồng xã hội và chính trị mà mình là thành viên dường như là một mục tiêu ít bất thường hơn so với việc mưu cầu lợi nhuận thay người khác.”</w:t>
      </w:r>
    </w:p>
    <w:p>
      <w:pPr>
        <w:spacing w:after="80"/>
      </w:pPr>
      <w:r>
        <w:rPr>
          <w:b w:val="0"/>
          <w:i w:val="0"/>
        </w:rPr>
        <w:t>Dodd tin rằng ban quản lý sẽ trở thành một dạng dịch vụ công, được thúc đẩy bởi khát vọng uy tín của các nhà quản lý hơn là lợi ích tiền bạc.</w:t>
      </w:r>
    </w:p>
    <w:p>
      <w:pPr>
        <w:pStyle w:val="Heading5"/>
      </w:pPr>
      <w:r>
        <w:rPr>
          <w:rFonts w:ascii="Calibri" w:hAnsi="Calibri"/>
          <w:b/>
          <w:i/>
          <w:sz w:val="22"/>
        </w:rPr>
        <w:t>Bình luận và Câu hỏi</w:t>
      </w:r>
    </w:p>
    <w:p>
      <w:pPr>
        <w:spacing w:after="80"/>
      </w:pPr>
      <w:r>
        <w:rPr>
          <w:b w:val="0"/>
          <w:i w:val="0"/>
        </w:rPr>
        <w:t>1. Cuộc tranh luận giữa Dodd và Berle từ lâu đã được xem như đại diện cho cuộc tranh luận về vai trò của tập đoàn trong xã hội. Dodd được ghi công vì đã đề xuất vai trò xã hội rộng lớn hơn của tập đoàn, trong khi Berle được mô tả là cha đẻ của nguyên tắc ưu tiên cổ đông (shareholder primacy), tức là ban quản lý nên điều hành tập đoàn tập trung vào lợi ích của cổ đông. Đó có phải là sự mô tả chính xác về hai quan điểm này không?</w:t>
      </w:r>
    </w:p>
    <w:p>
      <w:pPr>
        <w:spacing w:after="80"/>
      </w:pPr>
      <w:r>
        <w:rPr>
          <w:b w:val="0"/>
          <w:i w:val="0"/>
        </w:rPr>
        <w:t>2. Dodd muốn mang lại lợi ích cho cộng đồng bằng cách giải phóng các nhà quản lý khỏi sự giám sát của cổ đông. Tuy nhiên, nếu không có áp lực từ cổ đông, điều gì đảm bảo rằng ban quản lý sẽ hành động vì lợi ích tốt nhất của cộng đồng thay vì lợi ích bản thân? Dodd đưa ra giải pháp gì? Bạn có nghĩ ông ấy đúng không? Có phương án thay thế nào không?</w:t>
      </w:r>
    </w:p>
    <w:p>
      <w:pPr>
        <w:spacing w:after="80"/>
      </w:pPr>
      <w:r>
        <w:rPr>
          <w:b w:val="0"/>
          <w:i w:val="0"/>
        </w:rPr>
        <w:t>3. Bạn nghĩ gì về quan điểm của Berle rằng quyền tùy nghi rộng lớn của ban quản lý sẽ chỉ dẫn đến hành vi mưu lợi cá nhân của các giám đốc? Ông ấy muốn nói gì qua điều này? Bạn có đồng ý với lập trường này không?</w:t>
      </w:r>
    </w:p>
    <w:p>
      <w:pPr>
        <w:spacing w:after="80"/>
      </w:pPr>
      <w:r>
        <w:rPr>
          <w:b w:val="0"/>
          <w:i w:val="0"/>
        </w:rPr>
        <w:t xml:space="preserve">4. Những người theo đuổi mô hình ưu tiên cổ đông thường đánh đồng nghĩa vụ của hội đồng quản trị với việc tối đa hóa lợi nhuận. </w:t>
      </w:r>
      <w:r>
        <w:rPr>
          <w:b w:val="0"/>
          <w:i/>
        </w:rPr>
        <w:t>Xem Kurz v. Holbrook</w:t>
      </w:r>
      <w:r>
        <w:rPr>
          <w:b w:val="0"/>
          <w:i w:val="0"/>
        </w:rPr>
        <w:t xml:space="preserve"> , 989 A.2d 140 (Del Ch.), </w:t>
      </w:r>
      <w:r>
        <w:rPr>
          <w:b w:val="0"/>
          <w:i/>
        </w:rPr>
        <w:t>aff'd in part, rev'd in part</w:t>
      </w:r>
      <w:r>
        <w:rPr>
          <w:b w:val="0"/>
          <w:i w:val="0"/>
        </w:rPr>
        <w:t xml:space="preserve"> , </w:t>
      </w:r>
      <w:r>
        <w:rPr>
          <w:b w:val="0"/>
          <w:i/>
        </w:rPr>
        <w:t>Crown Emak Partners, LLC v. Kurz</w:t>
      </w:r>
      <w:r>
        <w:rPr>
          <w:b w:val="0"/>
          <w:i w:val="0"/>
        </w:rPr>
        <w:t xml:space="preserve"> , 992 A.2d 377 (Del. 2010) (lưu ý rằng cổ đông theo đuổi “mục tiêu doanh nghiệp là tối đa hóa tài sản của cổ đông”). Tuy nhiên, không phải ai cũng đồng ý với cách mô tả này. </w:t>
      </w:r>
      <w:r>
        <w:rPr>
          <w:b w:val="0"/>
          <w:i/>
        </w:rPr>
        <w:t>Xem</w:t>
      </w:r>
      <w:r>
        <w:rPr>
          <w:b w:val="0"/>
          <w:i w:val="0"/>
        </w:rPr>
        <w:t xml:space="preserve"> Antony Page, </w:t>
      </w:r>
      <w:r>
        <w:rPr>
          <w:b w:val="0"/>
          <w:i/>
        </w:rPr>
        <w:t>Review: Has Corporate Law Failed? Addressing Proposals for Reform</w:t>
      </w:r>
      <w:r>
        <w:rPr>
          <w:b w:val="0"/>
          <w:i w:val="0"/>
        </w:rPr>
        <w:t xml:space="preserve"> , 107 Mich. L. Rev. 979, 987 (April 2009) (“Có bằng chứng cho thấy các tập đoàn trên thực tế không bị giới hạn ở việc tối đa hóa tài sản của cổ đông.”). Bạn nghĩ sao?</w:t>
      </w:r>
    </w:p>
    <w:p>
      <w:pPr>
        <w:spacing w:after="80"/>
      </w:pPr>
      <w:r>
        <w:rPr>
          <w:b w:val="0"/>
          <w:i w:val="0"/>
        </w:rPr>
        <w:t xml:space="preserve">5. Berle cuối cùng đã rút lui khỏi quan điểm của mình. Tuy nhiên, lập trường tối đa hóa lợi nhuận đã được những người khác tiếp nhận. </w:t>
      </w:r>
      <w:r>
        <w:rPr>
          <w:b w:val="0"/>
          <w:i/>
        </w:rPr>
        <w:t>Xem</w:t>
      </w:r>
      <w:r>
        <w:rPr>
          <w:b w:val="0"/>
          <w:i w:val="0"/>
        </w:rPr>
        <w:t xml:space="preserve"> Milton Friedman, Capitalism and Freedom 133–34 (1962). Để có một sự bảo vệ gần đây hơn cho những lập luận này, xem </w:t>
      </w:r>
      <w:r>
        <w:rPr>
          <w:b w:val="0"/>
          <w:i/>
        </w:rPr>
        <w:t>e.g.</w:t>
      </w:r>
      <w:r>
        <w:rPr>
          <w:b w:val="0"/>
          <w:i w:val="0"/>
        </w:rPr>
        <w:t xml:space="preserve"> , Stephen M. Bainbridge, </w:t>
      </w:r>
      <w:r>
        <w:rPr>
          <w:b w:val="0"/>
          <w:i/>
        </w:rPr>
        <w:t>In Defense of the Shareholder Wealth Maximization Norm: A Reply to Professor Green</w:t>
      </w:r>
      <w:r>
        <w:rPr>
          <w:b w:val="0"/>
          <w:i w:val="0"/>
        </w:rPr>
        <w:t xml:space="preserve"> , 50 Wash. &amp; Lee L. Rev. 1423 (Fall 1993).</w:t>
      </w:r>
    </w:p>
    <w:p>
      <w:pPr>
        <w:pStyle w:val="Heading2"/>
      </w:pPr>
      <w:r>
        <w:rPr>
          <w:rFonts w:ascii="Calibri" w:hAnsi="Calibri"/>
          <w:b/>
          <w:i w:val="0"/>
          <w:sz w:val="32"/>
        </w:rPr>
        <w:t>II. Hoạt động từ thiện của tập đoàn</w:t>
      </w:r>
    </w:p>
    <w:p>
      <w:pPr>
        <w:spacing w:after="80"/>
      </w:pPr>
      <w:r>
        <w:rPr>
          <w:b w:val="0"/>
          <w:i w:val="0"/>
        </w:rPr>
        <w:t>Mọi cuộc thảo luận về vai trò rộng lớn hơn của doanh nghiệp trước hết phải đề cập đến hoạt động từ thiện. Ý tưởng cho đi lợi nhuận thoạt nghe có vẻ mâu thuẫn với mục tiêu tối đa hóa lợi tức cho cổ đông. Thật vậy, các nguyên tắc luật doanh nghiệp ban đầu đã hạn chế hoạt động từ thiện. Tòa án thường đưa ra một trong hai lý do.</w:t>
      </w:r>
    </w:p>
    <w:p>
      <w:pPr>
        <w:spacing w:after="80"/>
      </w:pPr>
      <w:r>
        <w:rPr>
          <w:b w:val="0"/>
          <w:i w:val="0"/>
        </w:rPr>
        <w:t xml:space="preserve">Thứ nhất, việc cho đi quỹ của doanh nghiệp bị coi là không nhất quán với mục tiêu tối đa hóa tài sản mà doanh nghiệp phải theo đuổi. Thứ hai, một nhóm án lệ riêng biệt coi các khoản chi tiêu đó là </w:t>
      </w:r>
      <w:r>
        <w:rPr>
          <w:b w:val="0"/>
          <w:i/>
        </w:rPr>
        <w:t>ultra vires</w:t>
      </w:r>
      <w:r>
        <w:rPr>
          <w:b w:val="0"/>
          <w:i w:val="0"/>
        </w:rPr>
        <w:t xml:space="preserve"> (vượt quá thẩm quyền) và nằm ngoài điều khoản mục đích ghi trong điều lệ thành lập doanh nghiệp. </w:t>
      </w:r>
      <w:r>
        <w:rPr>
          <w:b w:val="0"/>
          <w:i/>
        </w:rPr>
        <w:t>Xem Davis v. Old Colony R.R. Co.</w:t>
      </w:r>
      <w:r>
        <w:rPr>
          <w:b w:val="0"/>
          <w:i w:val="0"/>
        </w:rPr>
        <w:t xml:space="preserve"> , 131 Mass. 258, 275 (1881) ("Việc tổ chức một 'lễ kỷ niệm hòa bình thế giới và liên hoan âm nhạc quốc tế' là một hoạt động hoàn toàn nằm ngoài các mục tiêu mà một công ty đường sắt được thành lập để theo đuổi; và một hợp đồng để trả, hoặc bảo đảm thanh toán, các chi phí của một hoạt động như vậy không phải là phương tiện cần thiết cũng không phải phương tiện thích hợp để tiến hành hoạt động kinh doanh của công ty đường sắt đó").</w:t>
      </w:r>
    </w:p>
    <w:p>
      <w:pPr>
        <w:spacing w:after="80"/>
      </w:pPr>
      <w:r>
        <w:rPr>
          <w:b w:val="0"/>
          <w:i w:val="0"/>
        </w:rPr>
        <w:t xml:space="preserve">Tuy nhiên, dần dần, pháp luật trong lĩnh vực này đã phát triển. Các án lệ bắt đầu công nhận tính hợp pháp của các khoản đóng góp từ thiện, ít nhất là những khoản mang lại một loại lợi ích nào đó cho hoạt động kinh doanh. </w:t>
      </w:r>
      <w:r>
        <w:rPr>
          <w:b w:val="0"/>
          <w:i/>
        </w:rPr>
        <w:t>Xem A. P. Smith Mfg. Co. v. Barlow</w:t>
      </w:r>
      <w:r>
        <w:rPr>
          <w:b w:val="0"/>
          <w:i w:val="0"/>
        </w:rPr>
        <w:t xml:space="preserve"> , 98 A.2d 581 (N.J. 1953). Các án lệ đã hòa trộn khái niệm từ thiện với nghĩa vụ tối đa hóa lợi nhuận. Trong những trường hợp khác, các bang đã can thiệp trực tiếp. Hầu hết các bang đã cho phép đóng góp từ thiện bằng luật thành văn. Trong một số trường hợp, luật thành văn đặc biệt bãi bỏ yêu cầu về lợi ích cho doanh nghiệp. </w:t>
      </w:r>
      <w:r>
        <w:rPr>
          <w:b w:val="0"/>
          <w:i/>
        </w:rPr>
        <w:t>Xem</w:t>
      </w:r>
      <w:r>
        <w:rPr>
          <w:b w:val="0"/>
          <w:i w:val="0"/>
        </w:rPr>
        <w:t xml:space="preserve"> Cal Corp Code § 207(e) (quy định rằng doanh nghiệp có thể thực hiện các khoản quyên góp "bất kể lợi ích cụ thể cho doanh nghiệp, vì phúc lợi công cộng hoặc vì quỹ cộng đồng, bệnh viện, mục đích từ thiện, giáo dục, khoa học, công dân hoặc các mục đích tương tự.").</w:t>
      </w:r>
    </w:p>
    <w:p>
      <w:pPr>
        <w:spacing w:after="80"/>
      </w:pPr>
      <w:r>
        <w:rPr>
          <w:b w:val="0"/>
          <w:i w:val="0"/>
        </w:rPr>
        <w:t>Tuy nhiên, Delaware chỉ quy định rằng doanh nghiệp có thẩm quyền "[t]hực hiện các khoản quyên góp vì phúc lợi công cộng hoặc vì các mục đích từ thiện, khoa học hoặc giáo dục, và trong thời chiến hoặc tình trạng khẩn cấp quốc gia khác để hỗ trợ cho các mục đích đó." 8 Del. C. § 122(9). Luật thành văn không đề cập đến việc liệu khoản đóng góp có phải được hỗ trợ bởi mục đích kinh doanh hay không. Do đó, vấn đề này được để cho tòa án quyết định.</w:t>
      </w:r>
    </w:p>
    <w:p>
      <w:pPr>
        <w:pStyle w:val="Heading4"/>
      </w:pPr>
      <w:r>
        <w:rPr>
          <w:rFonts w:ascii="Calibri" w:hAnsi="Calibri"/>
          <w:b/>
          <w:i w:val="0"/>
          <w:sz w:val="23"/>
        </w:rPr>
        <w:t>Theodora Holding Corp. v. Henderson</w:t>
      </w:r>
    </w:p>
    <w:p>
      <w:pPr>
        <w:spacing w:after="80"/>
      </w:pPr>
      <w:r>
        <w:rPr>
          <w:b w:val="0"/>
          <w:i w:val="0"/>
        </w:rPr>
        <w:t>Tòa án Chancery Delaware</w:t>
      </w:r>
      <w:r>
        <w:br/>
      </w:r>
      <w:r>
        <w:rPr>
          <w:b w:val="0"/>
          <w:i w:val="0"/>
        </w:rPr>
        <w:t xml:space="preserve"> 257 A.2d 398 (1969)</w:t>
      </w:r>
    </w:p>
    <w:p>
      <w:pPr>
        <w:spacing w:after="80"/>
      </w:pPr>
      <w:r>
        <w:rPr>
          <w:b w:val="0"/>
          <w:i w:val="0"/>
        </w:rPr>
        <w:t>MARVEL , PHÓ CHÁNH ÁN :</w:t>
      </w:r>
    </w:p>
    <w:p>
      <w:pPr>
        <w:spacing w:after="80"/>
      </w:pPr>
      <w:r>
        <w:rPr>
          <w:b w:val="0"/>
          <w:i w:val="0"/>
        </w:rPr>
        <w:t>Alexander Dawson, Inc. đã hoạt động như một công ty cổ phần cá nhân kể từ năm 1935, khi mẹ của ông Henderson đổi một số lượng đáng kể cổ phần mà bà nắm giữ trong một công ty mà sau này trở thành Avon Products, Inc., để lấy toàn bộ cổ phần của công ty riêng của bà có tên là Alexander Dawson, Inc. Ông Henderson và một người anh sau đó kế thừa quyền lợi của mẹ họ trong Alexander Dawson, Inc., người anh sau đó cho phép công ty mua lại cổ phần của mình. Như đã nêu ở trên, ông Henderson, nhờ việc nắm giữ kết hợp cả cổ phần phổ thông và cổ phần ưu đãi của bị đơn là doanh nghiệp, rõ ràng nắm quyền kiểm soát các công việc của doanh nghiệp đó, mà phần lớn được ông Henderson điều hành một cách không chính thức với sự quan tâm rất ít đến quan điểm của các thành viên hội đồng quản trị khác. . . . Thông qua việc thực thi quyền kiểm soát đó, ông Henderson đã, kể từ năm 1957, khiến bị đơn là doanh nghiệp quyên góp nhiều khoản tiền khác nhau cho một quỹ tín thác từ thiện được ông Henderson thành lập vào năm đó, cụ thể là Alexander Dawson Foundation [một Quỹ dưới sự kiểm soát của ông Henderson]. Năm 1957, 10.610 đô-la đã được quyên góp cho quỹ tín thác đó. Từ năm 1960 đến năm 1966 (trừ năm 1965), các khoản quyên góp nằm trong khoảng xấp xỉ 63.000 đến 70.000 đô-la hoặc cao hơn trong mỗi năm, ngoại trừ năm 1963 khi 27.923 đô-la được quyên góp. Tuy nhiên, vào năm 1966, một khoản quyên góp dưới hình thức một khu đất lớn ở Colorado, có giá trị khoảng 467.750 đô-la, đã được thực hiện. Tất cả các khoản quyên góp này cho đến năm 1966 đều được tất cả các cổ đông của Alexander Dawson, Inc., bao gồm bà Theodora G. Henderson, nhất trí thông qua.</w:t>
      </w:r>
    </w:p>
    <w:p>
      <w:pPr>
        <w:spacing w:after="80"/>
      </w:pPr>
      <w:r>
        <w:rPr>
          <w:b w:val="0"/>
          <w:i w:val="0"/>
        </w:rPr>
        <w:t>Khoản quyên góp hiện đang bị chất vấn, cụ thể là một trong các cổ phần của bị đơn là doanh nghiệp có giá trị khoảng 528.000 đô-la, đã được thực hiện cho Alexander Dawson Foundation vào tháng 12 năm 1967. . . . Tuy nhiên, điều đáng chú ý, như đã nêu ở trên, là khoản quyên góp của doanh nghiệp năm 1966, bao gồm một trang trại nằm ở Colorado, đã được tất cả các giám đốc và cổ đông của bị đơn là doanh nghiệp thông qua, và khoản quyên góp đang bị chất vấn ở đây rõ ràng được dự định là một bước tiến tới việc hoàn thành mục đích đằng sau việc tặng khu đất đó, cụ thể là cung cấp một quỹ để tài trợ cho một trại hè miền Tây dành cho các bé trai kém may mắn, đặc biệt là các thành viên của George Junior Republic, một tổ chức tự quản đã phục vụ lợi ích công cộng trong khoảng bảy mươi lăm năm tại một trường học gần Freeville, New York. Như vậy, vào mùa hè năm 1967, một nhóm nhỏ trẻ em kém may mắn đã tận hưởng những lợi ích của trại hè đó trong một cuộc thử nghiệm tính khả thi của một tổ chức như vậy. Tuy nhiên, rõ ràng ý định của ông Henderson là tiếp tục và mở rộng mối quan tâm của mình đối với trại hè đó, nơi ông duy trì một ngôi nhà ngầm mà ông sử dụng với giá thuê 6.000 đô-la mỗi năm, ngôi nhà đó được ông sử dụng trong khoảng ba tháng mỗi năm.</w:t>
      </w:r>
    </w:p>
    <w:p>
      <w:pPr>
        <w:spacing w:after="80"/>
      </w:pPr>
      <w:r>
        <w:rPr>
          <w:b w:val="0"/>
          <w:i w:val="0"/>
        </w:rPr>
        <w:t>* * *</w:t>
      </w:r>
    </w:p>
    <w:p>
      <w:pPr>
        <w:spacing w:after="80"/>
      </w:pPr>
      <w:r>
        <w:rPr>
          <w:b w:val="0"/>
          <w:i w:val="0"/>
        </w:rPr>
        <w:t>Vấn đề tiếp theo cần xem xét là tính thích hợp của khoản quyên góp tháng 12 năm 1967 mà Alexander Dawson, Inc. thực hiện cho Alexander Dawson Foundation bằng các cổ phần của bị đơn là doanh nghiệp có giá trị vượt quá 525.000 đô-la, một số tiền nằm trong giới hạn của các quy định của luật thuế liên bang liên quan đến các khoản quyên góp doanh nghiệp được khấu trừ, Internal Revenue Code of 1954 §§ 170(b) (2), 545(b) (2).</w:t>
      </w:r>
    </w:p>
    <w:p>
      <w:pPr>
        <w:spacing w:after="80"/>
      </w:pPr>
      <w:r>
        <w:rPr>
          <w:b w:val="0"/>
          <w:i w:val="0"/>
        </w:rPr>
        <w:t>Title 8 Del. C. § 122 quy định như sau:</w:t>
      </w:r>
    </w:p>
    <w:p>
      <w:pPr>
        <w:spacing w:after="80"/>
      </w:pPr>
      <w:r>
        <w:rPr>
          <w:b w:val="0"/>
          <w:i w:val="0"/>
        </w:rPr>
        <w:t>"Mọi doanh nghiệp được thành lập theo chương này đều có quyền—</w:t>
      </w:r>
    </w:p>
    <w:p>
      <w:pPr>
        <w:spacing w:after="80"/>
      </w:pPr>
      <w:r>
        <w:rPr>
          <w:b w:val="0"/>
          <w:i w:val="0"/>
        </w:rPr>
        <w:t>(9) Thực hiện các khoản quyên góp vì phúc lợi công cộng hoặc vì các mục đích từ thiện, khoa học hoặc giáo dục, và trong thời chiến hoặc tình trạng khẩn cấp quốc gia khác để hỗ trợ cho các mục đích đó."</w:t>
      </w:r>
    </w:p>
    <w:p>
      <w:pPr>
        <w:spacing w:after="80"/>
      </w:pPr>
      <w:r>
        <w:rPr>
          <w:b w:val="0"/>
          <w:i w:val="0"/>
        </w:rPr>
        <w:t>Không có nghi ngờ gì rằng Alexander Dawson Foundation được Sở Thuế vụ công nhận là một quỹ tín thác từ thiện hợp pháp. Cũng rõ ràng rằng quỹ này được phép hoạt động độc quyền trong các lĩnh vực "* * * mục đích tôn giáo, từ thiện, khoa học, văn học, hoặc giáo dục, hoặc để ngăn chặn sự tàn ác đối với trẻ em hoặc động vật * * *". Hơn nữa, các tòa án đương thời công nhận rằng trừ khi các doanh nghiệp gánh vác một phần ngày càng tăng trong gánh nặng hỗ trợ các mục đích từ thiện và giáo dục, thì những lợi thế kinh doanh mà pháp luật hiện nay dành cho doanh nghiệp có thể sẽ trở nên không thể chấp nhận được đối với đại diện của một công chúng đang bị khuấy động. Nghĩa vụ được công nhận của doanh nghiệp đối với các mục đích từ thiện, giáo dục và nghệ thuật được phản ánh trong luật thành văn của tất cả các bang, ngoại trừ các bang Arizona và Idaho.</w:t>
      </w:r>
    </w:p>
    <w:p>
      <w:pPr>
        <w:spacing w:after="80"/>
      </w:pPr>
      <w:r>
        <w:rPr>
          <w:b w:val="0"/>
          <w:i w:val="0"/>
        </w:rPr>
        <w:t>* * *</w:t>
      </w:r>
    </w:p>
    <w:p>
      <w:pPr>
        <w:spacing w:after="80"/>
      </w:pPr>
      <w:r>
        <w:rPr>
          <w:b w:val="0"/>
          <w:i w:val="0"/>
        </w:rPr>
        <w:t>Tôi kết luận rằng phép thử cần được áp dụng để đánh giá tính hợp lệ của một món quà tặng như trường hợp đang bàn ở đây chính là phép thử về tính hợp lý, một phép thử mà trong đó các quy định của Bộ luật Thuế vụ Liên bang (Internal Revenue Code) liên quan đến quà tặng từ thiện của các công ty đóng vai trò như một kim chỉ nam hữu ích. Món quà đang bị chất vấn ở đây được trích từ tổng thu nhập và có giá trị tại thời điểm tặng là $528,000 trong một năm mà tổng thu nhập của Alexander Dawson, Inc. là $19,144,229.06, tức là nằm gọn trong giới hạn khấu trừ thuế liên bang là 5% của khoản thu nhập đó. Khoản đóng góp đang bị chất vấn có thể được coi là đã "tiêu tốn" của tất cả các cổ đông của Alexander Dawson, Inc., kể cả nguyên đơn, chưa đến $80,000, tức khoảng mười lăm xu trên mỗi đô-la đóng góp, nếu xét đến các quy định thuế liên bang áp dụng cho các công ty holding cũng như các quy định về việc bắt buộc phân phối cổ tức mà một công ty như vậy nhận được. Thêm vào đó, món quà tặng này, bằng cách giảm khoản dự phòng thuế lãi vốn chưa thực hiện của Alexander Dawson, Inc. xuống khoảng $130,000, đã làm tăng giá trị ròng trên bảng cân đối kế toán của các cổ đông thuộc bị đơn là công ty thêm đúng khoản đó. Theo ý tôi, do đó rõ ràng rằng khoản tổn thất tương đối nhỏ về thu nhập trước mắt lẽ ra phải được trả cho nguyên đơn và các cổ đông khác của bị đơn là công ty, nếu không có món quà đang bàn, thì hoàn toàn bị lấn át bởi những lợi ích tổng thể tuôn chảy từ việc đưa món quà đó vào những kênh mà nó phục vụ lợi ích cho những ai đang cần sự hỗ trợ từ thiện hoặc giáo dục, qua đó biện minh cho các khoản nắm giữ tư nhân lớn, và do đó về lâu dài lại mang lợi cho nguyên đơn. Cuối cùng, việc lợi ích của Alexander Dawson Foundation dường như ngày càng hướng tới việc phục hồi và giáo dục những người trẻ tuổi kém may mắn nhưng xứng đáng là điều đặc biệt thích hợp trong một thời đại mà một bộ phận lớn giới trẻ đang bị tha hóa ngay cả với những bậc cha mẹ vốn không hoàn toàn hài lòng với hệ thống xã hội và kinh tế hiện tại của chúng ta.</w:t>
      </w:r>
    </w:p>
    <w:p>
      <w:pPr>
        <w:pStyle w:val="Heading5"/>
      </w:pPr>
      <w:r>
        <w:rPr>
          <w:rFonts w:ascii="Calibri" w:hAnsi="Calibri"/>
          <w:b/>
          <w:i/>
          <w:sz w:val="22"/>
        </w:rPr>
        <w:t>Bình luận và Câu hỏi</w:t>
      </w:r>
    </w:p>
    <w:p>
      <w:pPr>
        <w:spacing w:after="80"/>
      </w:pPr>
      <w:r>
        <w:rPr>
          <w:b w:val="0"/>
          <w:i w:val="0"/>
        </w:rPr>
        <w:t>1. Phép thử mà tòa án này đã chọn để đánh giá các khoản đóng góp từ thiện là gì? Phép thử đó có đặt ra những giới hạn có ý nghĩa lên các khoản đóng góp hay không?</w:t>
      </w:r>
    </w:p>
    <w:p>
      <w:pPr>
        <w:spacing w:after="80"/>
      </w:pPr>
      <w:r>
        <w:rPr>
          <w:b w:val="0"/>
          <w:i w:val="0"/>
        </w:rPr>
        <w:t xml:space="preserve">2. Liệu có cần phải có sự biện minh về mặt kinh doanh cho khoản đóng góp hay không? Ít nhất một nhà bình luận đã kết luận rằng đạo luật của Delaware không đòi hỏi phải có bằng chứng về lợi ích kinh doanh. </w:t>
      </w:r>
      <w:r>
        <w:rPr>
          <w:b w:val="0"/>
          <w:i/>
        </w:rPr>
        <w:t>Xem</w:t>
      </w:r>
      <w:r>
        <w:rPr>
          <w:b w:val="0"/>
          <w:i w:val="0"/>
        </w:rPr>
        <w:t xml:space="preserve"> Einer Elhauge, </w:t>
      </w:r>
      <w:r>
        <w:rPr>
          <w:b w:val="0"/>
          <w:i/>
        </w:rPr>
        <w:t>Sacrificing Corporate Profits in the Public Interest</w:t>
      </w:r>
      <w:r>
        <w:rPr>
          <w:b w:val="0"/>
          <w:i w:val="0"/>
        </w:rPr>
        <w:t xml:space="preserve"> , 80 N.Y.U. L. Rev. 733 (2005). Dựa trên phân tích trong </w:t>
      </w:r>
      <w:r>
        <w:rPr>
          <w:b w:val="0"/>
          <w:i/>
        </w:rPr>
        <w:t>Theodora</w:t>
      </w:r>
      <w:r>
        <w:rPr>
          <w:b w:val="0"/>
          <w:i w:val="0"/>
        </w:rPr>
        <w:t xml:space="preserve"> , bạn có đồng ý không? Điều này có nghĩa là lợi ích kinh doanh đã trở nên không còn liên quan?</w:t>
      </w:r>
    </w:p>
    <w:p>
      <w:pPr>
        <w:spacing w:after="80"/>
      </w:pPr>
      <w:r>
        <w:rPr>
          <w:b w:val="0"/>
          <w:i w:val="0"/>
        </w:rPr>
        <w:t>3. Trong khi tòa án nhấn mạnh rằng món quà tặng có khả năng giúp đỡ những cậu bé kém may mắn, trên thực tế, vụ án không xác định rằng đó chính là mục đích thực sự của nó. 257 A.2d at 402 (chỉ lưu ý rằng bị đơn "dường như có ý định" dùng khoản đóng góp cho mục đích này). Liệu mục đích chính xác của số tiền có nên được đưa vào phân tích của tòa án hay chỉ cần chúng được quyên tặng cho một tổ chức từ thiện "chính đáng" là đủ?</w:t>
      </w:r>
    </w:p>
    <w:p>
      <w:pPr>
        <w:spacing w:after="80"/>
      </w:pPr>
      <w:r>
        <w:rPr>
          <w:b w:val="0"/>
          <w:i w:val="0"/>
        </w:rPr>
        <w:t xml:space="preserve">4. Ai là người quyết định có thực hiện một khoản đóng góp từ thiện hay không? Có bắt buộc phải có sự giám sát của hội đồng quản trị hay CEO có thể tự mình đưa ra quyết định? </w:t>
      </w:r>
      <w:r>
        <w:rPr>
          <w:b w:val="0"/>
          <w:i/>
        </w:rPr>
        <w:t>Xem</w:t>
      </w:r>
      <w:r>
        <w:rPr>
          <w:b w:val="0"/>
          <w:i w:val="0"/>
        </w:rPr>
        <w:t xml:space="preserve"> R. Franklin Balotti &amp; James J. Hanks, Jr., </w:t>
      </w:r>
      <w:r>
        <w:rPr>
          <w:b w:val="0"/>
          <w:i/>
        </w:rPr>
        <w:t>Giving at the Office: A Reappraisal of Charitable Contributions by Corporations</w:t>
      </w:r>
      <w:r>
        <w:rPr>
          <w:b w:val="0"/>
          <w:i w:val="0"/>
        </w:rPr>
        <w:t xml:space="preserve"> , 54 Bus. Law. 965, 973 (1999) ("Quan trọng hơn, vì rất ít đạo luật đòi hỏi sự giám sát của hội đồng quản trị đối với các khoản đóng góp từ thiện, nên các giám đốc điều hành công ty đã được phép theo đuổi những lợi ích cá nhân trong việc ra quyết định từ thiện của họ thay mặt cho công ty."). Trên thực tế, điều này tạo ra sự khác biệt gì?</w:t>
      </w:r>
    </w:p>
    <w:p>
      <w:pPr>
        <w:spacing w:after="80"/>
      </w:pPr>
      <w:r>
        <w:rPr>
          <w:b w:val="0"/>
          <w:i w:val="0"/>
        </w:rPr>
        <w:t>5. Ngay cả ở những khu vực tài phán không đòi hỏi lợi ích, liệu những quy định này có thực sự khuyến khích hoạt động từ thiện hay không? Có nên như vậy không? Có nên viết lại các đạo luật để bắt buộc một mức độ từ thiện nào đó hay không?</w:t>
      </w:r>
    </w:p>
    <w:p>
      <w:pPr>
        <w:spacing w:after="80"/>
      </w:pPr>
      <w:r>
        <w:rPr>
          <w:b w:val="0"/>
          <w:i w:val="0"/>
        </w:rPr>
        <w:t>6. Hoạt động từ thiện của doanh nghiệp thường diễn ra dưới hình thức đóng góp bằng hiện vật. Các công ty thực phẩm, dược phẩm và máy tính nằm trong số những đơn vị hào phóng nhất về mặt này. Chẳng hạn, Pfizer đã tặng $2.3 tỷ dược phẩm trong năm 2009. Trong khi đó, tiền mặt lại ít phổ biến hơn. Nhà tài trợ lớn nhất năm 2009 là Wal-Mart, đóng góp gần $290 triệu. Những số liệu thống kê này gợi ý điều gì về hoạt động từ thiện của doanh nghiệp?</w:t>
      </w:r>
    </w:p>
    <w:p>
      <w:pPr>
        <w:spacing w:after="80"/>
      </w:pPr>
      <w:r>
        <w:rPr>
          <w:b w:val="0"/>
          <w:i w:val="0"/>
        </w:rPr>
        <w:t>—————</w:t>
      </w:r>
    </w:p>
    <w:p>
      <w:pPr>
        <w:spacing w:after="80"/>
      </w:pPr>
      <w:r>
        <w:rPr>
          <w:b w:val="0"/>
          <w:i w:val="0"/>
        </w:rPr>
        <w:t xml:space="preserve">Theo tiêu chuẩn hợp lý được nêu rõ trong </w:t>
      </w:r>
      <w:r>
        <w:rPr>
          <w:b w:val="0"/>
          <w:i/>
        </w:rPr>
        <w:t>Theodora Holding</w:t>
      </w:r>
      <w:r>
        <w:rPr>
          <w:b w:val="0"/>
          <w:i w:val="0"/>
        </w:rPr>
        <w:t xml:space="preserve"> , những giới hạn nào, nếu có, được áp dụng cho các khoản đóng góp từ thiện? Nói cách khác, nếu các giám đốc không hành động vì lợi ích tốt nhất của các cổ đông, thì họ đang thúc đẩy lợi ích của ai?</w:t>
      </w:r>
    </w:p>
    <w:p>
      <w:pPr>
        <w:pStyle w:val="Heading4"/>
      </w:pPr>
      <w:r>
        <w:rPr>
          <w:rFonts w:ascii="Calibri" w:hAnsi="Calibri"/>
          <w:b/>
          <w:i w:val="0"/>
          <w:sz w:val="23"/>
        </w:rPr>
        <w:t>Kahn v. Sullivan</w:t>
      </w:r>
    </w:p>
    <w:p>
      <w:pPr>
        <w:spacing w:after="80"/>
      </w:pPr>
      <w:r>
        <w:rPr>
          <w:b w:val="0"/>
          <w:i w:val="0"/>
        </w:rPr>
        <w:t>Tòa án Tối cao Delaware</w:t>
      </w:r>
      <w:r>
        <w:br/>
      </w:r>
      <w:r>
        <w:rPr>
          <w:b w:val="0"/>
          <w:i w:val="0"/>
        </w:rPr>
        <w:t xml:space="preserve"> 594 A.2d 48 (1990)</w:t>
      </w:r>
    </w:p>
    <w:p>
      <w:pPr>
        <w:spacing w:after="80"/>
      </w:pPr>
      <w:r>
        <w:rPr>
          <w:b w:val="0"/>
          <w:i w:val="0"/>
        </w:rPr>
        <w:t>HOLLAND , THẨM PHÁN :</w:t>
      </w:r>
    </w:p>
    <w:p>
      <w:pPr>
        <w:spacing w:after="80"/>
      </w:pPr>
      <w:r>
        <w:rPr>
          <w:b w:val="0"/>
          <w:i w:val="0"/>
        </w:rPr>
        <w:t>Vào thời điểm ông qua đời ngày 10 tháng 12 năm 1990, Tiến sĩ Hammer là giám đốc điều hành của Occidental và là chủ tịch hội đồng quản trị của công ty. Từ đầu những năm 1920, Tiến sĩ Hammer đã là một nhà sưu tập nghệ thuật nghiêm túc. Khi Tiến sĩ Hammer qua đời, cá nhân ông và The Armand Hammer Foundation ("Quỹ") sở hữu ba bộ sưu tập nghệ thuật lớn (được gọi chung là "Bộ sưu tập Nghệ thuật"). Bộ sưu tập Nghệ thuật, trị giá $300–$400 triệu, bao gồm: "Five Centuries of Art," hơn 100 tác phẩm của các nghệ sĩ như Rembrandt, Rubens, Renoir và Van Gogh; Codex Hammer, một bản thảo quý hiếm của Leonardo da Vinci; và bộ sưu tập tranh, bản in thạch bản và tượng đồng tư nhân phong phú nhất thế giới của nhà châm biếm người Pháp Honore Daumier. Xem The Armand Hammer Collection (J. Walker 2d ed. 1982).</w:t>
      </w:r>
    </w:p>
    <w:p>
      <w:pPr>
        <w:spacing w:after="80"/>
      </w:pPr>
      <w:r>
        <w:rPr>
          <w:b w:val="0"/>
          <w:i w:val="0"/>
        </w:rPr>
        <w:t>* * *</w:t>
      </w:r>
    </w:p>
    <w:p>
      <w:pPr>
        <w:spacing w:after="80"/>
      </w:pPr>
      <w:r>
        <w:rPr>
          <w:b w:val="0"/>
          <w:i w:val="0"/>
        </w:rPr>
        <w:t>Ngày 19 tháng 1 năm 1988, tại một cuộc họp của ủy ban điều hành thuộc hội đồng quản trị Occidental ("Ủy ban Điều hành"), Tiến sĩ Hammer đề xuất rằng Occidental, cùng với Quỹ, xây dựng một bảo tàng cho Bộ sưu tập Nghệ thuật. Sau khi thảo luận về lịch sử gắn bó của Occidental với Bộ sưu tập Nghệ thuật, Ủy ban Điều hành quyết định rằng việc chấp nhận đề xuất của Tiến sĩ Hammer là vì lợi ích tốt nhất của Occidental. Ủy ban Điều hành đã phê duyệt việc đàm phán các thỏa thuận cho thiết kế sơ bộ và xây dựng một bảo tàng nghệ thuật. Bảo tàng này sẽ nằm liền kề trụ sở của Occidental, trên vị trí của một bãi đỗ xe hiện hữu mà Occidental dùng cho nhân viên của mình. Ủy ban Điều hành cũng quyết định rằng một khi dự án bảo tàng nghệ thuật được xác định về cơ bản, một đề xuất cuối cùng sẽ được trình lên Hội đồng Quản trị hoặc Ủy ban Điều hành để phê duyệt và ủy quyền.</w:t>
      </w:r>
    </w:p>
    <w:p>
      <w:pPr>
        <w:spacing w:after="80"/>
      </w:pPr>
      <w:r>
        <w:rPr>
          <w:b w:val="0"/>
          <w:i w:val="0"/>
        </w:rPr>
        <w:t>Ý tưởng về bảo tàng nghệ thuật đã được công bố công khai vào ngày 21 tháng 1 năm 1988. Vào ngày 11 tháng 2 năm 1988, Hội đồng quản trị đã phê chuẩn các hành động trước đó của Ủy ban Điều hành. Occidental đã thông báo cho các cổ đông của mình về kế hoạch sơ bộ xây dựng The Armand Hammer Museum and Cultural Center of Art (“Bảo tàng”) trong Báo cáo Thường niên năm 1987. Theo các nghị quyết ngày 19 tháng 1 năm 1988 được Ủy ban Điều hành thông qua, việc xây dựng một bãi đỗ xe mới cho Occidental đã bắt đầu vào mùa thu năm 1988. Hội đồng quản trị đã phê duyệt trái phiếu xây dựng vào ngày 10 tháng 11 năm 1988. [Tại cuộc họp được tổ chức vào ngày 16 tháng 2 năm 1989, hội đồng quản trị đã chỉ định một Ủy ban Đặc biệt gồm tám giám đốc độc lập và không có lợi ích liên quan để xem xét và hành động đối với đề xuất Bảo tàng.]</w:t>
      </w:r>
    </w:p>
    <w:p>
      <w:pPr>
        <w:spacing w:after="80"/>
      </w:pPr>
      <w:r>
        <w:rPr>
          <w:b w:val="0"/>
          <w:i w:val="0"/>
        </w:rPr>
        <w:t>* * *</w:t>
      </w:r>
    </w:p>
    <w:p>
      <w:pPr>
        <w:spacing w:after="80"/>
      </w:pPr>
      <w:r>
        <w:rPr>
          <w:b w:val="0"/>
          <w:i w:val="0"/>
        </w:rPr>
        <w:t>Vào ngày 16 tháng 2 năm 1989, Ủy ban Đặc biệt đã nhất trí phê duyệt đề xuất Bảo tàng, với một số điều kiện nhất định. Đề xuất được Ủy ban Đặc biệt phê duyệt bao gồm các điều khoản sau [đề xuất bao gồm, trong số những nội dung khác, chi phí xây dựng khoảng 50 triệu đô la, một khoản niên kim cho bảo tàng với chi phí ước tính 35,6 triệu đô la; bốn tầng của trụ sở công ty được miễn phí tiền thuê; và Bảo tàng sẽ được đặt tên là “The Armand Hammer Museum of Art and Culture Center”]</w:t>
      </w:r>
    </w:p>
    <w:p>
      <w:pPr>
        <w:spacing w:after="80"/>
      </w:pPr>
      <w:r>
        <w:rPr>
          <w:b w:val="0"/>
          <w:i w:val="0"/>
        </w:rPr>
        <w:t>* * *</w:t>
      </w:r>
    </w:p>
    <w:p>
      <w:pPr>
        <w:spacing w:after="80"/>
      </w:pPr>
      <w:r>
        <w:rPr>
          <w:b w:val="0"/>
          <w:i w:val="0"/>
        </w:rPr>
        <w:t>[Sau khi đề xuất được công bố, ít nhất hai nhóm cổ đông đã khởi kiện: vụ Kahn và vụ Sullivan. Các nguyên đơn trong vụ Kahn đã yêu cầu cấm thực hiện thỏa thuận dàn xếp. Trong khi bác bỏ yêu cầu này, Tòa án Chancery đã bày tỏ một số lo ngại về thỏa thuận dàn xếp, bao gồm: “(1) việc Ủy ban Đặc biệt do các giám đốc của Occidental chỉ định đã không thuê cố vấn pháp lý và cố vấn riêng của mình hoặc thậm chí không chính thức phê duyệt các hành vi đang bị thách thức; (2) khoản quyên tặng trước đây của Occidental cho Bảo tàng Quận Los Angeles giờ đây trở nên vô giá trị; (3) khoản phí luật sư khổng lồ mà các bên rõ ràng đã quyết định yêu cầu hoặc không phản đối; (4) tính chất tự cao tự đại trong một số phản đối của Armand Hammer đối với việc Bảo tàng Quận Los Angeles là người nhận khoản quyên tặng của ông; (5) vấn đề ai thực sự sở hữu bộ sưu tập nghệ thuật; và (6) việc thiếu bất kỳ lợi ích đáng kể trực tiếp nào cho các cổ đông.” Ủy ban Đặc biệt đã xem xét những lo ngại này và cuối cùng đàm phán một thỏa thuận dàn xếp khác với các nguyên đơn trong vụ Sullivan.]</w:t>
      </w:r>
    </w:p>
    <w:p>
      <w:pPr>
        <w:spacing w:after="80"/>
      </w:pPr>
      <w:r>
        <w:rPr>
          <w:b w:val="0"/>
          <w:i w:val="0"/>
        </w:rPr>
        <w:t>* * *</w:t>
      </w:r>
    </w:p>
    <w:p>
      <w:pPr>
        <w:spacing w:after="80"/>
      </w:pPr>
      <w:r>
        <w:rPr>
          <w:b w:val="0"/>
          <w:i w:val="0"/>
        </w:rPr>
        <w:t>Các bên trong vụ Sullivan đã trình lên Tòa án Chancery một Thỏa thuận Thương lượng, Dàn xếp và Giải phóng đã được ký kết đầy đủ (“Thỏa thuận Dàn xếp”) vào ngày 24 tháng 1 năm 1990. Thỏa thuận này chỉ thay đổi một chút so với Bản ghi nhớ Thấu hiểu ngày 3 tháng 6 năm 1989. Thỏa thuận Dàn xếp, cùng nhiều nội dung khác, quy định:</w:t>
      </w:r>
    </w:p>
    <w:p>
      <w:pPr>
        <w:spacing w:after="80"/>
      </w:pPr>
      <w:r>
        <w:rPr>
          <w:b w:val="0"/>
          <w:i w:val="0"/>
        </w:rPr>
        <w:t>(1) Tòa nhà Bảo tàng sẽ được đặt tên là “Occidental Petroleum Cultural Center Building” với tên được hiển thị phù hợp trên tòa nhà.</w:t>
      </w:r>
    </w:p>
    <w:p>
      <w:pPr>
        <w:spacing w:after="80"/>
      </w:pPr>
      <w:r>
        <w:rPr>
          <w:b w:val="0"/>
          <w:i w:val="0"/>
        </w:rPr>
        <w:t>(2) Occidental sẽ được Bảo tàng đối xử như một nhà tài trợ doanh nghiệp chừng nào Bảo tàng còn sử dụng tòa nhà.</w:t>
      </w:r>
    </w:p>
    <w:p>
      <w:pPr>
        <w:spacing w:after="80"/>
      </w:pPr>
      <w:r>
        <w:rPr>
          <w:b w:val="0"/>
          <w:i w:val="0"/>
        </w:rPr>
        <w:t>(3) Khoản đóng góp tòa nhà của Occidental sẽ được Bảo tàng ghi nhận trong các thông tin giới thiệu công khai về cơ sở này.</w:t>
      </w:r>
    </w:p>
    <w:p>
      <w:pPr>
        <w:spacing w:after="80"/>
      </w:pPr>
      <w:r>
        <w:rPr>
          <w:b w:val="0"/>
          <w:i w:val="0"/>
        </w:rPr>
        <w:t>(4) Ba giám đốc của Occidental sẽ phục vụ trong Hội đồng quản trị của Bảo tàng (hoặc không ít hơn một phần ba tổng số thành viên Hội đồng Bảo tàng) với việc Occidental có quyền chỉ định một giám đốc thứ tư.</w:t>
      </w:r>
    </w:p>
    <w:p>
      <w:pPr>
        <w:spacing w:after="80"/>
      </w:pPr>
      <w:r>
        <w:rPr>
          <w:b w:val="0"/>
          <w:i w:val="0"/>
        </w:rPr>
        <w:t>(5) Sẽ có một khoản cho mượn ngay lập tức gần như toàn bộ các bộ sưu tập nghệ thuật của Tiến sĩ Hammer cho Bảo tàng và sẽ có một sự chuyển giao thực tế quyền sở hữu các bộ sưu tập này khi Tiến sĩ Hammer qua đời hoặc khi Bảo tàng bắt đầu hoạt động—tùy theo thời điểm nào đến sau.</w:t>
      </w:r>
    </w:p>
    <w:p>
      <w:pPr>
        <w:spacing w:after="80"/>
      </w:pPr>
      <w:r>
        <w:rPr>
          <w:b w:val="0"/>
          <w:i w:val="0"/>
        </w:rPr>
        <w:t>(6) Tất cả các khoản đóng góp từ thiện trong tương lai của Occidental cho bất kỳ tổ chức từ thiện nào có liên kết với Hammer sẽ bị giới hạn bởi quy mô cổ tức được trả cho các cổ đông phổ thông của Occidental. Ở mức cổ tức hiện tại, các khoản đóng góp hàng năm của Occidental cho các tổ chức từ thiện có liên kết với Hammer theo giới hạn này không thể vượt quá khoảng ba xu mỗi cổ phần.</w:t>
      </w:r>
    </w:p>
    <w:p>
      <w:pPr>
        <w:spacing w:after="80"/>
      </w:pPr>
      <w:r>
        <w:rPr>
          <w:b w:val="0"/>
          <w:i w:val="0"/>
        </w:rPr>
        <w:t>(7) Bất kỳ khoản tiền nào Occidental chi trả cho việc xây dựng Bảo tàng vượt quá 50 triệu đô la và bất kỳ khoản tiền nào được trả cho Quỹ khi Tiến sĩ Hammer qua đời đều phải được tính vào mức trần giới hạn đã thỏa thuận đối với các tổ chức từ thiện có liên kết với Hammer.</w:t>
      </w:r>
    </w:p>
    <w:p>
      <w:pPr>
        <w:spacing w:after="80"/>
      </w:pPr>
      <w:r>
        <w:rPr>
          <w:b w:val="0"/>
          <w:i w:val="0"/>
        </w:rPr>
        <w:t>(8) Các khoản chi tiêu của Occidental cho việc xây dựng Bảo tàng sẽ không vượt quá 50 triệu đô la, ngoại trừ việc có thể chi thêm 10 triệu đô la cho đến ngày 31 tháng 12 năm 1990 nhưng chỉ khi các khoản chi tiêu bổ sung đó không mở rộng phạm vi xây dựng và nếu các khoản chi tiêu đó được Ủy ban Đặc biệt phê duyệt. Các khoản tiền vượt quá 50 triệu đô la phải được tính vào giới hạn đóng góp cho các tổ chức từ thiện có liên kết với Hammer.</w:t>
      </w:r>
    </w:p>
    <w:p>
      <w:pPr>
        <w:spacing w:after="80"/>
      </w:pPr>
      <w:r>
        <w:rPr>
          <w:b w:val="0"/>
          <w:i w:val="0"/>
        </w:rPr>
        <w:t>(9) Occidental sẽ được quyền nhận 50% của bất kỳ khoản thù lao nào nhận được vượt quá mức giá quyền chọn 55 triệu đô la đối với tài sản của Bảo tàng hoặc 50% của bất kỳ khoản thù lao nào mà Bảo tàng nhận được từ việc chuyển nhượng hoặc chuyển giao quyền chọn hoặc hợp đồng thuê của mình cho một bên thứ ba.</w:t>
      </w:r>
    </w:p>
    <w:p>
      <w:pPr>
        <w:spacing w:after="80"/>
      </w:pPr>
      <w:r>
        <w:rPr>
          <w:b w:val="0"/>
          <w:i w:val="0"/>
        </w:rPr>
        <w:t>(10) Phí luật sư của nguyên đơn trong vụ Sullivan sẽ không vượt quá 1,4 triệu đô la.</w:t>
      </w:r>
    </w:p>
    <w:p>
      <w:pPr>
        <w:spacing w:after="80"/>
      </w:pPr>
      <w:r>
        <w:rPr>
          <w:b w:val="0"/>
          <w:i w:val="0"/>
        </w:rPr>
        <w:t>* * *</w:t>
      </w:r>
    </w:p>
    <w:p>
      <w:pPr>
        <w:spacing w:after="80"/>
      </w:pPr>
      <w:r>
        <w:rPr>
          <w:b w:val="0"/>
          <w:i w:val="0"/>
        </w:rPr>
        <w:t>Vào ngày 7 tháng 8 năm 1990, Tòa án Chancery (Court of Chancery) đã xác định rằng Thỏa thuận dàn xếp (Settlement) là hợp lý trong mọi hoàn cảnh. Tòa án Chancery kết luận rằng các yêu cầu được đưa ra bởi các cổ đông nguyên đơn có khả năng sẽ bị bác bỏ trước hoặc sau khi xét xử. Trong khi bày tỏ sự không hài lòng của chính mình với Thỏa thuận dàn xếp, Tòa án Chancery giải thích rằng vai trò của mình trong việc xem xét Thỏa thuận dàn xếp được đề xuất bị giới hạn ở việc xác định theo phán đoán kinh doanh (business judgment) của chính mình liệu, xét trên tổng thể, Thỏa thuận dàn xếp có hợp lý hay không. Tòa án nhận định rằng mặc dù lợi ích thu được từ Thỏa thuận dàn xếp là ít ỏi, nhưng nó là thỏa đáng khi xem xét tất cả các sự kiện và hoàn cảnh.</w:t>
      </w:r>
    </w:p>
    <w:p>
      <w:pPr>
        <w:spacing w:after="80"/>
      </w:pPr>
      <w:r>
        <w:rPr>
          <w:b w:val="0"/>
          <w:i w:val="0"/>
        </w:rPr>
        <w:t>* * *</w:t>
      </w:r>
    </w:p>
    <w:p>
      <w:pPr>
        <w:spacing w:after="80"/>
      </w:pPr>
      <w:r>
        <w:rPr>
          <w:b w:val="0"/>
          <w:i w:val="0"/>
        </w:rPr>
        <w:t>Trong một kháng cáo từ Tòa án Chancery, sau khi phê chuẩn một thỏa thuận dàn xếp của vụ kiện tập thể (class action), chức năng của Tòa án này có tính chất hạn chế hơn. Id.; xem thêm Polk v. Good, 507 A.2d at 536. Tòa án này không xem xét hồ sơ để xác định tính công bằng nội tại của thỏa thuận dàn xếp dựa trên phán đoán kinh doanh của chính mình. Nottingham Partners v. Dana, 564 A.2d at 1102. Tòa án này xem xét hồ sơ "chỉ nhằm mục đích xác định liệu Tòa án Chancery có lạm dụng quyền tùy nghi (abused its discretion) của mình khi thực hiện phán đoán kinh doanh hay không." Id. (trích dẫn Polk v. Good, 507 A.2d at 536).</w:t>
      </w:r>
    </w:p>
    <w:p>
      <w:pPr>
        <w:spacing w:after="80"/>
      </w:pPr>
      <w:r>
        <w:rPr>
          <w:b w:val="0"/>
          <w:i w:val="0"/>
        </w:rPr>
        <w:t>* * *</w:t>
      </w:r>
    </w:p>
    <w:p>
      <w:pPr>
        <w:spacing w:after="80"/>
      </w:pPr>
      <w:r>
        <w:rPr>
          <w:b w:val="0"/>
          <w:i w:val="0"/>
        </w:rPr>
        <w:t>Thứ nhất, những người phản đối (Objectors) cho rằng quy tắc phán đoán kinh doanh (business judgment rule) có lẽ sẽ không bảo vệ các hành động của Ủy ban Đặc biệt (Special Committee) vì tính độc lập của Ủy ban Đặc biệt là đáng ngờ. Để ủng hộ lập luận đó, những người phản đối khẳng định rằng ít nhất bốn thành viên của Ủy ban Đặc biệt có quan hệ mật thiết với Tiến sĩ Hammer và có các giao dịch kinh doanh cá nhân với ông. Sau khi xem xét hồ sơ, Tòa án Chancery nhận thấy rằng những người phản đối đã không chứng minh được bất kỳ sự kiện nào cho thấy Ủy ban Đặc biệt có bất kỳ lợi ích tư lợi nào trong giao dịch, dù là từ lợi ích tài chính cá nhân hay từ động cơ bám trụ vào chức vụ. Xem Grobow v. Perot, Del. Supr., 539 A.2d 180, 188 (1988). Tòa án Chancery cũng kết luận rằng không có bằng chứng nào trong hồ sơ cho thấy bất kỳ thành viên nào của Ủy ban Đặc biệt thực sự bị Tiến sĩ Hammer hay bất kỳ ai khác chi phối.</w:t>
      </w:r>
    </w:p>
    <w:p>
      <w:pPr>
        <w:spacing w:after="80"/>
      </w:pPr>
      <w:r>
        <w:rPr>
          <w:b w:val="0"/>
          <w:i w:val="0"/>
        </w:rPr>
        <w:t>Thứ hai, trong một lập luận có liên quan, những người phản đối lập luận rằng giả định của quy tắc phán đoán kinh doanh lẽ ra đã bị bác bỏ vì Ủy ban Đặc biệt ban đầu tiến hành mà không thuê cố vấn pháp lý độc lập. Trên thực tế, đó là một mối lo ngại được Tòa án Chancery xác định trong ý kiến ngày 19 tháng 7 năm 1989 của mình. Tuy nhiên, khi phê chuẩn Thỏa thuận dàn xếp, Tòa án Chancery lưu ý rằng Ủy ban Đặc biệt đã thuê cố vấn độc lập, và "sau đó, lần đầu tiên, đã chính thức phê chuẩn các khoản đóng góp từ thiện đang bị tranh chấp." Do đó, Tòa án Chancery đặc biệt nhận thấy rằng Ủy ban Đặc biệt đã có sự tư vấn của cố vấn pháp lý độc lập trước khi cuối cùng phê chuẩn đề xuất Bảo tàng (Museum proposal).</w:t>
      </w:r>
    </w:p>
    <w:p>
      <w:pPr>
        <w:spacing w:after="80"/>
      </w:pPr>
      <w:r>
        <w:rPr>
          <w:b w:val="0"/>
          <w:i w:val="0"/>
        </w:rPr>
        <w:t>Trong kháng cáo này, liên quan đến phát hiện nêu trên, những người phản đối cho rằng việc Tòa án Chancery cuối cùng phê chuẩn Thỏa thuận dàn xếp dựa trên niềm tin sai lầm của mình rằng một mối lo ngại tư pháp quan trọng, tức là việc Ủy ban Đặc biệt không thuê cố vấn độc lập trước khi chính thức phê chuẩn đề xuất Bảo tàng, đã được khắc phục. Cụ thể, những người phản đối cho rằng Ủy ban Đặc biệt đã chính thức phê chuẩn đề xuất Bảo tàng tại cuộc họp ngày 20 tháng 7 năm 1989 của mình. Các bên đều đồng ý rằng Ủy ban Đặc biệt đã thuê cố vấn pháp lý độc lập của mình vào ngày 4 tháng 8 năm 1989. Do đó, những người phản đối lập luận rằng kết luận của Tòa án Chancery rằng quy tắc phán đoán kinh doanh sẽ được áp dụng dựa trên một tiền đề sai lầm.</w:t>
      </w:r>
    </w:p>
    <w:p>
      <w:pPr>
        <w:spacing w:after="80"/>
      </w:pPr>
      <w:r>
        <w:rPr>
          <w:b w:val="0"/>
          <w:i w:val="0"/>
        </w:rPr>
        <w:t>Để đáp lại lập luận đó của những người phản đối, những người ủng hộ Thỏa thuận dàn xếp cho rằng hồ sơ phản ánh rằng Ủy ban Đặc biệt đã xem xét và phê chuẩn lại tất cả các hành động trước đó của mình vào ngày 20 tháng 9 năm 1989, sau khi thuê cố vấn pháp lý độc lập. Theo đó, những người ủng hộ Thỏa thuận dàn xếp cho rằng, dù hành động ngày 20 tháng 9 năm 1989 của Ủy ban Đặc biệt được mô tả là sự phê chuẩn cuối cùng đầu tiên đối với đề xuất Bảo tàng hay là sự phê chuẩn lại hành động đã thực hiện vào ngày 20 tháng 7 năm 1989, thì quyết định cuối cùng của Ủy ban Đặc biệt để tiến hành đề xuất Bảo tàng đều dựa trên sự tư vấn của cố vấn độc lập.</w:t>
      </w:r>
    </w:p>
    <w:p>
      <w:pPr>
        <w:spacing w:after="80"/>
      </w:pPr>
      <w:r>
        <w:rPr>
          <w:b w:val="0"/>
          <w:i w:val="0"/>
        </w:rPr>
        <w:t xml:space="preserve">Lập luận thứ ba của những người phản đối tại Tòa án Chancery, thách thức tính khả thi của quy tắc phán đoán kinh doanh như một biện pháp phòng vệ thành công, dựa trên </w:t>
      </w:r>
      <w:r>
        <w:rPr>
          <w:b w:val="0"/>
          <w:i/>
        </w:rPr>
        <w:t>Van Gorkom</w:t>
      </w:r>
      <w:r>
        <w:rPr>
          <w:b w:val="0"/>
          <w:i w:val="0"/>
        </w:rPr>
        <w:t xml:space="preserve"> và cho rằng Ủy ban Đặc biệt cùng các giám đốc khác đã cẩu thả nghiêm trọng (grossly negligent) khi không tự trang bị cho mình tất cả thông tin trọng yếu có sẵn một cách hợp lý. Do đó, những người phản đối lập luận rằng ngay cả khi, giả sử (arguendo), Ủy ban Đặc biệt tự nó độc lập và chính thức phê chuẩn đề xuất Bảo tàng sau khi thuê cố vấn pháp lý độc lập, thì sự phê chuẩn đó cũng không khắc phục được việc Ủy ban Đặc biệt trước đó đã không thực hiện sự cẩn trọng cần thiết (due care). Tòa án Chancery nhận thấy hồ sơ cho thấy Ủy ban Đặc biệt đã xem xét thỏa đáng đề xuất Bảo tàng và bác bỏ lập luận ngược lại của những người phản đối. Xem tổng quát Smith v. Van Gorkom, Del. Supr., 488 A.2d 858 (1985).</w:t>
      </w:r>
    </w:p>
    <w:p>
      <w:pPr>
        <w:spacing w:after="80"/>
      </w:pPr>
      <w:r>
        <w:rPr>
          <w:b w:val="0"/>
          <w:i w:val="0"/>
        </w:rPr>
        <w:t>Tòa án Chancery đã xem xét cẩn thận từng lập luận của những người phản đối để đáp lại nội dung của biện pháp phòng vệ quy tắc phán đoán kinh doanh được đề xuất. Tòa kết luận rằng nếu vụ Sullivan tiếp tục, thì rất có thể khi giải quyết một động thái bác bỏ (motion to dismiss), một động thái phán quyết tóm tắt (motion for summary judgment), hoặc một động thái sau xét xử (post-trial motion), các hành động của "Ủy ban Đặc biệt sẽ được bảo vệ bởi giả định về tính đúng đắn mà quy tắc phán đoán kinh doanh mang lại." Cụ thể, Tòa án Chancery kết luận rằng sẽ được quyết định rằng Ủy ban Đặc biệt, bao gồm các giám đốc bên ngoài của Occidental, là độc lập và đã đưa ra quyết định được thông tin đầy đủ để phê chuẩn khoản đóng góp từ thiện cho đề xuất Bảo tàng. Những kết luận này của Tòa án Chancery được hồ sơ ủng hộ và là sản phẩm của một quá trình suy luận có trật tự và logic. Barkan v. Amsted Industries Inc., Del. Supr., 567 A.2d 1279, 1284 (1989); Nottingham Partners v. Dana, 564 A.2d at 1102; Polk v. Good, 507 A.2d at 536; so sánh Rome v. Archer, 197 A.2d at 54.</w:t>
      </w:r>
    </w:p>
    <w:p>
      <w:pPr>
        <w:spacing w:after="80"/>
      </w:pPr>
      <w:r>
        <w:rPr>
          <w:b w:val="0"/>
          <w:i w:val="0"/>
        </w:rPr>
        <w:t>Sau khi phân tích và kết luận rằng quy tắc phán đoán kinh doanh sẽ được áp dụng cho bất kỳ sự xem xét tư pháp nào đối với các hành động của Ủy ban Đặc biệt, Tòa án Chancery đã xem xét yêu cầu của các cổ đông nguyên đơn rằng việc Hội đồng quản trị (Board) và Ủy ban Đặc biệt phê chuẩn khoản đóng góp từ thiện cho đề xuất Bảo tàng cấu thành sự lãng phí tài sản của công ty Occidental. Khi làm như vậy, Tòa nhận thấy rằng các khoản đóng góp từ thiện của các công ty Delaware được cho phép rõ ràng bởi 8 Del. C. § 122(9). Tòa cũng nhận thấy rằng mặc dù § 122(9) không đặt ra giới hạn nào về quy mô của một món quà từ thiện của công ty, nhưng điều khoản đó đã được giải thích "để cho phép bất kỳ món quà công ty hợp lý nào mang tính từ thiện hoặc giáo dục." Theodora Holding Corp. v. Henderson, Del. Ch., 257 A.2d 398, 405 (1969). Do đó, Tòa án Chancery kết luận rằng tiêu chuẩn được áp dụng khi xem xét nội dung của một yêu cầu cáo buộc sự lãng phí tài sản công ty "là tiêu chuẩn về tính hợp lý, một tiêu chuẩn mà trong đó các quy định của Bộ luật Thuế vụ Liên bang (Internal Revenue Code) liên quan đến các món quà từ thiện của công ty cung cấp một hướng dẫn hữu ích." Id. Chúng tôi đồng ý với kết luận đó.</w:t>
      </w:r>
    </w:p>
    <w:p>
      <w:pPr>
        <w:spacing w:after="80"/>
      </w:pPr>
      <w:r>
        <w:rPr>
          <w:b w:val="0"/>
          <w:i w:val="0"/>
        </w:rPr>
        <w:t>Những người phản đối lập luận rằng khoản đóng góp từ thiện của Occidental cho đề xuất Bảo tàng là không hợp lý và là sự lãng phí tài sản công ty vì nó quá mức. Tòa án Chancery nhận thấy rằng không phải mọi món quà từ thiện đều cấu thành một hành động công ty hợp lệ. Tuy nhiên, Tòa án Chancery kết luận, xét đến giá trị ròng của Occidental, thu nhập ròng hàng năm trước thuế của công ty, và các lợi ích thuế cho Occidental, rằng món quà cho Bảo tàng nằm trong phạm vi hợp lý được thiết lập trong Theodora Holding Corp. v. Henderson, Del. Ch., 257 A.2d 398, 405 (1969). Do đó, Tòa án Chancery nhận thấy rằng "có khả năng hợp lý" rằng các nguyên đơn sẽ thất bại trong yêu cầu về sự lãng phí của mình. Phát hiện đó được hồ sơ ủng hộ và là sản phẩm của một quá trình suy luận có trật tự và logic. Barkan v. Amsted Industries Inc., 567 A.2d at 1284; Nottingham Partners v. Dana, 564 A.2d at 1102; Polk v. Good, 507 A.2d at 536; so sánh Rome v. Archer, 197 A.2d at 54.</w:t>
      </w:r>
    </w:p>
    <w:p>
      <w:pPr>
        <w:spacing w:after="80"/>
      </w:pPr>
      <w:r>
        <w:rPr>
          <w:b w:val="0"/>
          <w:i w:val="0"/>
        </w:rPr>
        <w:t>* * *</w:t>
      </w:r>
    </w:p>
    <w:p>
      <w:pPr>
        <w:spacing w:after="80"/>
      </w:pPr>
      <w:r>
        <w:rPr>
          <w:b w:val="0"/>
          <w:i w:val="0"/>
        </w:rPr>
        <w:t>. . . [S]au khi xem xét các hoàn cảnh pháp lý và thực tế của vụ án đang được xét xử (case sub judice), Tòa án Chancery đã xem xét giá trị của Thỏa thuận dàn xếp. Những người ủng hộ Thỏa thuận dàn xếp lập luận rằng giá trị tiền tệ của việc tòa nhà Bảo tàng được gọi là "Occidental Petroleum Cultural Center Building" là khoảng mười triệu đô la. Tòa án Chancery lưu ý rằng, để ủng hộ các lập luận định giá của mình, những người ủng hộ cũng lập luận rằng Thỏa thuận dàn xếp: (1) củng cố và đảm bảo sự gắn bó và tham gia có ý nghĩa của Occidental vào các hoạt động của Bảo tàng; (2) củng cố và bảo vệ tính chất từ thiện và các hệ quả của các món quà của Occidental bằng cách đảm bảo việc chuyển giao kịp thời và không thể hủy ngang Bộ sưu tập Nghệ thuật (Art Collection) cho Bảo tàng; (3) áp đặt các biện pháp kiểm soát có ý nghĩa đối với tổng chi phí xây dựng mà Occidental sẽ chi trả, điều đã buộc phải giảm ngân sách xây dựng đi 19,4 triệu đô la; (4) đặt ra các hạn chế có ý nghĩa đối với các khoản đóng góp từ thiện trong tương lai của Occidental cho các thực thể liên kết với "Hammer" và tránh việc gia tăng các khoản thanh toán sau khi qua đời cho Quỹ (Foundation) hoặc bất kỳ người nhận được chỉ định nào khác sau khi Tiến sĩ Hammer qua đời; (5) khôi phục cho Occidental một phần công bằng của bất kỳ sự tăng giá nào của các bất động sản trong trường hợp Bảo tàng thực hiện quyền chọn của mình và định đoạt các bất động sản hoặc chuyển nhượng quyền chọn của mình để lấy giá trị; và (6) đảm bảo rằng Bộ sưu tập Nghệ thuật sẽ tiếp tục được đặt tại khu vực Los Angeles và vẫn sẵn có để công chúng Mỹ thưởng thức thay vì bị phân tán vào các bộ sưu tập tư nhân hoặc bán ra nước ngoài.</w:t>
      </w:r>
    </w:p>
    <w:p>
      <w:pPr>
        <w:spacing w:after="80"/>
      </w:pPr>
      <w:r>
        <w:rPr>
          <w:b w:val="0"/>
          <w:i w:val="0"/>
        </w:rPr>
        <w:t>Tòa án Chancery mô tả những nỗ lực của phía ủng hộ nhằm định lượng giá trị tiền tệ của phần lớn các lợi ích từ Thỏa thuận dàn xếp là “mang tính suy đoán.” Tòa án Chancery cũng nhìn nhận ước tính rằng việc đặt tên tòa nhà theo Occidental sẽ có giá trị mười triệu đô-la đối với Occidental với “khá nhiều hoài nghi.” Tuy vậy, Tòa án Chancery nhận thấy rằng Occidental thực tế sẽ nhận được một lợi ích kinh tế dưới hình thức thiện chí từ đề xuất quyên góp từ thiện cho Bảo tàng. Tòa cũng nhận thấy rằng Occidental sẽ thu được lợi ích kinh tế từ việc có thể sử dụng Bảo tàng, nằm liền kề trụ sở chính của công ty, để quảng bá hoạt động kinh doanh của mình.</w:t>
      </w:r>
    </w:p>
    <w:p>
      <w:pPr>
        <w:spacing w:after="80"/>
      </w:pPr>
      <w:r>
        <w:rPr>
          <w:b w:val="0"/>
          <w:i w:val="0"/>
        </w:rPr>
        <w:t>Cuối cùng, Tòa án Chancery áp dụng phán đoán kinh doanh độc lập của riêng mình để quyết định liệu Thỏa thuận dàn xếp có công bằng và hợp lý hay không. Khi làm vậy, Tòa án Chancery được yêu cầu thực hiện vai trò đặc biệt của mình như cái gọi là bên thứ ba đối với Thỏa thuận dàn xếp. Barkan v. Amsted Industries Inc., 567 A.2d at 1283–84; Nottingham Partners v. Dana, 564 A.2d at 1102 (trích dẫn Rome v. Archer, 197 A.2d at 53–54). Điều này đòi hỏi tòa phải cân bằng giữa ưu tiên chính sách dành cho việc dàn xếp với nhu cầu bảo đảm rằng lợi ích của các cổ đông, với tư cách một nhóm, đã được đại diện một cách công bằng. Barkan v. Amsted Industries, Inc., 567 A.2d at 1283 (viện dẫn Rome v. Archer, 197 A.2d at 53).</w:t>
      </w:r>
    </w:p>
    <w:p>
      <w:pPr>
        <w:spacing w:after="80"/>
      </w:pPr>
      <w:r>
        <w:rPr>
          <w:b w:val="0"/>
          <w:i w:val="0"/>
        </w:rPr>
        <w:t>Khi thực hiện vai trò đặc biệt của mình trong vụ án đang được xét xử, Tòa án Chancery đã đánh giá đúng đắn giá trị của Thỏa thuận dàn xếp trong bối cảnh sức mạnh của các khiếu nại đang được thỏa hiệp. . . . Tòa án Chancery nhận thấy rằng “lợi ích [của Thỏa thuận dàn xếp] đối với các cổ đông của Occidental là đủ để hỗ trợ cho Thỏa thuận dàn xếp và là thỏa đáng, dù chỉ vừa đủ, khi so với sự yếu ớt của các khiếu nại từ phía nguyên đơn.” Tòa án Chancery kết luận rằng “mặc dù Thỏa thuận dàn xếp còn ít ỏi, nó vẫn thỏa đáng khi xét đến mọi sự kiện và hoàn cảnh.”</w:t>
      </w:r>
    </w:p>
    <w:p>
      <w:pPr>
        <w:spacing w:after="80"/>
      </w:pPr>
      <w:r>
        <w:rPr>
          <w:b w:val="0"/>
          <w:i w:val="0"/>
        </w:rPr>
        <w:t>* * *</w:t>
      </w:r>
    </w:p>
    <w:p>
      <w:pPr>
        <w:spacing w:after="80"/>
      </w:pPr>
      <w:r>
        <w:rPr>
          <w:b w:val="0"/>
          <w:i w:val="0"/>
        </w:rPr>
        <w:t>Kết luận</w:t>
      </w:r>
    </w:p>
    <w:p>
      <w:pPr>
        <w:spacing w:after="80"/>
      </w:pPr>
      <w:r>
        <w:rPr>
          <w:b w:val="0"/>
          <w:i w:val="0"/>
        </w:rPr>
        <w:t>Tính hợp lý của một thỏa thuận dàn xếp vụ kiện tập thể cụ thể thuộc quyền tùy nghi của Tòa án Chancery, được xem xét theo từng trường hợp, dựa trên mọi hoàn cảnh liên quan. Evans v. Jeff D., 475 U.S. 717, 742, 106 S. Ct. 1531, 89 L. Ed. 2d 747, reh'g denied, 476 U.S. 1179, 106 S.Ct. 2909, 90 L.Ed.2d 995 (1986). Trong trường hợp này, chúng tôi nhận thấy rằng mọi phát hiện về sự kiện của Tòa án Chancery đều được hồ sơ chứng minh. Chúng tôi cũng nhận thấy rằng mọi kết luận pháp lý mà Tòa án Chancery đưa ra đều dựa trên việc áp dụng đúng đắn các nguyên tắc pháp luật đã được thiết lập vững chắc. Do đó, chúng tôi nhận thấy rằng Tòa án Chancery đã không lạm dụng quyền tùy nghi của mình khi quyết định phê chuẩn Thỏa thuận dàn xếp trong vụ Sullivan. Barkan v. Amsted Industries, Inc., 567 A.2d at 1285; Nottingham Partners v. Dana, 564 A.2d at 1104; Polk v. Good, 507 A.2d at 536–39; Rome v. Archer, 197 A.2d at 58. Vì vậy, quyết định của Tòa án Chancery được</w:t>
      </w:r>
    </w:p>
    <w:p>
      <w:pPr>
        <w:spacing w:after="80"/>
      </w:pPr>
      <w:r>
        <w:rPr>
          <w:b w:val="0"/>
          <w:i w:val="0"/>
        </w:rPr>
        <w:t>GIỮ NGUYÊN.</w:t>
      </w:r>
    </w:p>
    <w:p>
      <w:pPr>
        <w:pStyle w:val="Heading5"/>
      </w:pPr>
      <w:r>
        <w:rPr>
          <w:rFonts w:ascii="Calibri" w:hAnsi="Calibri"/>
          <w:b/>
          <w:i/>
          <w:sz w:val="22"/>
        </w:rPr>
        <w:t>Bình luận và Câu hỏi</w:t>
      </w:r>
    </w:p>
    <w:p>
      <w:pPr>
        <w:spacing w:after="80"/>
      </w:pPr>
      <w:r>
        <w:rPr>
          <w:b w:val="0"/>
          <w:i w:val="0"/>
        </w:rPr>
        <w:t>1. Bảo tàng Nghệ thuật và Trung tâm Văn hóa Armand Hammer mở cửa vào tháng 11 năm 1990. Trang web của Bảo tàng cho biết bảo tàng được Armand Hammer “thành lập” và được Occidental “tài trợ.” Theo các điều khoản của thỏa thuận dàn xếp, Occidental thu được bao nhiêu lợi ích từ khoản đóng góp của mình?</w:t>
      </w:r>
    </w:p>
    <w:p>
      <w:pPr>
        <w:spacing w:after="80"/>
      </w:pPr>
      <w:r>
        <w:rPr>
          <w:b w:val="0"/>
          <w:i w:val="0"/>
        </w:rPr>
        <w:t>2. Tiến sĩ Hammer ban đầu dự định quyên tặng bộ sưu tập của mình cho Bảo tàng Nghệ thuật Quận Los Angeles. Bảo tàng đã đặt tên một khu theo vợ chồng Hammer và Occidental đóng góp 2 triệu đô-la để mở rộng và tân trang không gian này. Các cuộc đàm phán giữa Tiến sĩ Hammer và Bảo tàng đã chấm dứt vào tháng 1 năm 1988. Cũng trong tháng đó, Tiến sĩ Hammer đề xuất với Ủy ban Điều hành của Hội đồng Quản trị rằng Occidental xem xét tham gia vào việc xây dựng một bảo tàng cho bộ sưu tập nghệ thuật của ông.</w:t>
      </w:r>
    </w:p>
    <w:p>
      <w:pPr>
        <w:spacing w:after="80"/>
      </w:pPr>
      <w:r>
        <w:rPr>
          <w:b w:val="0"/>
          <w:i w:val="0"/>
        </w:rPr>
        <w:t>3. Vụ án này gợi ý điều gì về hoạt động từ thiện của doanh nghiệp? Những “lợi ích” đối với công ty là gì? Hãy lập luận rằng quyết định của hội đồng quản trị liên quan đến bảo tàng vừa là vì lợi ích tốt nhất của cổ đông, vừa là không vì lợi ích tốt nhất của cổ đông.</w:t>
      </w:r>
    </w:p>
    <w:p>
      <w:pPr>
        <w:spacing w:after="80"/>
      </w:pPr>
      <w:r>
        <w:rPr>
          <w:b w:val="0"/>
          <w:i w:val="0"/>
        </w:rPr>
        <w:t>4. Những khoản đóng góp này nên được phân tích theo nghĩa vụ cẩn trọng hay nghĩa vụ trung thành một cách phù hợp hơn? Như các nhà bình luận đã mô tả:</w:t>
      </w:r>
    </w:p>
    <w:p>
      <w:pPr>
        <w:spacing w:after="80"/>
      </w:pPr>
      <w:r>
        <w:rPr>
          <w:b w:val="0"/>
          <w:i w:val="0"/>
        </w:rPr>
        <w:t>Có nhiều cách để các cán bộ điều hành có thể thực hiện hành vi “tự giao dịch” hoặc tự đề cao bản thân liên quan đến các khoản đóng góp từ thiện của doanh nghiệp. Những cách này bao gồm: (i) các khoản đóng góp được thực hiện để thúc đẩy sở thích chính trị hoặc ý thức hệ của chính các cán bộ điều hành; (ii) các khoản đóng góp được thực hiện để đạt được địa vị xã hội cao hơn; (iii) các khoản đóng góp được thực hiện cho những tổ chức từ thiện cưng của các cán bộ điều hành đồng nghiệp với hy vọng được đáp lại; (iv) các khoản đóng góp được thực hiện như một khoản “thanh toán” cho việc trở thành thành viên hội đồng quản trị của các tổ chức phi lợi nhuận; và (v) các khoản đóng góp cho những tổ chức từ thiện mà chính các cán bộ điều hành, hoặc người thân hay bạn bè của họ, là người bên trong.</w:t>
      </w:r>
    </w:p>
    <w:p>
      <w:pPr>
        <w:spacing w:after="80"/>
      </w:pPr>
      <w:r>
        <w:rPr>
          <w:b w:val="0"/>
          <w:i w:val="0"/>
        </w:rPr>
        <w:t xml:space="preserve">R. Franklin Balotti &amp; James J. Hanks, Jr., </w:t>
      </w:r>
      <w:r>
        <w:rPr>
          <w:b w:val="0"/>
          <w:i/>
        </w:rPr>
        <w:t>Giving at the Office: A Reappraisal of Charitable Contributions by Corporations</w:t>
      </w:r>
      <w:r>
        <w:rPr>
          <w:b w:val="0"/>
          <w:i w:val="0"/>
        </w:rPr>
        <w:t xml:space="preserve"> , 54 Bus. Law. 965 (tháng 5 năm 1999). Có yếu tố nào trong số này xuất hiện không? Sẽ có khác biệt gì nếu vụ án này được phân tích theo nghĩa vụ trung thành?</w:t>
      </w:r>
    </w:p>
    <w:p>
      <w:pPr>
        <w:spacing w:after="80"/>
      </w:pPr>
      <w:r>
        <w:rPr>
          <w:b w:val="0"/>
          <w:i w:val="0"/>
        </w:rPr>
        <w:t>5. Vụ án này được quyết định bao nhiêu phần bởi quy trình và bao nhiêu phần bởi nội dung thực chất của giao dịch? Kết quả có khác đi không nếu có ít lợi ích cho công ty hơn hoặc nếu số tiền Occidental chi trả lớn hơn đáng kể?</w:t>
      </w:r>
    </w:p>
    <w:p>
      <w:pPr>
        <w:spacing w:after="80"/>
      </w:pPr>
      <w:r>
        <w:rPr>
          <w:b w:val="0"/>
          <w:i w:val="0"/>
        </w:rPr>
        <w:t xml:space="preserve">6. Các giám đốc trong Ủy ban Đặc biệt có độc lập không? Tòa án Chancery nhận thấy rằng không giám đốc nào bị Tiến sĩ Hammer chi phối. Liệu việc biết rằng theo một nhà bình luận, Tiến sĩ Hammer nắm giữ các lá thư từ chức không ghi ngày tháng của từng giám đốc, có ảnh hưởng đến ý kiến của bạn không? </w:t>
      </w:r>
      <w:r>
        <w:rPr>
          <w:b w:val="0"/>
          <w:i/>
        </w:rPr>
        <w:t>Xem</w:t>
      </w:r>
      <w:r>
        <w:rPr>
          <w:b w:val="0"/>
          <w:i w:val="0"/>
        </w:rPr>
        <w:t xml:space="preserve"> Nell Minow, </w:t>
      </w:r>
      <w:r>
        <w:rPr>
          <w:b w:val="0"/>
          <w:i/>
        </w:rPr>
        <w:t>Corporate Charity: An Oxymoron?</w:t>
      </w:r>
      <w:r>
        <w:rPr>
          <w:b w:val="0"/>
          <w:i w:val="0"/>
        </w:rPr>
        <w:t xml:space="preserve"> 54 Bus. Law. 997, 1001 (1999).</w:t>
      </w:r>
    </w:p>
    <w:p>
      <w:pPr>
        <w:spacing w:after="80"/>
      </w:pPr>
      <w:r>
        <w:rPr>
          <w:b w:val="0"/>
          <w:i w:val="0"/>
        </w:rPr>
        <w:t xml:space="preserve">7. Một số người đã kêu gọi SEC công bố thông tin về các khoản đóng góp từ thiện. </w:t>
      </w:r>
      <w:r>
        <w:rPr>
          <w:b w:val="0"/>
          <w:i/>
        </w:rPr>
        <w:t>Xem</w:t>
      </w:r>
      <w:r>
        <w:rPr>
          <w:b w:val="0"/>
          <w:i w:val="0"/>
        </w:rPr>
        <w:t xml:space="preserve"> Faith Stevelman Kahn, </w:t>
      </w:r>
      <w:r>
        <w:rPr>
          <w:b w:val="0"/>
          <w:i/>
        </w:rPr>
        <w:t>Pandora's Box: Managerial Discretion and the Problem of Corporate Philanthropy</w:t>
      </w:r>
      <w:r>
        <w:rPr>
          <w:b w:val="0"/>
          <w:i w:val="0"/>
        </w:rPr>
        <w:t xml:space="preserve"> , 44 UCLA L. Rev. 579 (tháng 2 năm 1997). Điều này có thể có tác động gì đến các khoản đóng góp?</w:t>
      </w:r>
    </w:p>
    <w:p>
      <w:pPr>
        <w:spacing w:after="80"/>
      </w:pPr>
      <w:r>
        <w:rPr>
          <w:b w:val="0"/>
          <w:i w:val="0"/>
        </w:rPr>
        <w:t>—————</w:t>
      </w:r>
    </w:p>
    <w:p>
      <w:pPr>
        <w:spacing w:after="80"/>
      </w:pPr>
      <w:r>
        <w:rPr>
          <w:b w:val="0"/>
          <w:i w:val="0"/>
        </w:rPr>
        <w:t>Dù sao đi nữa, quyết định liên quan đến các khoản đóng góp từ thiện có thể phức tạp hơn là chỉ dựa trên lợi ích tốt nhất của cổ đông hay giám đốc.</w:t>
      </w:r>
    </w:p>
    <w:p>
      <w:pPr>
        <w:pStyle w:val="Heading4"/>
      </w:pPr>
      <w:r>
        <w:rPr>
          <w:rFonts w:ascii="Calibri" w:hAnsi="Calibri"/>
          <w:b/>
          <w:i w:val="0"/>
          <w:sz w:val="23"/>
        </w:rPr>
        <w:t>M. Todd Henderson &amp; Anup Malani,</w:t>
      </w:r>
      <w:r>
        <w:br/>
      </w:r>
      <w:r>
        <w:rPr>
          <w:rFonts w:ascii="Calibri" w:hAnsi="Calibri"/>
          <w:b/>
          <w:i w:val="0"/>
          <w:sz w:val="23"/>
        </w:rPr>
        <w:t xml:space="preserve"> </w:t>
      </w:r>
      <w:r>
        <w:rPr>
          <w:rFonts w:ascii="Calibri" w:hAnsi="Calibri"/>
          <w:b/>
          <w:i/>
          <w:sz w:val="23"/>
        </w:rPr>
        <w:t>Essay: Corporate Philanthropy and the Market for Altruism</w:t>
      </w:r>
    </w:p>
    <w:p>
      <w:pPr>
        <w:spacing w:after="80"/>
      </w:pPr>
      <w:r>
        <w:rPr>
          <w:b w:val="0"/>
          <w:i w:val="0"/>
        </w:rPr>
        <w:t>109 Colum. L. Rev. 571, 577–81 (2009)</w:t>
      </w:r>
    </w:p>
    <w:p>
      <w:pPr>
        <w:spacing w:after="80"/>
      </w:pPr>
      <w:r>
        <w:rPr>
          <w:b w:val="0"/>
          <w:i w:val="0"/>
        </w:rPr>
        <w:t>Các học giả nổi tiếng như Michael Porter lập luận rằng hoạt động từ thiện giúp cải thiện lợi nhuận của doanh nghiệp và có thể là nguồn tạo lợi thế cạnh tranh. Nhiều nghiên cứu tuyên bố ủng hộ mối liên hệ giữa việc cho đi và lợi nhuận. Các cơ chế mà mối liên hệ này vận hành bao gồm tạo thiện cảm tốt đẹp trong lòng khách hàng, nhà cung cấp hoặc nhân viên; thu hút nhân viên chất lượng cao; hoặc giảm thiểu rủi ro từ hành động của chính phủ hay các nhóm hoạt động xã hội. Việc nguồn gốc của thiện cảm và lợi nhuận gia tăng là nhờ lợi ích quảng cáo từ việc làm tốt hay điều gì khác thì không quan trọng. Điều duy nhất quan trọng là doanh nghiệp thực sự đang làm điều gì đó có lợi cho công chúng và việc làm này không chỉ giúp ích cho những người xa lạ với doanh nghiệp mà còn cho cả các cổ đông của nó. Ngay cả Milton Friedman, người nổi tiếng với tuyên bố rằng “trách nhiệm duy nhất… của doanh nghiệp [là] sử dụng nguồn lực của mình và tham gia vào các hoạt động nhằm tăng lợi nhuận,” cũng thừa nhận rằng hoạt động từ thiện của doanh nghiệp có thể được biện minh khi nó cần thiết để tối đa hóa lợi nhuận dài hạn.</w:t>
      </w:r>
    </w:p>
    <w:p>
      <w:pPr>
        <w:spacing w:after="80"/>
      </w:pPr>
      <w:r>
        <w:rPr>
          <w:b w:val="0"/>
          <w:i w:val="0"/>
        </w:rPr>
        <w:t>Các học giả khác lập luận rằng hoạt động từ thiện đơn thuần chỉ là hành vi trục lợi của ban quản lý, không khác gì việc một CEO dùng máy bay phản lực sang trọng của công ty cho mục đích cá nhân. Các nhà quản lý đang tiêu tiền của người khác, và vì việc giám sát của cổ đông không hoàn hảo, họ sẽ làm điều đó theo cách tối đa hóa lợi ích của bản thân thay vì lợi ích của cổ đông. Nhiều nghiên cứu tuyên bố ủng hộ quan điểm này. Lập luận về chi phí đại diện được củng cố bởi thực tế rằng pháp luật không buộc các doanh nghiệp phải công bố cho cổ đông biết về các món quà từ thiện của công ty và nhiều doanh nghiệp cũng không làm vậy. Những người ủng hộ quan điểm này đặt câu hỏi về mối liên hệ nhân quả giữa việc quyên góp và lợi nhuận mà phe đối lập dựa vào. Họ lập luận rằng lợi nhuận, hoặc kỳ vọng về lợi nhuận, có thể cho phép các doanh nghiệp rộng rãi hơn—từ đó giải thích mối tương quan được quan sát giữa thành công của doanh nghiệp và hoạt động từ thiện.</w:t>
      </w:r>
    </w:p>
    <w:p>
      <w:pPr>
        <w:spacing w:after="80"/>
      </w:pPr>
      <w:r>
        <w:rPr>
          <w:b w:val="0"/>
          <w:i w:val="0"/>
        </w:rPr>
        <w:t>Nghiên cứu thực nghiệm chưa đưa ra kết luận dứt khoát, nhưng gợi ý rằng hoạt động từ thiện của doanh nghiệp phản ánh sự pha trộn của nhiều động cơ. Ngay cả những nghiên cứu tìm thấy bằng chứng phù hợp với động cơ tối đa hóa lợi nhuận cũng phát hiện rằng các công ty có chi phí đại diện thấp hơn—giám sát nhiều hơn từ chủ nợ, hội đồng quản trị độc lập hơn, ít tiền mặt tự do hơn cho nhà quản lý—đã quyên góp ít hơn cho từ thiện so với các công ty khác. Chúng tôi cho rằng những nghiên cứu này phản ánh khá chính xác thực tế: Cả hai lý thuyết tích cực đều đúng ở mức độ nhất định và sẽ hiện diện ở các mức độ khác nhau trong hầu hết các trường hợp. Cũng giống như quyết định của CEO về việc sử dụng máy bay phản lực của công ty có thể được thúc đẩy bởi cả mối quan tâm cá nhân lẫn cổ đông, sẽ thật đáng ngạc nhiên nếu các quyết định làm điều tốt cho người khác lại không chủ yếu dựa trên những động cơ hỗn hợp.</w:t>
      </w:r>
    </w:p>
    <w:p>
      <w:pPr>
        <w:spacing w:after="80"/>
      </w:pPr>
      <w:r>
        <w:rPr>
          <w:b w:val="0"/>
          <w:i w:val="0"/>
        </w:rPr>
        <w:t>Trước những động cơ hỗn hợp không thể tránh khỏi và việc tòa án không thể phân biệt sau khi sự việc xảy ra giữa các quyết định từ thiện “tốt” và “xấu” của doanh nghiệp, pháp luật giữ quan điểm rất trung lập. Điều này không phải lúc nào cũng đúng. Trước khoảng năm 1960, các khoản quyên góp từ thiện thường bị coi là vượt quá quyền hạn của doanh nghiệp. Nhưng làm sao tòa án có thể xác định liệu một khoản quyên góp cho Đại học Princeton, một cam kết trả lương cao hơn cho công nhân ngành ô tô, hay quyết định không lắp đèn tại Wrigley Field là quyết định tối đa hóa lợi nhuận hay là hành động từ thiện? Suy cho cùng, quyết định của doanh nghiệp hạn chế ô nhiễm ở mức cao hơn mức pháp luật yêu cầu cũng là hành động từ thiện giống như tặng quà cho nhà hát opera, và nếu tòa án làm công việc phân biệt những điều này, thì các luật quản lý sẽ không chỉ trở thành mức tối thiểu mà còn là mức tối đa. Theo cách này, thái độ dễ dãi của pháp luật đối với việc doanh nghiệp làm điều tốt (dưới mọi hình thức) là kết quả tất yếu của quy tắc phán đoán kinh doanh: Tòa án tránh đánh giá lại các quyết định kinh doanh nhằm giảm thiểu tổng chi phí ra quyết định và chi phí sai sót, và quyết định hành động từ thiện, dù là bằng cách quyên góp tiền hay không làm điều xấu, đều là một quyết định kinh doanh điển hình.</w:t>
      </w:r>
    </w:p>
    <w:p>
      <w:pPr>
        <w:pStyle w:val="Heading5"/>
      </w:pPr>
      <w:r>
        <w:rPr>
          <w:rFonts w:ascii="Calibri" w:hAnsi="Calibri"/>
          <w:b/>
          <w:i/>
          <w:sz w:val="22"/>
        </w:rPr>
        <w:t>Bình luận và Câu hỏi</w:t>
      </w:r>
    </w:p>
    <w:p>
      <w:pPr>
        <w:spacing w:after="80"/>
      </w:pPr>
      <w:r>
        <w:rPr>
          <w:b w:val="0"/>
          <w:i w:val="0"/>
        </w:rPr>
        <w:t>1. Đoạn trích này gợi ý rằng pháp luật vẫn phần lớn “trung lập” khi nói đến các khoản đóng góp từ thiện. Đây có phải là kết quả đúng đắn? Những hệ quả của cách tiếp cận này là gì?</w:t>
      </w:r>
    </w:p>
    <w:p>
      <w:pPr>
        <w:spacing w:after="80"/>
      </w:pPr>
      <w:r>
        <w:rPr>
          <w:b w:val="0"/>
          <w:i w:val="0"/>
        </w:rPr>
        <w:t>2. Bạn nghĩ gì về nhận định rằng các khoản đóng góp từ thiện giảm khi chi phí đại diện thấp hơn? Điều này gợi ý gì về lợi ích tối đa hóa lợi nhuận của những khoản đóng góp này từ góc độ của cổ đông và chủ nợ? Nếu họ ít mặn mà với các khoản chi này, tại sao chúng vẫn xảy ra?</w:t>
      </w:r>
    </w:p>
    <w:p>
      <w:pPr>
        <w:pStyle w:val="Heading2"/>
      </w:pPr>
      <w:r>
        <w:rPr>
          <w:rFonts w:ascii="Calibri" w:hAnsi="Calibri"/>
          <w:b/>
          <w:i w:val="0"/>
          <w:sz w:val="32"/>
        </w:rPr>
        <w:t>III. Các bên liên quan</w:t>
      </w:r>
    </w:p>
    <w:p>
      <w:pPr>
        <w:spacing w:after="80"/>
      </w:pPr>
      <w:r>
        <w:rPr>
          <w:b w:val="0"/>
          <w:i w:val="0"/>
        </w:rPr>
        <w:t>Hoạt động từ thiện của doanh nghiệp được phép nhưng không bắt buộc. Một số người cho rằng như vậy là chưa đủ. Họ đã tìm cách buộc các giám đốc phải xem xét lợi ích của tất cả các bên liên quan, không chỉ cổ đông. Mặc dù không có danh sách xác định các nhóm liên quan, họ thường bao gồm nhân viên, chủ nợ và cộng đồng. Quản trị doanh nghiệp có thể được thay đổi như thế nào để trao cho các nhóm này tiếng nói trong hoạt động của công ty?</w:t>
      </w:r>
    </w:p>
    <w:p>
      <w:pPr>
        <w:pStyle w:val="Heading4"/>
      </w:pPr>
      <w:r>
        <w:rPr>
          <w:rFonts w:ascii="Calibri" w:hAnsi="Calibri"/>
          <w:b/>
          <w:i w:val="0"/>
          <w:sz w:val="23"/>
        </w:rPr>
        <w:t xml:space="preserve">Larry E. Ribstein, </w:t>
      </w:r>
      <w:r>
        <w:rPr>
          <w:rFonts w:ascii="Calibri" w:hAnsi="Calibri"/>
          <w:b/>
          <w:i/>
          <w:sz w:val="23"/>
        </w:rPr>
        <w:t>Accountability and Responsibility in</w:t>
      </w:r>
      <w:r>
        <w:br/>
      </w:r>
      <w:r>
        <w:rPr>
          <w:rFonts w:ascii="Calibri" w:hAnsi="Calibri"/>
          <w:b/>
          <w:i/>
          <w:sz w:val="23"/>
        </w:rPr>
        <w:t xml:space="preserve"> Corporate Governance</w:t>
      </w:r>
    </w:p>
    <w:p>
      <w:pPr>
        <w:spacing w:after="80"/>
      </w:pPr>
      <w:r>
        <w:rPr>
          <w:b w:val="0"/>
          <w:i w:val="0"/>
        </w:rPr>
        <w:t>81 Notre Dame L. Rev. 1431, 1439–42 (2006)</w:t>
      </w:r>
    </w:p>
    <w:p>
      <w:pPr>
        <w:spacing w:after="80"/>
      </w:pPr>
      <w:r>
        <w:rPr>
          <w:b w:val="0"/>
          <w:i w:val="0"/>
        </w:rPr>
        <w:t>Việc quản trị doanh nghiệp có nên được tái cấu trúc để cho phép hoặc buộc các nhà quản lý phải đáp ứng lợi ích của các bên liên quan (stakeholders) trong công ty ngoài cổ đông hay không đòi hỏi phải phân tích cấu trúc doanh nghiệp hiện hành. Các giám đốc điều hành đưa ra các quyết định quản lý hằng ngày trong một công ty đại chúng. Hội đồng quản trị giám sát những quyết định này thông qua quyền phê duyệt các giao dịch lớn hoặc khởi xướng chúng để cổ đông phê duyệt, cũng như quyền thuê, sa thải và trả thù lao cho các nhà quản lý. Các chủ sở hữu thực thi quyền kiểm soát thông qua quyền bầu chọn hội đồng quản trị và phê duyệt các vấn đề đặc biệt như sáp nhập và sửa đổi điều lệ mà hội đồng quản trị đã khởi xướng. Các bên liên quan không phải cổ đông thực thi quyền lực theo các thỏa thuận cụ thể, chẳng hạn như hợp đồng tín dụng, hợp đồng lao động và hợp đồng cung ứng, cũng như thông qua khả năng quyết định có giao dịch với công ty hay không.</w:t>
      </w:r>
    </w:p>
    <w:p>
      <w:pPr>
        <w:spacing w:after="80"/>
      </w:pPr>
      <w:r>
        <w:rPr>
          <w:b w:val="0"/>
          <w:i w:val="0"/>
        </w:rPr>
        <w:t>Cấu trúc chung này gợi ý ba công cụ pháp lý tiềm năng để tăng cường trách nhiệm xã hội của các nhà quản lý. Thứ nhất, các bên liên quan không phải cổ đông có thể được trao quyền kiểm soát các nhà quản lý. Ví dụ, người lao động có thể bỏ phiếu ngang bằng với cổ đông và tham gia hội đồng quản trị. Giải pháp thay thế chính cho việc trao quyền kiểm soát độc quyền cho chủ sở hữu là hệ thống đồng quyết định (codetermination) của châu Âu, vốn trao cho người lao động một số đại diện trong hội đồng quản trị.</w:t>
      </w:r>
    </w:p>
    <w:p>
      <w:pPr>
        <w:spacing w:after="80"/>
      </w:pPr>
      <w:r>
        <w:rPr>
          <w:b w:val="0"/>
          <w:i w:val="0"/>
        </w:rPr>
        <w:t>Mặc dù những đề xuất như vậy có vẻ là con đường rõ ràng nhất dẫn đến trách nhiệm xã hội của doanh nghiệp, việc tái cấu trúc triệt để theo hướng có lợi cho các bên liên quan không phải cổ đông có thể kéo theo chi phí cao và lợi ích mơ hồ. Bởi vì những người nắm giữ cổ phần chỉ có quyền đòi phần còn lại sau khi các bên liên quan khác đã được thanh toán, cổ đông được hưởng lợi nhiều hơn các bên liên quan khác từ quyền biểu quyết và nghĩa vụ ủy thác (fiduciary duties). Do đó, việc tái cấu trúc quản trị doanh nghiệp theo hướng có lợi cho các bên liên quan không phải cổ đông có thể làm gia tăng đáng kể khả năng của các bên liên quan này trong việc trích xuất tài sản từ cổ đông. Cổ đông có thể sẽ trả ít hơn cho cổ phần của mình để phản ánh rủi ro bị chiếm đoạt này. Nói cách khác, việc chuyển giao quyền lực cho các bên liên quan giải quyết vấn đề cơ hội của cổ đông đối với các bên liên quan bằng cách tạo ra một vấn đề có khả năng nghiêm trọng hơn, đó là cơ hội của các bên liên quan đối với cổ đông.</w:t>
      </w:r>
    </w:p>
    <w:p>
      <w:pPr>
        <w:spacing w:after="80"/>
      </w:pPr>
      <w:r>
        <w:rPr>
          <w:b w:val="0"/>
          <w:i w:val="0"/>
        </w:rPr>
        <w:t>Các bên liên quan cũng có thể thu được rất ít từ quyền lực gia tăng của mình. Do mục tiêu của các bên liên quan rất đa dạng, sự bất đồng nội bộ có thể làm tổn hại nghiêm trọng đến hiệu quả của họ trong việc quản trị công ty. Ngược lại, cổ đông chỉ đơn thuần muốn tối đa hóa lợi nhuận đã điều chỉnh theo rủi ro, có thể được bổ sung bởi các mục tiêu xã hội mang tính tổng quát. Vì vậy, việc trao quyền cho các bên liên quan có thể thực chất khiến các nhà quản lý không còn chịu trách nhiệm trước bất kỳ ai.</w:t>
      </w:r>
    </w:p>
    <w:p>
      <w:pPr>
        <w:spacing w:after="80"/>
      </w:pPr>
      <w:r>
        <w:rPr>
          <w:b w:val="0"/>
          <w:i w:val="0"/>
        </w:rPr>
        <w:t>Thứ hai, tòa án hoặc cơ quan lập pháp có thể điều chỉnh các nghĩa vụ ủy thác được tòa án thực thi của các nhà quản lý. Các nhà quản lý có thể có nghĩa vụ khẳng định phục vụ lợi ích của các nhóm khác ngoài cổ đông, hoặc nghĩa vụ cơ bản của họ là phục vụ lợi ích cổ đông có thể được điều chỉnh bằng cách trao cho các nhà quản lý một số quyền tự quyết để hành động vì lợi ích của các bên không phải cổ đông. Tuy nhiên, như sẽ thảo luận dưới đây, tòa án vốn bị hạn chế về mức độ mà họ có thể giám sát các nhà quản lý doanh nghiệp. Điều này giới hạn những gì có thể đạt được bằng cách tinh chỉnh các nghĩa vụ ủy thác.</w:t>
      </w:r>
    </w:p>
    <w:p>
      <w:pPr>
        <w:spacing w:after="80"/>
      </w:pPr>
      <w:r>
        <w:rPr>
          <w:b w:val="0"/>
          <w:i w:val="0"/>
        </w:rPr>
        <w:t>Thứ ba, quyền kiểm soát các nhà quản lý của cổ đông có thể bị giảm bớt. Ví dụ, luật pháp có thể nới lỏng quyền kiểm soát của cổ đông đối với hội đồng quản trị bằng cách trao cho các giám đốc nhiệm kỳ năm năm. Ngoài những đề xuất triệt để như vậy, các giới hạn của quyền kiểm soát cổ đông đã được tích hợp sẵn trong logic vận hành của công ty đại chúng. Ví dụ, khả năng của các nhà quản lý trong việc chống lại các thương vụ thâu tóm vốn dĩ gắn liền với khả năng thực thi quyền kiểm soát của họ theo những cách khác, và tòa án cũng không thể giám sát việc thực thi quyền lực này hơn khả năng giám sát các hoạt động quản lý khác.</w:t>
      </w:r>
    </w:p>
    <w:p>
      <w:pPr>
        <w:spacing w:after="80"/>
      </w:pPr>
      <w:r>
        <w:rPr>
          <w:b w:val="0"/>
          <w:i w:val="0"/>
        </w:rPr>
        <w:t>Cuối cùng, bất kỳ động thái pháp lý nào nhằm cải cách quản trị doanh nghiệp ở Hoa Kỳ đều phải đối mặt với những ràng buộc do hệ thống liên bang áp đặt. “Quy tắc công việc nội bộ” (internal affairs rule) cho phép các công ty lựa chọn luật của một bang cụ thể áp dụng cho việc quản trị nội bộ của mình, bất kể doanh nghiệp tiến hành hoạt động ở đâu. Theo đó, nếu một bang hạn chế mức độ mà một công ty có thể quy định trách nhiệm giải trình của ban quản lý đối với cổ đông, công ty được tự do đăng ký thành lập ở bất kỳ bang nào khác. Điều này trên thực tế có nghĩa là các hạn chế đối với trách nhiệm giải trình của ban quản lý đối với cổ đông phải được quy định thông qua một trong các cách sau: một động thái triệt để chuyển sang luật quản trị nội bộ liên bang, một sự bác bỏ triệt để ở cấp bang đối với quy tắc công việc nội bộ, các luật chứng khoán liên bang áp dụng cho các công ty bất kể họ đăng ký thành lập ở đâu, hoặc thông qua luật phi tổ chức như luật thuế hay quy định về thực tiễn kinh doanh không thuộc phạm vi điều chỉnh của quy tắc công việc nội bộ. Thật vậy, đây là lý do tại sao thuế doanh nghiệp nổi lên như một yếu tố chính trong quản trị doanh nghiệp.</w:t>
      </w:r>
    </w:p>
    <w:p>
      <w:pPr>
        <w:pStyle w:val="Heading5"/>
      </w:pPr>
      <w:r>
        <w:rPr>
          <w:rFonts w:ascii="Calibri" w:hAnsi="Calibri"/>
          <w:b/>
          <w:i/>
          <w:sz w:val="22"/>
        </w:rPr>
        <w:t>Bình luận và Câu hỏi</w:t>
      </w:r>
    </w:p>
    <w:p>
      <w:pPr>
        <w:spacing w:after="80"/>
      </w:pPr>
      <w:r>
        <w:rPr>
          <w:b w:val="0"/>
          <w:i w:val="0"/>
        </w:rPr>
        <w:t>1. Các bên liên quan được bảo vệ bởi nhiều cơ chế khác nhau, bao gồm các yêu cầu pháp lý và điều khoản hợp đồng. Vấn đề trong bối cảnh quản trị doanh nghiệp là liệu lợi ích của họ có nên được tăng cường hơn nữa thông qua việc các giám đốc xem xét nhiều hơn khi thực hiện các nghĩa vụ ủy thác của mình hay không. Một cách để làm điều đó, như Giáo sư Ribstein lưu ý, là mở rộng nghĩa vụ ủy thác của hội đồng quản trị để bao gồm các bên liên quan. Điều này có thể tác động như thế nào đến việc ra quyết định của hội đồng quản trị?</w:t>
      </w:r>
    </w:p>
    <w:p>
      <w:pPr>
        <w:spacing w:after="80"/>
      </w:pPr>
      <w:r>
        <w:rPr>
          <w:b w:val="0"/>
          <w:i w:val="0"/>
        </w:rPr>
        <w:t>2. Có phải tất cả các bên liên quan đều được tạo ra như nhau? Ví dụ, một hội đồng quản trị quyết định đóng cửa một nhà máy cũ có thể cải thiện môi trường (bằng cách giảm ô nhiễm) nhưng lại gây hại cho người lao động (do sa thải). Liệu nghĩa vụ của hội đồng quản trị có nên quy định rõ bên liên quan nào cần được xem xét nhiều hơn không? Nhân đây, quyết định này sẽ được giải quyết như thế nào theo các tiêu chuẩn ủy thác hiện hành của hội đồng quản trị?</w:t>
      </w:r>
    </w:p>
    <w:p>
      <w:pPr>
        <w:spacing w:after="80"/>
      </w:pPr>
      <w:r>
        <w:rPr>
          <w:b w:val="0"/>
          <w:i w:val="0"/>
        </w:rPr>
        <w:t>3. Giáo sư Ribstein đề cập đến những ràng buộc do học thuyết công việc nội bộ áp đặt. Điều này được thảo luận kỹ lưỡng trong Chương 2. Học thuyết này là gì và nó có thể có tác động như thế nào đến các nỗ lực cải cách trong lĩnh vực này? Liệu các hội đồng quản trị có muốn chuyển đến các bang hạn chế hoặc tăng cường khả năng của họ trong việc xem xét các bên liên quan khi đưa ra quyết định không?</w:t>
      </w:r>
    </w:p>
    <w:p>
      <w:pPr>
        <w:spacing w:after="80"/>
      </w:pPr>
      <w:r>
        <w:rPr>
          <w:b w:val="0"/>
          <w:i w:val="0"/>
        </w:rPr>
        <w:t xml:space="preserve">4. Theo một nhà bình luận, hầu hết các công ty đại chúng lớn đều “ủng hộ luận điệu về các bên liên quan.” Lisa M. Fairfax, </w:t>
      </w:r>
      <w:r>
        <w:rPr>
          <w:b w:val="0"/>
          <w:i/>
        </w:rPr>
        <w:t>Easier Said Than Done? A Corporate Law Theory for Actualizing Social Responsibility Rhetoric</w:t>
      </w:r>
      <w:r>
        <w:rPr>
          <w:b w:val="0"/>
          <w:i w:val="0"/>
        </w:rPr>
        <w:t xml:space="preserve"> , 59 Fla. L. Rev. 771 (2007). Nói cách khác, họ đã tuyên bố rằng mình có tính đến các bên liên quan. Với sự chấp nhận rộng rãi mô hình các bên liên quan như vậy, liệu cải cách có còn cần thiết không?</w:t>
      </w:r>
    </w:p>
    <w:p>
      <w:pPr>
        <w:spacing w:after="80"/>
      </w:pPr>
      <w:r>
        <w:rPr>
          <w:b w:val="0"/>
          <w:i w:val="0"/>
        </w:rPr>
        <w:t>—————</w:t>
      </w:r>
    </w:p>
    <w:p>
      <w:pPr>
        <w:spacing w:after="80"/>
      </w:pPr>
      <w:r>
        <w:rPr>
          <w:b w:val="0"/>
          <w:i w:val="0"/>
        </w:rPr>
        <w:t>Đưa các bên liên quan vào hội đồng quản trị là một cách khả thi để tăng tiếng nói của họ trong quá trình quản trị doanh nghiệp, như Giáo sư Ribstein lưu ý. Ví dụ, Đức yêu cầu các công ty đại chúng lớn phải bao gồm đại diện người lao động trong hội đồng quản trị. Một số lợi ích nào có thể phát sinh từ một hệ thống như vậy?</w:t>
      </w:r>
    </w:p>
    <w:p>
      <w:pPr>
        <w:pStyle w:val="Heading4"/>
      </w:pPr>
      <w:r>
        <w:rPr>
          <w:rFonts w:ascii="Calibri" w:hAnsi="Calibri"/>
          <w:b/>
          <w:i w:val="0"/>
          <w:sz w:val="23"/>
        </w:rPr>
        <w:t>Kent Greenfield &amp; D. Gordon Smith,</w:t>
      </w:r>
      <w:r>
        <w:br/>
      </w:r>
      <w:r>
        <w:rPr>
          <w:rFonts w:ascii="Calibri" w:hAnsi="Calibri"/>
          <w:b/>
          <w:i w:val="0"/>
          <w:sz w:val="23"/>
        </w:rPr>
        <w:t xml:space="preserve"> </w:t>
      </w:r>
      <w:r>
        <w:rPr>
          <w:rFonts w:ascii="Calibri" w:hAnsi="Calibri"/>
          <w:b/>
          <w:i/>
          <w:sz w:val="23"/>
        </w:rPr>
        <w:t>Debate: Saving the World with Corporate Law?</w:t>
      </w:r>
    </w:p>
    <w:p>
      <w:pPr>
        <w:spacing w:after="80"/>
      </w:pPr>
      <w:r>
        <w:rPr>
          <w:b w:val="0"/>
          <w:i w:val="0"/>
        </w:rPr>
        <w:t>57 Emory L.J. 947, 978–84 (2008)</w:t>
      </w:r>
    </w:p>
    <w:p>
      <w:pPr>
        <w:spacing w:after="80"/>
      </w:pPr>
      <w:r>
        <w:rPr>
          <w:b w:val="0"/>
          <w:i w:val="0"/>
        </w:rPr>
        <w:t>[Trích đoạn này được viết bởi Giáo sư Greenfield.]</w:t>
      </w:r>
    </w:p>
    <w:p>
      <w:pPr>
        <w:spacing w:after="80"/>
      </w:pPr>
      <w:r>
        <w:rPr>
          <w:b w:val="0"/>
          <w:i w:val="0"/>
        </w:rPr>
        <w:t>Cách tốt nhất để hiện thực hóa tiềm năng của doanh nghiệp như một lực lượng tiến bộ là điều chỉnh thành phần của hội đồng quản trị sao cho nó bao gồm các giám đốc đại diện cho những người đầu tư vào công ty, bên cạnh các cổ đông. Hiện nay, cổ đông không chỉ chiếm vị trí tối cao trong khuôn khổ pháp lý, là đối tượng duy nhất được hưởng lợi từ nghĩa vụ ủy thác (fiduciary duties) của ban điều hành, mà còn giữ vị trí tối cao ngay trong chính hội đồng quản trị. Chỉ cổ đông mới được bỏ phiếu trong các cuộc bầu cử giám đốc doanh nghiệp, và lá phiếu được cân theo số cổ phần họ sở hữu. Tuy nhiên, một khi chúng ta thừa nhận rằng doanh nghiệp phải phục vụ tất cả các bên liên quan (stakeholders) của mình, thì rõ ràng việc cổ đông chiếm ưu thế trong quản trị doanh nghiệp là một sai lầm.</w:t>
      </w:r>
    </w:p>
    <w:p>
      <w:pPr>
        <w:spacing w:after="80"/>
      </w:pPr>
      <w:r>
        <w:rPr>
          <w:b w:val="0"/>
          <w:i w:val="0"/>
        </w:rPr>
        <w:t>Tại sao một hội đồng quản trị đa bên liên quan lại có lợi? Câu trả lời gồm hai phần. Thứ nhất, sự thay đổi như vậy chắc chắn sẽ khiến phần thặng dư của doanh nghiệp được chia sẻ công bằng và hiệu quả hơn, qua đó giúp đảm bảo tính bền vững (và khả năng sinh lời) của doanh nghiệp theo thời gian. Thứ hai, một hội đồng quản trị đa nguyên hơn sẽ cải thiện việc ra quyết định của doanh nghiệp, điều này cũng giúp đảm bảo tính bền vững (và khả năng sinh lời) của doanh nghiệp theo thời gian.</w:t>
      </w:r>
    </w:p>
    <w:p>
      <w:pPr>
        <w:spacing w:after="80"/>
      </w:pPr>
      <w:r>
        <w:rPr>
          <w:b w:val="0"/>
          <w:i w:val="0"/>
        </w:rPr>
        <w:t>a. Lợi ích #1: Công bằng hơn</w:t>
      </w:r>
    </w:p>
    <w:p>
      <w:pPr>
        <w:spacing w:after="80"/>
      </w:pPr>
      <w:r>
        <w:rPr>
          <w:b w:val="0"/>
          <w:i w:val="0"/>
        </w:rPr>
        <w:t>Lợi ích đầu tiên khá rõ ràng. Khi hội đồng quản trị quyết định cách phân bổ phần thặng dư của doanh nghiệp, một hội đồng đa bên liên quan sẽ hành xử khác với một hội đồng cổ đông. Thị trường chắc chắn vẫn là một ràng buộc, nhưng mục tiêu của hội đồng sẽ là phân bổ phần thặng dư sao cho duy trì được công ty như một thực thể đang hoạt động (going concern). Cổ đông sẽ nhận được phần của họ, nhưng những người khác cũng vậy. Theo một nghĩa nào đó, quan niệm này sẽ sử dụng doanh nghiệp không chỉ như một cơ chế tạo ra của cải mà còn như một cơ chế phân phối của cải.</w:t>
      </w:r>
    </w:p>
    <w:p>
      <w:pPr>
        <w:spacing w:after="80"/>
      </w:pPr>
      <w:r>
        <w:rPr>
          <w:b w:val="0"/>
          <w:i w:val="0"/>
        </w:rPr>
        <w:t>Điều này không gây sốc như thoạt nhìn. Ở Hoa Kỳ, và thực tế là ở hầu hết các nước công nghiệp hóa, một trong những nhiệm vụ quan trọng nhất của nhà nước là tái phân phối của cải. Các cơ chế bao gồm hệ thống thuế và phúc lợi, lương tối thiểu, và chương trình An sinh Xã hội (Social Security). Về cơ bản, đề xuất của tôi chỉ đơn giản là điều chỉnh cấu trúc của luật doanh nghiệp để nó có thể phục vụ tốt hơn mục đích này.</w:t>
      </w:r>
    </w:p>
    <w:p>
      <w:pPr>
        <w:spacing w:after="80"/>
      </w:pPr>
      <w:r>
        <w:rPr>
          <w:b w:val="0"/>
          <w:i w:val="0"/>
        </w:rPr>
        <w:t>Sức mạnh của lập luận này được củng cố bởi bằng chứng từ các quốc gia khác. Trong một nghiên cứu gần đây, Sigurt Vitols đã đo lường những tác động kinh tế vĩ mô của việc người lao động tham gia vào quản trị doanh nghiệp trên khắp châu Âu. Ở cấp độ quốc gia, các nước châu Âu có cơ chế "đồng quyết định" (codetermination) mạnh mẽ (tức là người lao động tham gia vào hội đồng quản trị) có mức bất bình đẳng thu nhập thấp hơn so với các nước không có hoặc có sự tham gia yếu của người lao động. Hơn nữa, các nước có cơ chế đồng quyết định mạnh mẽ có năng suất lao động cao hơn, ít ngày bị mất do đình công hơn, và tỷ lệ thất nghiệp thấp hơn.</w:t>
      </w:r>
    </w:p>
    <w:p>
      <w:pPr>
        <w:spacing w:after="80"/>
      </w:pPr>
      <w:r>
        <w:rPr>
          <w:b w:val="0"/>
          <w:i w:val="0"/>
        </w:rPr>
        <w:t>Theo một nghĩa trớ trêu, hội đồng đa bên liên quan là sự hiện thực hóa chân chính của quan điểm "mạng lưới các hợp đồng" (nexus of contracts) về doanh nghiệp. Nếu doanh nghiệp được nhìn nhận tốt nhất như một mô hình thu nhỏ của thị trường, thì hãy thành thật mà thừa nhận tất cả các hợp đồng bằng cách đặt những người tham gia thị trường quan trọng nhất vào vị trí mà họ có thể được lắng nghe ở cấp độ ra quyết định của doanh nghiệp. Các chi tiết cụ thể sẽ khó khăn, nhưng không phải bất khả thi: người lao động có thể bầu ra một tỷ lệ thành viên hội đồng quản trị; các cộng đồng nơi công ty sử dụng một tỷ lệ đáng kể lực lượng lao động có thể được đề nghị cử một đại diện vào hội đồng; các đối tác kinh doanh lâu dài và chủ nợ cũng có thể được đại diện.</w:t>
      </w:r>
    </w:p>
    <w:p>
      <w:pPr>
        <w:spacing w:after="80"/>
      </w:pPr>
      <w:r>
        <w:rPr>
          <w:b w:val="0"/>
          <w:i w:val="0"/>
        </w:rPr>
        <w:t>Các chi tiết cụ thể không quan trọng bằng quan niệm rằng bản thân hội đồng quản trị phải là nơi mà không chỉ quan điểm của cổ đông được lắng nghe. Khi tham gia vào hội đồng, mỗi đại diện bên liên quan sẽ có động lực để xây dựng và duy trì khả năng sinh lời nhằm duy trì công ty theo thời gian. Hơn nữa, hội đồng sẽ là nơi diễn ra các cuộc đàm phán thực sự giữa các bên liên quan khác nhau về việc phân bổ phần thặng dư của doanh nghiệp. Mặc dù các thành viên hội đồng có thể được chọn vào vị trí của họ theo những cách khác nhau và từ những nhóm cử tri khác nhau, mỗi người đều phải chịu nghĩa vụ ủy thác đối với toàn bộ doanh nghiệp. Các quyết định ảnh hưởng đến các bên liên quan chính sẽ không còn được đưa ra một cách hời hợt mà không có ai trong hội đồng có thể lường trước và trình bày rõ tác động có thể có của quyết định đó đối với người lao động, chủ nợ, và các bên liên quan khác có quyền lợi liên quan.</w:t>
      </w:r>
    </w:p>
    <w:p>
      <w:pPr>
        <w:spacing w:after="80"/>
      </w:pPr>
      <w:r>
        <w:rPr>
          <w:b w:val="0"/>
          <w:i w:val="0"/>
        </w:rPr>
        <w:t>b. Lợi ích #2: Quyết định tốt hơn</w:t>
      </w:r>
    </w:p>
    <w:p>
      <w:pPr>
        <w:spacing w:after="80"/>
      </w:pPr>
      <w:r>
        <w:rPr>
          <w:b w:val="0"/>
          <w:i w:val="0"/>
        </w:rPr>
        <w:t>Đề xuất về chủ nghĩa đa nguyên trong hội đồng quản trị này sẽ khiến hầu hết độc giả, ít nhất là ở Hoa Kỳ, cảm thấy kỳ quặc. Nhưng cơ chế đồng quyết định lại phổ biến ở nhiều quốc gia châu Âu và được sử dụng có hiệu quả tốt. Có lẽ lý do cho thành công của nó là ở chỗ, nhìn tổng thể, chủ nghĩa đa nguyên trong hội đồng quản trị tạo ra những quyết định tốt hơn.</w:t>
      </w:r>
    </w:p>
    <w:p>
      <w:pPr>
        <w:spacing w:after="80"/>
      </w:pPr>
      <w:r>
        <w:rPr>
          <w:b w:val="0"/>
          <w:i w:val="0"/>
        </w:rPr>
        <w:t>Hãy nhớ lại phần thảo luận trong Phần I về việc thành công của các doanh nghiệp một phần dựa trên sự phụ thuộc của chúng vào một tập thể ra quyết định ở đỉnh của hệ thống phân cấp. Nhưng những lợi ích của việc ra quyết định tập thể bị giảm đi đáng kể, và đôi khi bị phá hủy hoàn toàn, khi tập thể đó quá đồng nhất. Trên thực tế, ngày càng nhiều nghiên cứu cho thấy rằng việc ra quyết định tốt đòi hỏi sự đa dạng về quan điểm. Như Cass Sunstein đã trình bày chi tiết trong cuốn sách gần đây của ông, Why Societies Need Dissent, sự tuân thủ (conformity) giữa những người trong một tập thể ra quyết định chắc chắn sẽ sinh ra sai lầm. Sự bất đồng chính kiến là thiết yếu, và đôi khi "những mối liên kết xã hội và tình cảm" có thể đè nén sự bất đồng. Sunstein lưu ý: "Nếu những mối liên kết mạnh mẽ khiến ngay cả một tiếng nói bất đồng duy nhất cũng ít có khả năng xuất hiện hơn, thì hiệu suất của các tập thể và thể chế sẽ bị suy giảm." Ông mở rộng luận điểm này cho các hội đồng quản trị doanh nghiệp: "Những công ty có hiệu suất cao nhất thường có những hội đồng quản trị cực kỳ hay tranh cãi, coi sự bất đồng chính kiến là một nghĩa vụ và 'thỉnh thoảng có một cuộc tranh luận nảy lửa'."</w:t>
      </w:r>
    </w:p>
    <w:p>
      <w:pPr>
        <w:spacing w:after="80"/>
      </w:pPr>
      <w:r>
        <w:rPr>
          <w:b w:val="0"/>
          <w:i w:val="0"/>
        </w:rPr>
        <w:t>Nếu sự đồng nhất là một khuyết điểm, thì các hội đồng quản trị doanh nghiệp thực sự đầy khiếm khuyết. Hiện nay, các hội đồng quản trị doanh nghiệp nằm trong số những thể chế ít đa dạng nhất ở Mỹ. Một cuộc khảo sát năm 2002 cho thấy 82% vị trí giám đốc tại các công ty thuộc Fortune 1000 do nam giới da trắng nắm giữ, trong khi chỉ 11% do nữ giới da trắng nắm giữ, 3% do người Mỹ gốc Phi, 2% do người Mỹ gốc Á, và 2% do người gốc Tây Ban Nha. Việc bổ sung những quan điểm khác ngoài quan điểm của những người đàn ông da trắng giàu có gần như chắc chắn sẽ cải thiện chất lượng các quyết định kinh doanh của hội đồng quản trị.</w:t>
      </w:r>
    </w:p>
    <w:p>
      <w:pPr>
        <w:spacing w:after="80"/>
      </w:pPr>
      <w:r>
        <w:rPr>
          <w:b w:val="0"/>
          <w:i w:val="0"/>
        </w:rPr>
        <w:t>Ý tưởng này hầu như không cấp tiến như thoạt nhìn. Ngay cả các học giả chính thống đôi khi cũng được thấy là thừa nhận những lợi ích của chủ nghĩa đa nguyên trong hội đồng quản trị. Ví dụ, Stephen Bainbridge đã nói, trong bối cảnh gợi ý rằng các hội đồng quản trị lớn hơn thì tốt hơn các hội đồng nhỏ hơn, rằng "nhiều giám đốc hơn thường sẽ đồng nghĩa với nhiều mối quan hệ đan xen hơn với các tổ chức khác, những mối quan hệ có thể hữu ích trong việc cung cấp các nguồn lực như khách hàng, thân chủ, tín dụng, và nguồn cung ứng." Lưu ý rằng Bainbridge nhìn thấy những lợi ích của việc đưa vào hội đồng quản trị những người có thể lên tiếng và đưa ra hiểu biết sâu sắc từ các nhà đầu tư phi cổ phần khác nhau, mặc dù đáng chú ý là ông không đưa người lao động vào danh sách của mình. Ông mô tả những lợi ích của kiểu đa nguyên hội đồng quản trị này bao gồm khả năng giải quyết các bất cân xứng thông tin và do đó hỗ trợ việc tạo ra các liên minh chiến lược. Hiểu biết đó, có vẻ đúng, sẽ đúng không chỉ đối với các đối tác kinh doanh mà còn đối với tất cả các nhà đầu tư phi cổ phần, bao gồm cả người lao động. Người lao động, trên thực tế, cũng đang tham gia vào một liên minh chiến lược với một công ty khi họ đầu tư thời gian, năng lượng, và tương lai của mình vào công ty đó. Do đó, họ cũng "cần được tiếp cận thông tin đáng tin cậy về năng lực và độ tin cậy của các đối tác tiềm năng", cũng như công ty cần thông tin đáng tin cậy về "năng lực và độ tin cậy" của họ.</w:t>
      </w:r>
    </w:p>
    <w:p>
      <w:pPr>
        <w:spacing w:after="80"/>
      </w:pPr>
      <w:r>
        <w:rPr>
          <w:b w:val="0"/>
          <w:i w:val="0"/>
        </w:rPr>
        <w:t>Những lo ngại thường được bày tỏ về cơ chế đồng quyết định là quá cường điệu. Không nhóm cử tri nào có động lực để làm hại công ty nhằm giành được phần lớn hơn của chiếc bánh. Ngay cả nếu họ làm vậy, họ sẽ vi phạm nghĩa vụ ủy thác của mình đối với toàn bộ doanh nghiệp và có thể bị buộc phải chịu trách nhiệm về hành vi của mình. Thứ hai, khả năng về hành vi chiến lược, "tìm kiếm đặc lợi" (rent-seeking) đã tồn tại trong doanh nghiệp. Các giám đốc hiện nay chỉ được cổ đông bầu ra, và cổ đông đã có động lực trong những hoàn cảnh nhất định để đặt lợi ích của mình lên trên lợi ích của toàn bộ doanh nghiệp. Một hội đồng quản trị đa nguyên thực ra có thể kìm hãm những thôi thúc ích kỷ đó, bởi vì bất kỳ hành vi nào mang lại lợi ích cho một bên liên quan gây thiệt hại cho doanh nghiệp đều phải được thực hiện trước sự chứng kiến đầy đủ của những người khác.</w:t>
      </w:r>
    </w:p>
    <w:p>
      <w:pPr>
        <w:spacing w:after="80"/>
      </w:pPr>
      <w:r>
        <w:rPr>
          <w:b w:val="0"/>
          <w:i w:val="0"/>
        </w:rPr>
        <w:t>Chắc chắn rằng, việc làm cho hội đồng quản trị bớt đồng nhất sẽ khiến các quyết định trở nên kém gọn gàng hơn, vì sẽ phải tính đến nhiều quan điểm hơn và hội đồng sẽ buộc phải thỏa hiệp để các quyết định được đa số hoặc đa số tương đối các bên liên quan chấp nhận. Nhưng việc các quyết định trở nên khó khăn hơn tự nó không phải là lý do để từ chối cải thiện hội đồng quản trị bằng cách để họ lắng nghe một loạt các quan điểm và góc nhìn. Câu hỏi thực sự là liệu sự đa dạng bổ sung có dẫn đến những quyết định xứng đáng với nỗ lực thêm đó hay không. Sự đa dạng lớn hơn về quan điểm và xuất thân trong phòng họp hội đồng quản trị sẽ tạo ra những lợi ích thiết thực cho doanh nghiệp bằng cách giảm bớt rủi ro theo thời gian rằng hội đồng sẽ mắc phải những khiếm khuyết và sai lầm mang tính hệ thống của "tư duy tập thể" (groupthink).</w:t>
      </w:r>
    </w:p>
    <w:p>
      <w:pPr>
        <w:spacing w:after="80"/>
      </w:pPr>
      <w:r>
        <w:rPr>
          <w:b w:val="0"/>
          <w:i w:val="0"/>
        </w:rPr>
        <w:t>Về điểm này, chúng ta có thể thu thập hiểu biết từ những trải nghiệm ngoài lĩnh vực kinh doanh. Quan niệm rằng các quyết định được đưa ra từ một quá trình đối thoại và thỏa hiệp được trau chuốt kỹ lưỡng thì tốt hơn các quyết định do một nhóm cá nhân đồng nhất đưa ra một cách đơn phương được các thể chế khác ngoài hội đồng quản trị doanh nghiệp chấp nhận rộng rãi. Chúng ta nhận thấy ở các cơ quan lập pháp, cơ quan hành chính, hội đồng giảng viên trường học và hội đồng quản trị tổ chức phi lợi nhuận rằng sự đa dạng về quan điểm và con người làm tăng khả năng những ý kiến bất đồng sẽ được chào đón, những góc nhìn quan trọng sẽ được lắng nghe, và các quyết định sẽ được xem xét thấu đáo hơn. Như Madison đã lập luận trong Federalist Papers, một chính phủ liên bang đa nguyên nơi quyền lực được cân bằng giữa nhiều nhóm khác nhau thực sự làm suy yếu các phe phái. Để đưa ra những quyết định quan trọng, người ta phải xây dựng các liên minh; các phe phái riêng lẻ không thể hành động một mình. Điều tương tự cũng có khả năng đúng trong quản trị doanh nghiệp.</w:t>
      </w:r>
    </w:p>
    <w:p>
      <w:pPr>
        <w:spacing w:after="80"/>
      </w:pPr>
      <w:r>
        <w:rPr>
          <w:b w:val="0"/>
          <w:i w:val="0"/>
        </w:rPr>
        <w:t>. . . Những nguyên tắc ra quyết định tốt này không mới mẻ hay chấn động gì. Chúng chỉ đơn thuần bị bỏ qua một cách có hệ thống trong quản trị doanh nghiệp. Nếu chúng ta đưa những hiểu biết này vào luật doanh nghiệp, những điểm mạnh của hình thức công ty có thể được duy trì và sau đó được khai thác cho một mục đích cao cả hơn việc tích lũy lợi nhuận cho cổ đông. Của cải xã hội có thể được xây dựng; các lợi ích xã hội có thể được nội hóa vào việc ra quyết định của công ty; của cải có thể được phân phối công bằng hơn. Có lẽ thế giới sẽ không được cứu. Nhưng nó sẽ tốt đẹp hơn.</w:t>
      </w:r>
    </w:p>
    <w:p>
      <w:pPr>
        <w:pStyle w:val="Heading5"/>
      </w:pPr>
      <w:r>
        <w:rPr>
          <w:rFonts w:ascii="Calibri" w:hAnsi="Calibri"/>
          <w:b/>
          <w:i/>
          <w:sz w:val="22"/>
        </w:rPr>
        <w:t>Bình luận và Câu hỏi</w:t>
      </w:r>
    </w:p>
    <w:p>
      <w:pPr>
        <w:spacing w:after="80"/>
      </w:pPr>
      <w:r>
        <w:rPr>
          <w:b w:val="0"/>
          <w:i w:val="0"/>
        </w:rPr>
        <w:t>1. Một hội đồng quản trị có sự tham gia của các bên liên quan sẽ trông như thế nào? Những nhóm lợi ích nào sẽ có đại diện trong hội đồng quản trị theo mô hình được đề xuất? Giáo sư Greenfield lưu ý rằng khi giải quyết những vấn đề này, “[c]ác chi tiết cụ thể không quan trọng bằng quan niệm rằng bản thân hội đồng quản trị nên là nơi mà không chỉ quan điểm của cổ đông được lắng nghe.” Bạn có đồng ý với nhận định này không?</w:t>
      </w:r>
    </w:p>
    <w:p>
      <w:pPr>
        <w:spacing w:after="80"/>
      </w:pPr>
      <w:r>
        <w:rPr>
          <w:b w:val="0"/>
          <w:i w:val="0"/>
        </w:rPr>
        <w:t>2. Giáo sư Greenfield cho rằng khi phân bổ thặng dư của công ty, “một hội đồng quản trị có sự tham gia của các bên liên quan sẽ hành xử khác với một hội đồng quản trị của cổ đông.” Nó có khả năng hành xử khác như thế nào? Điều này có phụ thuộc vào số lượng và cách thức bầu chọn đại diện các bên liên quan vào hội đồng quản trị hay không?</w:t>
      </w:r>
    </w:p>
    <w:p>
      <w:pPr>
        <w:spacing w:after="80"/>
      </w:pPr>
      <w:r>
        <w:rPr>
          <w:b w:val="0"/>
          <w:i w:val="0"/>
        </w:rPr>
        <w:t>3. Bạn có đồng ý rằng một hội đồng quản trị ít đồng nhất hơn sẽ dẫn đến việc ra quyết định tốt hơn không? Ngay cả khi đúng như vậy, liệu có đúng khi nghĩ rằng các bên liên quan như nhân viên sẽ là loại giám đốc không đồng nhất phù hợp để tránh vấn đề tư duy tập thể (groupthink)? Còn có cách nào khác để cấu trúc một hội đồng quản trị nhằm tránh sự đồng nhất mà không nhất thiết phải áp dụng mô hình đại diện các bên liên quan không?</w:t>
      </w:r>
    </w:p>
    <w:p>
      <w:pPr>
        <w:spacing w:after="80"/>
      </w:pPr>
      <w:r>
        <w:rPr>
          <w:b w:val="0"/>
          <w:i w:val="0"/>
        </w:rPr>
        <w:t>4. Tại sao giải pháp không chỉ đơn giản là mở rộng các nghĩa vụ ủy thác của hội đồng quản trị để bao gồm các bên liên quan (một đề xuất đủ gây tranh cãi)? Các bên liên quan có thực sự cần có vị trí trong hội đồng quản trị không?</w:t>
      </w:r>
    </w:p>
    <w:p>
      <w:pPr>
        <w:spacing w:after="80"/>
      </w:pPr>
      <w:r>
        <w:rPr>
          <w:b w:val="0"/>
          <w:i w:val="0"/>
        </w:rPr>
        <w:t>—————</w:t>
      </w:r>
    </w:p>
    <w:p>
      <w:pPr>
        <w:spacing w:after="80"/>
      </w:pPr>
      <w:r>
        <w:rPr>
          <w:b w:val="0"/>
          <w:i w:val="0"/>
        </w:rPr>
        <w:t>Có rất nhiều chỗ để không đồng ý với một mô hình đại diện các bên liên quan, như hai bài viết tiếp theo sẽ chứng minh.</w:t>
      </w:r>
    </w:p>
    <w:p>
      <w:pPr>
        <w:pStyle w:val="Heading4"/>
      </w:pPr>
      <w:r>
        <w:rPr>
          <w:rFonts w:ascii="Calibri" w:hAnsi="Calibri"/>
          <w:b/>
          <w:i w:val="0"/>
          <w:sz w:val="23"/>
        </w:rPr>
        <w:t xml:space="preserve">Antony Page, </w:t>
      </w:r>
      <w:r>
        <w:rPr>
          <w:rFonts w:ascii="Calibri" w:hAnsi="Calibri"/>
          <w:b/>
          <w:i/>
          <w:sz w:val="23"/>
        </w:rPr>
        <w:t>Đánh giá: Luật Doanh nghiệp đã Thất bại?</w:t>
      </w:r>
      <w:r>
        <w:br/>
      </w:r>
      <w:r>
        <w:rPr>
          <w:rFonts w:ascii="Calibri" w:hAnsi="Calibri"/>
          <w:b/>
          <w:i/>
          <w:sz w:val="23"/>
        </w:rPr>
        <w:t xml:space="preserve"> Giải quyết các Đề xuất Cải cách</w:t>
      </w:r>
    </w:p>
    <w:p>
      <w:pPr>
        <w:spacing w:after="80"/>
      </w:pPr>
      <w:r>
        <w:rPr>
          <w:b w:val="0"/>
          <w:i w:val="0"/>
        </w:rPr>
        <w:t>107 Mich. L. Rev. 979, 996–97 (2009)</w:t>
      </w:r>
    </w:p>
    <w:p>
      <w:pPr>
        <w:spacing w:after="80"/>
      </w:pPr>
      <w:r>
        <w:rPr>
          <w:b w:val="0"/>
          <w:i w:val="0"/>
        </w:rPr>
        <w:t>Đề xuất này [đưa các bên liên quan vào hội đồng quản trị] thật thú vị nhưng đáng tiếc là chưa được phát triển đầy đủ. Sự không chắc chắn nằm ở thành phần hội đồng quản trị và các quy tắc biểu quyết. Liệu các giám đốc của cổ đông vẫn sẽ chiếm đa số? Greenfield nói rằng đề xuất của ông là về việc cho phép các bên liên quan “được lắng nghe ở cấp độ ra quyết định của công ty” và trao cho các bên liên quan một “cách thức có ý nghĩa để tham gia vào việc ra quyết định của công ty”. Tuy nhiên, ông cũng gợi ý một điều gì đó cấp tiến hơn: “các hội đồng quản trị sẽ buộc phải thỏa hiệp về một quyết định được đa số hoặc đa số tương đối các bên liên quan chấp nhận”. Nếu phải có thỏa hiệp, thì các bên liên quan không phải cổ đông, ở mức tối thiểu, sẽ có quyền phủ quyết. Có tiếng nói là một chuyện rất khác với có quyền ngăn chặn hoặc đưa ra các quyết định thực chất. Ngay cả hệ thống của Đức, hình mẫu của chế độ đồng quyết định (codetermination) nơi đại diện nhân viên chiếm một nửa hội đồng giám sát của một công ty lớn, cũng trao lá phiếu quyết định cho ban quản lý.</w:t>
      </w:r>
    </w:p>
    <w:p>
      <w:pPr>
        <w:spacing w:after="80"/>
      </w:pPr>
      <w:r>
        <w:rPr>
          <w:b w:val="0"/>
          <w:i w:val="0"/>
        </w:rPr>
        <w:t>Greenfield tin rằng “trong hầu hết các trường hợp, không bên liên quan nào có động cơ làm tổn hại công ty để giành phần lớn hơn của chiếc bánh”, nhưng mọi quyết định liên quan đến việc phân bổ của cải (tiền lương, thầu phụ, cấu trúc vốn, phương pháp sản xuất, v.v.) đều có thể liên quan đến xung đột như vậy. Một phần lớn hơn của chiếc bánh nhỏ hơn có thể rất hấp dẫn. Mặc dù hội đồng quản trị có thể “hưởng lợi từ sự cởi mở và đa dạng hơn”, kết quả cũng có thể là một hội đồng quản trị bị chia rẽ phe phái, có khả năng thực hiện vai trò giám sát nhưng không thể thực hiện đầy đủ vai trò cố vấn. Ngoài ra, mặc dù các giám đốc vẫn sẽ có nghĩa vụ ủy thác đối với tất cả các bên liên quan chứ không chỉ những bên mà họ đại diện, quyền tự quyết của họ sẽ không bị giới hạn bởi vì, theo quy tắc phán đoán kinh doanh (business-judgment rule), có rất ít rủi ro về trách nhiệm pháp lý bất kể quyết định có giá trị hay không. Hơn nữa, một giám đốc không nhiệt thành bảo vệ lợi ích của nhóm cử tri của mình có khả năng sẽ đối mặt với cơ hội tái đắc cử bị giảm sút.</w:t>
      </w:r>
    </w:p>
    <w:p>
      <w:pPr>
        <w:spacing w:after="80"/>
      </w:pPr>
      <w:r>
        <w:rPr>
          <w:b w:val="0"/>
          <w:i w:val="0"/>
        </w:rPr>
        <w:t>Nhìn chung, phương tiện được Greenfield đề xuất để tổng hợp phúc lợi xã hội tốt hơn dường như khó có thể đạt được nhiều thành tựu. Các giám đốc không bị ràng buộc sẽ vẫn không bị ràng buộc và một hội đồng quản trị với các giám đốc đại diện cho các bên liên quan ngoài cổ đông có thể sẽ dẫn đến không có thay đổi gì, hoặc tệ hơn, thậm chí là một công ty được điều hành kém hiệu quả hơn. Với sự thành công của hiện trạng, ít nhất là trong việc tạo ra của cải, chúng ta nên thận trọng với sự thay đổi khi thiếu những lý do thuyết phục hơn.</w:t>
      </w:r>
    </w:p>
    <w:p>
      <w:pPr>
        <w:pStyle w:val="Heading4"/>
      </w:pPr>
      <w:r>
        <w:rPr>
          <w:rFonts w:ascii="Calibri" w:hAnsi="Calibri"/>
          <w:b/>
          <w:i w:val="0"/>
          <w:sz w:val="23"/>
        </w:rPr>
        <w:t xml:space="preserve">George W. Dent, Jr., </w:t>
      </w:r>
      <w:r>
        <w:rPr>
          <w:rFonts w:ascii="Calibri" w:hAnsi="Calibri"/>
          <w:b/>
          <w:i/>
          <w:sz w:val="23"/>
        </w:rPr>
        <w:t>Lý thuyết Các bên Liên quan và</w:t>
      </w:r>
      <w:r>
        <w:br/>
      </w:r>
      <w:r>
        <w:rPr>
          <w:rFonts w:ascii="Calibri" w:hAnsi="Calibri"/>
          <w:b/>
          <w:i/>
          <w:sz w:val="23"/>
        </w:rPr>
        <w:t xml:space="preserve"> Mối quan hệ giữa Cộng đồng Chủ nhà và Doanh nghiệp:</w:t>
      </w:r>
      <w:r>
        <w:br/>
      </w:r>
      <w:r>
        <w:rPr>
          <w:rFonts w:ascii="Calibri" w:hAnsi="Calibri"/>
          <w:b/>
          <w:i/>
          <w:sz w:val="23"/>
        </w:rPr>
        <w:t xml:space="preserve"> Quản trị Các bên Liên quan: Một Ý tưởng Tồi tệ Ngày càng Tệ hơn</w:t>
      </w:r>
    </w:p>
    <w:p>
      <w:pPr>
        <w:spacing w:after="80"/>
      </w:pPr>
      <w:r>
        <w:rPr>
          <w:b w:val="0"/>
          <w:i w:val="0"/>
        </w:rPr>
        <w:t>58 Case W. Res. L. Rev. 1107, 1115–17 (2008)</w:t>
      </w:r>
    </w:p>
    <w:p>
      <w:pPr>
        <w:spacing w:after="80"/>
      </w:pPr>
      <w:r>
        <w:rPr>
          <w:b w:val="0"/>
          <w:i w:val="0"/>
        </w:rPr>
        <w:t>Ngoài lý thuyết kinh tế, còn có một vấn đề khác và có lẽ rõ ràng hơn đối với khái niệm các bên liên quan (stakeholder): Nếu quản trị theo hướng các bên liên quan có thể tạo ra chiếc bánh lớn hơn, và phần lớn hơn cho mỗi nhóm, thì tại sao điều đó lại không xảy ra thông qua các thỏa thuận tư nhân? Đôi khi các giải pháp làm tăng chiếc bánh không thể đạt được một cách tư nhân vì chi phí giao dịch để đàm phán quá cao. Nhưng ít nhất đối với người lao động có thương lượng tập thể thì điều đó không nên như vậy—họ vốn đã đang đàm phán với ban quản lý rồi.</w:t>
      </w:r>
    </w:p>
    <w:p>
      <w:pPr>
        <w:spacing w:after="80"/>
      </w:pPr>
      <w:r>
        <w:rPr>
          <w:b w:val="0"/>
          <w:i w:val="0"/>
        </w:rPr>
        <w:t>Giáo sư Greenfield cho rằng các công ty không hành động tự nguyện vì họ "đơn giản là không nhìn thấy tiềm năng sinh lời dài hạn của quản trị theo hướng các bên liên quan." Lời giải thích này không thuyết phục. Các doanh nghiệp không ngừng tìm kiếm những cách mới để tăng lợi nhuận. Lý thuyết các bên liên quan đã tồn tại từ lâu; nó không phải là một ý tưởng mới lạ đến mức đơn giản là chưa từng xuất hiện trong đầu các nhà đầu tư và doanh nhân. Nếu nó có chút hứa hẹn nào, một số công ty sẽ thử nó. Nhưng ngay cả khi chúng ta giả định rằng ông ấy đúng về điểm này, thì hệ quả là sau khi quản trị theo hướng các bên liên quan bị áp đặt lên các nhà đầu tư, họ sẽ khám phá ra rằng họ thích nó. Vậy thì ông ấy nên sẵn lòng để các cổ đông của một công ty bỏ phiếu chấm dứt quản trị theo hướng các bên liên quan và thiết lập quyền tối thượng của cổ đông (shareholder primacy) sau một khoảng thời gian nào đó (một năm chẳng hạn?), vì họ sẽ không làm vậy trừ khi kinh nghiệm cho thấy quản trị theo hướng các bên liên quan gây tổn hại đáng kể cho họ.</w:t>
      </w:r>
    </w:p>
    <w:p>
      <w:pPr>
        <w:spacing w:after="80"/>
      </w:pPr>
      <w:r>
        <w:rPr>
          <w:b w:val="0"/>
          <w:i w:val="0"/>
        </w:rPr>
        <w:t>* * *</w:t>
      </w:r>
    </w:p>
    <w:p>
      <w:pPr>
        <w:spacing w:after="80"/>
      </w:pPr>
      <w:r>
        <w:rPr>
          <w:b w:val="0"/>
          <w:i w:val="0"/>
        </w:rPr>
        <w:t>Thực ra, chúng ta có thấy điều này, nhưng hoàn toàn không theo cách mà những người ủng hộ các bên liên quan mong muốn. Trên thực tế, hầu hết các công ty đều do người lao động kiểm soát, nhưng chỉ bởi một nhóm nhỏ tinh hoa của người lao động. Các công ty luật được điều hành bởi các đối tác của họ. Ngay cả trong các công ty công nghiệp, phi chuyên môn, sự kiểm soát của người lao động, khi nó tồn tại, có xu hướng tập trung vào một nhóm nhỏ đồng nhất người lao động, chứ không được chia sẻ giữa tất cả mọi người. Lý do cho điều này là lợi ích của các nhóm người lao động khác nhau xung đột với nhau. Nói chung, các công ty do người lao động kiểm soát tăng trưởng chậm hơn và tạo ra ít việc làm mới hơn so với các công ty đại chúng khác. Khi cần vốn cổ phần từ bên ngoài, các nhà đầu tư mạo hiểm cung cấp nó, nhưng chỉ với những điều kiện hoàn toàn không phải như những gì các nhà lý thuyết về các bên liên quan hình dung.</w:t>
      </w:r>
    </w:p>
    <w:p>
      <w:pPr>
        <w:spacing w:after="80"/>
      </w:pPr>
      <w:r>
        <w:rPr>
          <w:b w:val="0"/>
          <w:i w:val="0"/>
        </w:rPr>
        <w:t>Giới lao động có tổ chức của Mỹ cũng cho thấy rất ít quan tâm đến việc đại diện trong hội đồng quản trị. Và châu Âu đang chuyển dịch về phía mô hình cổ đông và có thể đã vượt qua Hoa Kỳ trong việc bảo vệ nhà đầu tư.</w:t>
      </w:r>
    </w:p>
    <w:p>
      <w:pPr>
        <w:spacing w:after="80"/>
      </w:pPr>
      <w:r>
        <w:rPr>
          <w:b w:val="0"/>
          <w:i w:val="0"/>
        </w:rPr>
        <w:t>Ngoài bằng chứng thực nghiệm "tiêu cực" này, còn có bằng chứng thực nghiệm tích cực cho thấy sự tham gia của người lao động vào quản trị công ty không "làm lớn chiếc bánh." Ở Pháp và Na Uy, luật yêu cầu có đại diện của người lao động trong một số hội đồng quản trị nhất định. Các điều kiện và ngoại lệ cho phép so sánh tốt giữa các công ty có và không có sự đại diện như vậy. Các nghiên cứu gần đây ở cả hai quốc gia đều phát hiện rằng sự đại diện của người lao động gây tổn hại đáng kể đến hiệu quả hoạt động của công ty. Các nghiên cứu khác cũng đưa ra những phát hiện tương tự ở các quốc gia khác, ngay cả khi sự đại diện của lao động được trao một cách tự nguyện.</w:t>
      </w:r>
    </w:p>
    <w:p>
      <w:pPr>
        <w:spacing w:after="80"/>
      </w:pPr>
      <w:r>
        <w:rPr>
          <w:b w:val="0"/>
          <w:i w:val="0"/>
        </w:rPr>
        <w:t>Hành động tự nguyện trên thực tế có thể đang di chuyển theo hướng ngược lại. Các kế hoạch sở hữu cổ phần cho người lao động ("ESOP") ban đầu chủ yếu được áp dụng ở các công ty không có công đoàn, nhưng đến những năm 1990 chúng trở nên phổ biến tương đương ở các công ty có công đoàn. Việc áp dụng một ESOP ở một công ty có công đoàn dẫn đến giảm các cuộc đình công và giảm tỷ lệ các tranh chấp lao động dẫn đến đình công. Việc trao cổ phần cho người lao động thay đổi động cơ của họ và đưa lợi ích của họ gần hơn với lợi ích của các cổ đông. Đây là một con đường hứa hẹn hơn so với quản trị theo hướng các bên liên quan.</w:t>
      </w:r>
    </w:p>
    <w:p>
      <w:pPr>
        <w:spacing w:after="80"/>
      </w:pPr>
      <w:r>
        <w:rPr>
          <w:b w:val="0"/>
          <w:i w:val="0"/>
        </w:rPr>
        <w:t>Khi các bên liên quan khác được ném vào công thức, các xung đột trở nên rõ ràng và áp đảo. Người lao động muốn mức thù lao cao nhất và sự đảm bảo việc làm cùng điều kiện làm việc dễ dàng nhất. Khách hàng muốn sản phẩm tốt nhất với giá thấp nhất. Chủ nợ muốn sự đảm bảo cao nhất về việc thanh toán kịp thời các khoản yêu cầu của họ. Nhà cung cấp muốn đơn hàng lớn nhất với giá cao nhất. Những người bảo vệ môi trường muốn giảm thiểu ô nhiễm. Những sở thích này đưa ra những đòi hỏi không thể dung hòa đối với nguồn lực của công ty.</w:t>
      </w:r>
    </w:p>
    <w:p>
      <w:pPr>
        <w:pStyle w:val="Heading5"/>
      </w:pPr>
      <w:r>
        <w:rPr>
          <w:rFonts w:ascii="Calibri" w:hAnsi="Calibri"/>
          <w:b/>
          <w:i/>
          <w:sz w:val="22"/>
        </w:rPr>
        <w:t>Bình luận và Câu hỏi</w:t>
      </w:r>
    </w:p>
    <w:p>
      <w:pPr>
        <w:spacing w:after="80"/>
      </w:pPr>
      <w:r>
        <w:rPr>
          <w:b w:val="0"/>
          <w:i w:val="0"/>
        </w:rPr>
        <w:t>1. Một chỉ trích đối với cách tiếp cận của Giáo sư Greenfield liên quan đến vấn đề hậu cần (logistics). Như Giáo sư Page lưu ý, cách tiếp cận này không giải quyết vấn đề hậu cần, bao gồm các quy tắc bỏ phiếu và yêu cầu về thành phần. Những vấn đề này có thể được giải quyết như thế nào? Một bộ yêu cầu phù hợp về thành phần và bỏ phiếu sẽ là gì?</w:t>
      </w:r>
    </w:p>
    <w:p>
      <w:pPr>
        <w:spacing w:after="80"/>
      </w:pPr>
      <w:r>
        <w:rPr>
          <w:b w:val="0"/>
          <w:i w:val="0"/>
        </w:rPr>
        <w:t>2. Trong chừng mực mà các bên liên quan có quyền phủ quyết, nhưng không có quyền kiểm soát, liệu điều này có đủ để đảm bảo rằng lợi ích của họ được đại diện không? Ở Đức, người lao động kiểm soát một nửa hội đồng quản trị của các công ty lớn nhất. Tuy nhiên, trong trường hợp hòa phiếu, chủ tịch (thường là một giám đốc do cổ đông bầu) là người có lá phiếu quyết định. Hơn nữa, các đại diện của người lao động thường không ngồi trong các ủy ban quan trọng của hội đồng quản trị như ủy ban thù lao.</w:t>
      </w:r>
    </w:p>
    <w:p>
      <w:pPr>
        <w:spacing w:after="80"/>
      </w:pPr>
      <w:r>
        <w:rPr>
          <w:b w:val="0"/>
          <w:i w:val="0"/>
        </w:rPr>
        <w:t>3. Giả sử các bên liên quan được đưa vào hội đồng quản trị, liệu họ vẫn phải có nghĩa vụ hành động vì lợi ích tốt nhất của các cổ đông không? Nếu các nghĩa vụ ủy thác (fiduciary obligations) vẫn không thay đổi, liệu các giám đốc đại diện cho các bên liên quan có bị bất lực trong việc đảm bảo sự quan tâm nhiều hơn đến lợi ích của các nhóm mà họ đại diện không?</w:t>
      </w:r>
    </w:p>
    <w:p>
      <w:pPr>
        <w:spacing w:after="80"/>
      </w:pPr>
      <w:r>
        <w:rPr>
          <w:b w:val="0"/>
          <w:i w:val="0"/>
        </w:rPr>
        <w:t xml:space="preserve">4. Chủ nợ thường được liệt kê như một bên liên quan. Tuy nhiên, một số người đã đưa ra quan điểm rằng họ có khả năng đáng kể để gây ảnh hưởng đến quá trình quản trị. </w:t>
      </w:r>
      <w:r>
        <w:rPr>
          <w:b w:val="0"/>
          <w:i/>
        </w:rPr>
        <w:t>Xem</w:t>
      </w:r>
      <w:r>
        <w:rPr>
          <w:b w:val="0"/>
          <w:i w:val="0"/>
        </w:rPr>
        <w:t xml:space="preserve"> Douglas G. Baird &amp; Robert K. Rasmussen, </w:t>
      </w:r>
      <w:r>
        <w:rPr>
          <w:b w:val="0"/>
          <w:i/>
        </w:rPr>
        <w:t>Essay: Private Debt and the Missing Lever of Corporate Governance</w:t>
      </w:r>
      <w:r>
        <w:rPr>
          <w:b w:val="0"/>
          <w:i w:val="0"/>
        </w:rPr>
        <w:t xml:space="preserve"> , 154 U. Pa. L. Rev. 1209, 1211 (2006) ("Khi một doanh nghiệp vấp phải một trong những sợi dây trong một khoản vay lớn, bên cho vay có thể thực thi các quyền kiểm soát trên thực tế—chẳng hạn như thay thế CEO của một công ty—mà các cổ đông của một công ty đại chúng đơn giản là không có."). Liệu chủ nợ có cần thêm bất kỳ sự bảo vệ nào với tư cách là một bên liên quan không? Còn về những người nắm giữ nợ công so với nợ tư thì sao?</w:t>
      </w:r>
    </w:p>
    <w:p>
      <w:pPr>
        <w:spacing w:after="80"/>
      </w:pPr>
      <w:r>
        <w:rPr>
          <w:b w:val="0"/>
          <w:i w:val="0"/>
        </w:rPr>
        <w:t>5. Với các bên liên quan trong hội đồng quản trị, có lẽ họ sẽ muốn một phần lớn hơn trong nguồn lực của công ty. Các cổ đông sẽ chỉ được hưởng lợi nếu cách tiếp cận này dẫn đến tăng khả năng sinh lời, với việc chủ sở hữu nhận được nhiều hơn về tổng thể, dù chỉ là một phần nhỏ hơn của một chiếc bánh lớn hơn. Hãy đối chiếu quan điểm của Giáo sư Greenfield và Giáo sư Dent về vấn đề này.</w:t>
      </w:r>
    </w:p>
    <w:p>
      <w:pPr>
        <w:spacing w:after="80"/>
      </w:pPr>
      <w:r>
        <w:rPr>
          <w:b w:val="0"/>
          <w:i w:val="0"/>
        </w:rPr>
        <w:t>6. Giáo sư Dent lưu ý rằng phần lớn phân tích về các bên liên quan tập trung vào người lao động nhưng khi phạm trù này được mở rộng, các "xung đột trở nên rõ ràng và áp đảo." Như thế nào? Điều này cuối cùng có thể được khắc phục hay không, hay nó, suy cho cùng, chính là Gót chân Achilles của bất kỳ mô hình quản trị nào được thiết kế để thúc đẩy lợi ích của các bên liên quan?</w:t>
      </w:r>
    </w:p>
    <w:p>
      <w:pPr>
        <w:spacing w:after="80"/>
      </w:pPr>
      <w:r>
        <w:rPr>
          <w:b w:val="0"/>
          <w:i w:val="0"/>
        </w:rPr>
        <w:t>7. Bất chấp lập luận chu đáo của Giáo sư Greenfield, tác động của một mô hình quản trị theo hướng các bên liên quan phải được xem là không chắc chắn. Liệu Giáo sư Page có đúng khi ông gợi ý rằng với sự thành công của mô hình hiện tại, "chúng ta nên thận trọng với sự thay đổi khi không có những lý do thuyết phục hơn"?</w:t>
      </w:r>
    </w:p>
    <w:p>
      <w:pPr>
        <w:spacing w:after="80"/>
      </w:pPr>
      <w:r>
        <w:rPr>
          <w:b w:val="0"/>
          <w:i w:val="0"/>
        </w:rPr>
        <w:t xml:space="preserve">8. Liệu tất cả các bên liên quan có thực sự muốn có đại diện trong hội đồng quản trị không? Douglas Fraser, chủ tịch của Nghiệp đoàn Công nhân Ô tô Hoa Kỳ (United Automobile Workers), đã tham gia hội đồng quản trị của Chrysler vào năm 1980, trở thành đại diện công đoàn đầu tiên ngồi trong hội đồng quản trị của một tập đoàn lớn của Hoa Kỳ. Giáo sư Dent kết luận rằng, trong mắt một số quan chức công đoàn, việc bổ nhiệm này đã “làm hoen ố” Fraser và rằng các công đoàn đã tỏ ra ít quan tâm đến việc đại diện trong hội đồng quản trị. </w:t>
      </w:r>
      <w:r>
        <w:rPr>
          <w:b w:val="0"/>
          <w:i/>
        </w:rPr>
        <w:t>Xem</w:t>
      </w:r>
      <w:r>
        <w:rPr>
          <w:b w:val="0"/>
          <w:i w:val="0"/>
        </w:rPr>
        <w:t xml:space="preserve"> George W. Dent, Jr., </w:t>
      </w:r>
      <w:r>
        <w:rPr>
          <w:b w:val="0"/>
          <w:i/>
        </w:rPr>
        <w:t>Stakeholder Theory and the Relationships Between Host Communities and Corporations: Stakeholder Governance: A Bad Idea Getting Worse</w:t>
      </w:r>
      <w:r>
        <w:rPr>
          <w:b w:val="0"/>
          <w:i w:val="0"/>
        </w:rPr>
        <w:t xml:space="preserve"> , 58 Case W. Res. L. Rev. 1107 (2008).</w:t>
      </w:r>
    </w:p>
    <w:p>
      <w:pPr>
        <w:spacing w:after="80"/>
      </w:pPr>
      <w:r>
        <w:rPr>
          <w:b w:val="0"/>
          <w:i w:val="0"/>
        </w:rPr>
        <w:t>—————</w:t>
      </w:r>
    </w:p>
    <w:p>
      <w:pPr>
        <w:spacing w:after="80"/>
      </w:pPr>
      <w:r>
        <w:rPr>
          <w:b w:val="0"/>
          <w:i w:val="0"/>
        </w:rPr>
        <w:t>Nhiều bang đã can thiệp vào lĩnh vực này. Họ đã làm như vậy bằng cách can thiệp vào các nghĩa vụ ủy thác (fiduciary duties) của các giám đốc. Họ đã cho phép các hội đồng quản trị xem xét lợi ích của các nhóm không phải cổ đông. Do đó, luật của bang Pennsylvania quy định rằng hội đồng quản trị “có thể, khi xem xét lợi ích tốt nhất của công ty, xem xét ở mức độ họ thấy phù hợp” những điều sau đây:</w:t>
      </w:r>
    </w:p>
    <w:p>
      <w:pPr>
        <w:spacing w:after="80"/>
      </w:pPr>
      <w:r>
        <w:rPr>
          <w:b w:val="0"/>
          <w:i w:val="0"/>
        </w:rPr>
        <w:t>(1) Những ảnh hưởng của bất kỳ hành động nào đối với bất kỳ hoặc tất cả các nhóm bị ảnh hưởng bởi hành động đó, bao gồm cổ đông, thành viên, nhân viên, nhà cung cấp, khách hàng và chủ nợ của công ty, và đối với các cộng đồng nơi có văn phòng hoặc các cơ sở khác của công ty tọa lạc.</w:t>
      </w:r>
    </w:p>
    <w:p>
      <w:pPr>
        <w:spacing w:after="80"/>
      </w:pPr>
      <w:r>
        <w:rPr>
          <w:b w:val="0"/>
          <w:i w:val="0"/>
        </w:rPr>
        <w:t>(2) Những lợi ích ngắn hạn và dài hạn của công ty, bao gồm những lợi ích có thể tích lũy cho công ty từ các kế hoạch dài hạn của nó và khả năng rằng những lợi ích này có thể được phục vụ tốt nhất bằng việc công ty tiếp tục duy trì tính độc lập.</w:t>
      </w:r>
    </w:p>
    <w:p>
      <w:pPr>
        <w:spacing w:after="80"/>
      </w:pPr>
      <w:r>
        <w:rPr>
          <w:b w:val="0"/>
          <w:i w:val="0"/>
        </w:rPr>
        <w:t>(3) Các nguồn lực, ý định và hành vi (trong quá khứ, đã tuyên bố và tiềm tàng) của bất kỳ người nào đang tìm cách giành quyền kiểm soát công ty.</w:t>
      </w:r>
    </w:p>
    <w:p>
      <w:pPr>
        <w:spacing w:after="80"/>
      </w:pPr>
      <w:r>
        <w:rPr>
          <w:b w:val="0"/>
          <w:i w:val="0"/>
        </w:rPr>
        <w:t>(4) Tất cả các yếu tố thích hợp khác.</w:t>
      </w:r>
    </w:p>
    <w:p>
      <w:pPr>
        <w:spacing w:after="80"/>
      </w:pPr>
      <w:r>
        <w:rPr>
          <w:b w:val="0"/>
          <w:i/>
        </w:rPr>
        <w:t>Xem</w:t>
      </w:r>
      <w:r>
        <w:rPr>
          <w:b w:val="0"/>
          <w:i w:val="0"/>
        </w:rPr>
        <w:t xml:space="preserve"> 15 Pa. C. S. § 515(a). Ở một mức độ nào đó, những đạo luật này có thể có tác động triệt để. Chúng không còn yêu cầu rằng các hội đồng quản trị chỉ xem xét lợi ích tốt nhất của cổ đông. Bất chấp ngôn ngữ rộng rãi, một số người đã lập luận rằng các đạo luật này không làm điều đó.</w:t>
      </w:r>
    </w:p>
    <w:p>
      <w:pPr>
        <w:pStyle w:val="Heading4"/>
      </w:pPr>
      <w:r>
        <w:rPr>
          <w:rFonts w:ascii="Calibri" w:hAnsi="Calibri"/>
          <w:b/>
          <w:i w:val="0"/>
          <w:sz w:val="23"/>
        </w:rPr>
        <w:t xml:space="preserve">Ủy ban về Luật Công ty (Committee on Corporate Laws), </w:t>
      </w:r>
      <w:r>
        <w:rPr>
          <w:rFonts w:ascii="Calibri" w:hAnsi="Calibri"/>
          <w:b/>
          <w:i/>
          <w:sz w:val="23"/>
        </w:rPr>
        <w:t>Báo cáo về</w:t>
      </w:r>
      <w:r>
        <w:br/>
      </w:r>
      <w:r>
        <w:rPr>
          <w:rFonts w:ascii="Calibri" w:hAnsi="Calibri"/>
          <w:b/>
          <w:i/>
          <w:sz w:val="23"/>
        </w:rPr>
        <w:t xml:space="preserve"> Các Đạo luật về Các Nhóm Cử tri Khác: Tiềm năng Gây Nhầm lẫn</w:t>
      </w:r>
    </w:p>
    <w:p>
      <w:pPr>
        <w:spacing w:after="80"/>
      </w:pPr>
      <w:r>
        <w:rPr>
          <w:b w:val="0"/>
          <w:i w:val="0"/>
        </w:rPr>
        <w:t>45 Bus. Law. 2253, 2261–63, 2265–66, 2268–70 (1990)</w:t>
      </w:r>
    </w:p>
    <w:p>
      <w:pPr>
        <w:spacing w:after="80"/>
      </w:pPr>
      <w:r>
        <w:rPr>
          <w:b w:val="0"/>
          <w:i w:val="0"/>
        </w:rPr>
        <w:t>Tất cả các đạo luật đều kết hợp một hoặc nhiều điều khoản sau đây:</w:t>
      </w:r>
    </w:p>
    <w:p>
      <w:pPr>
        <w:spacing w:after="80"/>
      </w:pPr>
      <w:r>
        <w:rPr>
          <w:b w:val="0"/>
          <w:i w:val="0"/>
        </w:rPr>
        <w:t>1. Các giám đốc có thể xem xét lợi ích của, hoặc những ảnh hưởng từ hành động của họ đối với, nhiều nhóm cử tri (constituencies) khác nhau không phải cổ đông.</w:t>
      </w:r>
    </w:p>
    <w:p>
      <w:pPr>
        <w:spacing w:after="80"/>
      </w:pPr>
      <w:r>
        <w:rPr>
          <w:b w:val="0"/>
          <w:i w:val="0"/>
        </w:rPr>
        <w:t>2. Những nhóm cử tri này có thể bao gồm nhân viên, khách hàng, chủ nợ, nhà cung cấp và các cộng đồng nơi công ty có cơ sở vật chất.</w:t>
      </w:r>
    </w:p>
    <w:p>
      <w:pPr>
        <w:spacing w:after="80"/>
      </w:pPr>
      <w:r>
        <w:rPr>
          <w:b w:val="0"/>
          <w:i w:val="0"/>
        </w:rPr>
        <w:t>3. Các giám đốc có thể xem xét nền kinh tế quốc gia và tiểu bang cũng như các cân nhắc khác về cộng đồng và xã hội.</w:t>
      </w:r>
    </w:p>
    <w:p>
      <w:pPr>
        <w:spacing w:after="80"/>
      </w:pPr>
      <w:r>
        <w:rPr>
          <w:b w:val="0"/>
          <w:i w:val="0"/>
        </w:rPr>
        <w:t>4. Các giám đốc có thể xem xét lợi ích dài hạn cũng như ngắn hạn của công ty và các cổ đông của nó.</w:t>
      </w:r>
    </w:p>
    <w:p>
      <w:pPr>
        <w:spacing w:after="80"/>
      </w:pPr>
      <w:r>
        <w:rPr>
          <w:b w:val="0"/>
          <w:i w:val="0"/>
        </w:rPr>
        <w:t>5. Các giám đốc có thể xem xét khả năng rằng lợi ích tốt nhất của công ty và các cổ đông của nó có thể được phục vụ tốt nhất bằng việc duy trì tính độc lập.</w:t>
      </w:r>
    </w:p>
    <w:p>
      <w:pPr>
        <w:spacing w:after="80"/>
      </w:pPr>
      <w:r>
        <w:rPr>
          <w:b w:val="0"/>
          <w:i w:val="0"/>
        </w:rPr>
        <w:t>6. Hội đồng quản trị có thể xem xét bất kỳ yếu tố thích hợp nào khác.</w:t>
      </w:r>
    </w:p>
    <w:p>
      <w:pPr>
        <w:spacing w:after="80"/>
      </w:pPr>
      <w:r>
        <w:rPr>
          <w:b w:val="0"/>
          <w:i w:val="0"/>
        </w:rPr>
        <w:t>7. Các cán bộ điều hành cũng có thể được bảo vệ.</w:t>
      </w:r>
    </w:p>
    <w:p>
      <w:pPr>
        <w:spacing w:after="80"/>
      </w:pPr>
      <w:r>
        <w:rPr>
          <w:b w:val="0"/>
          <w:i w:val="0"/>
        </w:rPr>
        <w:t>Trong hầu hết các đạo luật, phần liệt kê các lợi ích mà hội đồng quản trị có thể xem xét đều được giới hạn bởi mệnh đề mở đầu: “. . . khi xem xét lợi ích tốt nhất của công ty. . . .” Ý nghĩa của cụm từ này sẽ được bàn đến dưới đây.</w:t>
      </w:r>
    </w:p>
    <w:p>
      <w:pPr>
        <w:spacing w:after="80"/>
      </w:pPr>
      <w:r>
        <w:rPr>
          <w:b w:val="0"/>
          <w:i w:val="0"/>
        </w:rPr>
        <w:t>* * *</w:t>
      </w:r>
    </w:p>
    <w:p>
      <w:pPr>
        <w:spacing w:after="80"/>
      </w:pPr>
      <w:r>
        <w:rPr>
          <w:b w:val="0"/>
          <w:i/>
        </w:rPr>
        <w:t>PHÂN TÍCH CÁC ĐẠO LUẬT</w:t>
      </w:r>
    </w:p>
    <w:p>
      <w:pPr>
        <w:spacing w:after="80"/>
      </w:pPr>
      <w:r>
        <w:rPr>
          <w:b w:val="0"/>
          <w:i w:val="0"/>
        </w:rPr>
        <w:t>Câu hỏi phân tích then chốt là liệu các đạo luật về các nhóm lợi ích khác này có thực sự tạo ra sự thay đổi trong luật hiện hành của các bang nơi chúng được ban hành hay không; cụ thể hơn, liệu chúng có thay đổi theo bất kỳ cách nào nghĩa vụ trung thành (fiduciary obligation) mà hội đồng quản trị có đối với cổ đông hay không?</w:t>
      </w:r>
    </w:p>
    <w:p>
      <w:pPr>
        <w:spacing w:after="80"/>
      </w:pPr>
      <w:r>
        <w:rPr>
          <w:b w:val="0"/>
          <w:i w:val="0"/>
        </w:rPr>
        <w:t xml:space="preserve">Hầu hết các đạo luật về các nhóm lợi ích khác đều quy định, bằng cách diễn đạt này hay cách khác, rằng hội đồng quản trị </w:t>
      </w:r>
      <w:r>
        <w:rPr>
          <w:b w:val="0"/>
          <w:i/>
        </w:rPr>
        <w:t>khi xem xét lợi ích tốt nhất của công ty</w:t>
      </w:r>
      <w:r>
        <w:rPr>
          <w:b w:val="0"/>
          <w:i w:val="0"/>
        </w:rPr>
        <w:t xml:space="preserve"> [phần nhấn mạnh được thêm vào] có thể tính đến các nhóm lợi ích khác. Cách diễn đạt cổ điển về nghĩa vụ cẩn trọng (duty of care) của hội đồng quản trị có một trong các yếu tố là yêu cầu thành viên hội đồng quản trị thực hiện nhiệm vụ của mình “theo cách mà người đó tin một cách hợp lý là vì lợi ích tốt nhất của công ty.” Phần Bình luận (Commentary) cho mục 4.01 của dự thảo hiện hành ALI Principles of Corporate Governance nêu rằng: “Nhìn chung, các nguyên tắc được nêu trong mục 2.01 và ‘lợi ích tốt nhất của công ty’ (như được nêu trong mục 4.01(a)) sẽ hài hòa với nhau.” Mục 2.01 nêu rằng “[m]ột công ty kinh doanh nên có mục tiêu là tiến hành các hoạt động kinh doanh nhằm nâng cao lợi nhuận của công ty và lợi ích của cổ đông . . .” Phần Bình luận cho mục 2.01 gợi ý rằng đây nhìn chung là một phát biểu về luật hiện hành. Như vậy, “lợi ích tốt nhất của công ty” được đánh đồng với “lợi nhuận của công ty và lợi ích của cổ đông.” Trong một số trường hợp, việc xem xét đến các nhóm lợi ích khác, trừ khi sự xem xét đó phải gắn với lợi ích của cổ đông, có thể dẫn đến những hành động không nhất quán với lợi nhuận của công ty và lợi ích của cổ đông.</w:t>
      </w:r>
    </w:p>
    <w:p>
      <w:pPr>
        <w:spacing w:after="80"/>
      </w:pPr>
      <w:r>
        <w:rPr>
          <w:b w:val="0"/>
          <w:i w:val="0"/>
        </w:rPr>
        <w:t>Khác với các phát biểu tư pháp của Delaware về mức độ mà hội đồng quản trị có thể xem xét lợi ích của các nhóm lợi ích khác, các đạo luật kiểu Illinois không yêu cầu một cách rõ ràng rằng sự xem xét đó phải gắn với lợi ích của cổ đông. Tuy nhiên, nếu cách hiểu về “lợi ích tốt nhất của công ty” được nêu trong ALI Principles of Corporate Governance được chấp nhận, thì yếu tố giới hạn như vậy đã được tích hợp sẵn trong cách diễn đạt luật định điển hình.</w:t>
      </w:r>
    </w:p>
    <w:p>
      <w:pPr>
        <w:spacing w:after="80"/>
      </w:pPr>
      <w:r>
        <w:rPr>
          <w:b w:val="0"/>
          <w:i w:val="0"/>
        </w:rPr>
        <w:t>Một số đạo luật bị giới hạn phạm vi áp dụng đối với việc ra quyết định của hội đồng quản trị trong bối cảnh kiểm soát, nhưng hầu hết, giống như đạo luật Illinois, áp dụng cho toàn bộ phạm vi ra quyết định của hội đồng quản trị. Tuy nhiên, hoàn cảnh mà các đạo luật này được thông qua cho thấy rằng các cơ quan lập pháp ban hành chúng kỳ vọng chúng sẽ có ý nghĩa chính yếu trong các cuộc tranh giành quyền kiểm soát. . . .</w:t>
      </w:r>
    </w:p>
    <w:p>
      <w:pPr>
        <w:spacing w:after="80"/>
      </w:pPr>
      <w:r>
        <w:rPr>
          <w:b w:val="0"/>
          <w:i w:val="0"/>
        </w:rPr>
        <w:t>Vậy vấn đề trở thành liệu luật công ty của các bang, và đặc biệt là việc mở rộng các lợi ích mà hội đồng quản trị có thể xem xét, có tạo thành một cách hiệu quả và đáng mong muốn để cung cấp sự bảo vệ cho các nhóm không phải cổ đông hay không. Ủy ban đã kết luận rằng việc cho phép — chứ chưa nói đến việc buộc — hội đồng quản trị xem xét những lợi ích này mà không gắn sự xem xét đó một cách thích hợp với phúc lợi của cổ đông (như các tòa án Delaware đã làm) sẽ xung đột với trách nhiệm của hội đồng quản trị đối với cổ đông và có thể làm suy yếu hiệu quả của hệ thống đã biến công ty thành một công cụ hiệu quả để tạo ra việc làm và của cải.</w:t>
      </w:r>
    </w:p>
    <w:p>
      <w:pPr>
        <w:spacing w:after="80"/>
      </w:pPr>
      <w:r>
        <w:rPr>
          <w:b w:val="0"/>
          <w:i w:val="0"/>
        </w:rPr>
        <w:t>Ủy ban tin rằng cách giải thích đúng đắn hơn đối với các đạo luật này, và là cách tránh được những hậu quả như vậy, là chúng xác nhận điều mà thông luật (common law) vốn đã là: hội đồng quản trị có thể tính đến lợi ích của các nhóm lợi ích khác nhưng chỉ khi và trong chừng mực mà hội đồng quản trị đang hành động vì lợi ích tốt nhất, cả dài hạn lẫn ngắn hạn, của cổ đông và công ty. Trong khi các tòa án Delaware đã gắn việc xem xét mà hội đồng quản trị có thể dành cho các nhóm lợi ích khác với lợi ích của cổ đông bằng cách nêu rằng phải có “những lợi ích liên quan một cách hợp lý đến cổ đông,” thì rất có thể các tòa án khác sẽ chọn những từ ngữ khác để diễn đạt mối liên hệ này.</w:t>
      </w:r>
    </w:p>
    <w:p>
      <w:pPr>
        <w:spacing w:after="80"/>
      </w:pPr>
      <w:r>
        <w:rPr>
          <w:b w:val="0"/>
          <w:i w:val="0"/>
        </w:rPr>
        <w:t>Sự bối rối của hội đồng quản trị khi cố gắng tuân thủ các đạo luật như vậy, nếu chúng được giải thích là yêu cầu hội đồng quản trị cân bằng lợi ích của các nhóm lợi ích khác nhau mà không dành ưu tiên cho lợi ích của cổ đông, sẽ vô cùng đáng lo ngại. Ngay cả dưới luật hiện hành, đặc biệt là khi hội đồng quản trị phải hành động nhanh chóng, việc các thành viên hội đồng quản trị hành động thiện chí nhận ra đâu là điều vì lợi ích tốt nhất của cổ đông và công ty thường vẫn khó khăn. Nếu hội đồng quản trị được yêu cầu xem xét cả những lợi ích khác, quá trình ra quyết định sẽ trở thành một màn cân bằng hoặc tìm kiếm thỏa hiệp. Khi hội đồng quản trị không chỉ phải quyết định nghĩa vụ trung thành của mình đòi hỏi điều gì, mà còn phải quyết định nghĩa vụ trung thành của mình hướng đến ai (và theo tỷ lệ nào), thì có thể dự đoán sẽ có những quyết định kém hơn.</w:t>
      </w:r>
    </w:p>
    <w:p>
      <w:pPr>
        <w:spacing w:after="80"/>
      </w:pPr>
      <w:r>
        <w:rPr>
          <w:b w:val="0"/>
          <w:i w:val="0"/>
        </w:rPr>
        <w:t>Nếu hội đồng quản trị có, hoặc có thể có, các nghĩa vụ pháp lý được thừa nhận đối với các nhóm lợi ích khác, thì có lẽ một tầng lớp hoặc các tầng lớp nguyên đơn mới sẽ có quyền tiếp cận tòa án để khắc phục những vi phạm được cho là đối với các nghĩa vụ đó hoặc để thách thức việc hội đồng quản trị không tính đến các lợi ích cạnh tranh khác nhau. Việc giải thích các đạo luật này theo hướng hội đồng quản trị có nghĩa vụ có thể bị cưỡng chế thi hành đối với các nhóm lợi ích không phải cổ đông sẽ báo hiệu một sự thay đổi lớn trong các tiền đề nền tảng của luật công ty truyền thống và có thể khiến những ứng viên phù hợp e ngại khi đảm nhận trách nhiệm trong hội đồng quản trị.</w:t>
      </w:r>
    </w:p>
    <w:p>
      <w:pPr>
        <w:spacing w:after="80"/>
      </w:pPr>
      <w:r>
        <w:rPr>
          <w:b w:val="0"/>
          <w:i w:val="0"/>
        </w:rPr>
        <w:t>Hơn nữa, bất kỳ cách diễn đạt nào về nghĩa vụ của thành viên hội đồng quản trị mở rộng chúng đến các nhóm lợi ích khác mà không dành ưu tiên cho lợi ích của cổ đông đều sẽ làm giảm khả năng của cổ đông trong việc giám sát một cách thích đáng hành vi của hội đồng quản trị. Trưởng khoa Robert C. Clark đã nói rằng,</w:t>
      </w:r>
    </w:p>
    <w:p>
      <w:pPr>
        <w:spacing w:after="80"/>
      </w:pPr>
      <w:r>
        <w:rPr>
          <w:b w:val="0"/>
          <w:i w:val="0"/>
        </w:rPr>
        <w:t>[m]ột mục tiêu đơn nhất như tối đa hóa lợi nhuận thì dễ giám sát hơn một mục tiêu đa dạng, được định nghĩa mơ hồ như việc dung hòa một cách công bằng và hợp lý mọi lợi ích bị ảnh hưởng. . . . Giả sử cổ đông có một số cơ chế kiểm soát, thì việc giám sát tốt hơn có nghĩa là các nhà quản lý công ty sẽ được giữ trách nhiệm cao hơn. Họ có nhiều khả năng làm điều mà họ được cho là phải làm và làm điều đó một cách hiệu quả.</w:t>
      </w:r>
    </w:p>
    <w:p>
      <w:pPr>
        <w:spacing w:after="80"/>
      </w:pPr>
      <w:r>
        <w:rPr>
          <w:b w:val="0"/>
          <w:i w:val="0"/>
        </w:rPr>
        <w:t xml:space="preserve">Như đã được chỉ ra gần đây trên </w:t>
      </w:r>
      <w:r>
        <w:rPr>
          <w:b w:val="0"/>
          <w:i/>
        </w:rPr>
        <w:t>Columbia Business Law Review</w:t>
      </w:r>
      <w:r>
        <w:rPr>
          <w:b w:val="0"/>
          <w:i w:val="0"/>
        </w:rPr>
        <w:t xml:space="preserve">, việc tái phân phối của cải là một chức năng mà hội đồng quản trị không đặc biệt phù hợp, và nằm ngoài phạm vi nhiệm vụ mà xã hội được cho là đã giao cho họ. Những sự phân phối của cải như vậy (mà về bản chất chính là việc cân bằng lợi ích của các nhóm lợi ích khác nhau) là những quyết định </w:t>
      </w:r>
      <w:r>
        <w:rPr>
          <w:b w:val="0"/>
          <w:i/>
        </w:rPr>
        <w:t>mang tính chính trị</w:t>
      </w:r>
      <w:r>
        <w:rPr>
          <w:b w:val="0"/>
          <w:i w:val="0"/>
        </w:rPr>
        <w:t>. Nếu không trao các quyền có thể cưỡng chế thi hành cho những người mà lợi ích của họ buộc phải được thừa nhận, thì hội đồng quản trị sẽ không phải chịu trách nhiệm về hành vi của mình khi ưu tiên lợi ích của một nhóm lợi ích này hơn các nhóm khác.</w:t>
      </w:r>
    </w:p>
    <w:p>
      <w:pPr>
        <w:spacing w:after="80"/>
      </w:pPr>
      <w:r>
        <w:rPr>
          <w:b w:val="0"/>
          <w:i w:val="0"/>
        </w:rPr>
        <w:t>Cuối cùng, điều quan trọng cần lưu ý là pháp luật về các bên liên quan khác (other constituencies) củng cố thêm lập luận của những người muốn áp đặt lên các tập đoàn những mục tiêu vượt ra ngoài các cân nhắc kinh doanh truyền thống và động cơ lợi nhuận. Những người ủng hộ việc tăng cường kiểm soát các tập đoàn ở cấp liên bang thường viện dẫn các lợi ích đa dạng mà hoạt động của tập đoàn tác động tới như một cơ sở để thúc giục các cơ quan bên ngoài tập đoàn thực thi nhiều quyền quản trị tập đoàn hơn. Các quy định về các bên liên quan khác có thể tiếp sức cho phong trào này.</w:t>
      </w:r>
    </w:p>
    <w:p>
      <w:pPr>
        <w:pStyle w:val="Heading5"/>
      </w:pPr>
      <w:r>
        <w:rPr>
          <w:rFonts w:ascii="Calibri" w:hAnsi="Calibri"/>
          <w:b/>
          <w:i/>
          <w:sz w:val="22"/>
        </w:rPr>
        <w:t>Bình luận và Câu hỏi</w:t>
      </w:r>
    </w:p>
    <w:p>
      <w:pPr>
        <w:spacing w:after="80"/>
      </w:pPr>
      <w:r>
        <w:rPr>
          <w:b w:val="0"/>
          <w:i w:val="0"/>
        </w:rPr>
        <w:t>1. Trong phạm vi phân tích này là đúng, những loại đạo luật này bổ sung thêm điều gì? Chẳng phải hội đồng quản trị vốn đã có thẩm quyền xem xét bất kỳ lợi ích nào của các bên liên quan nếu điều đó vì lợi ích tốt nhất của tập đoàn và cổ đông hay sao?</w:t>
      </w:r>
    </w:p>
    <w:p>
      <w:pPr>
        <w:spacing w:after="80"/>
      </w:pPr>
      <w:r>
        <w:rPr>
          <w:b w:val="0"/>
          <w:i w:val="0"/>
        </w:rPr>
        <w:t>2. Giả sử những đạo luật này thực sự mở rộng trách nhiệm ủy thác (fiduciary responsibilities) của hội đồng quản trị, bạn có đồng ý rằng những hệ quả kèm theo của việc cân bằng lợi ích giữa các bên liên quan “sẽ vô cùng đáng lo ngại” không? Còn khả năng rằng những nghĩa vụ này “có thể khiến những ứng viên phù hợp e ngại không dám ngồi vào hội đồng quản trị” thì sao? Trong phạm vi những nghĩa vụ này thực sự khiến một số ứng viên e ngại, một công ty có thể làm gì để ứng phó?</w:t>
      </w:r>
    </w:p>
    <w:p>
      <w:pPr>
        <w:spacing w:after="80"/>
      </w:pPr>
      <w:r>
        <w:rPr>
          <w:b w:val="0"/>
          <w:i w:val="0"/>
        </w:rPr>
        <w:t xml:space="preserve">3. Trong một số trường hợp, những đạo luật này yêu cầu phải xem xét các bên liên quan khác, nhưng chỉ trong những tình huống hạn chế. Chẳng hạn, Connecticut yêu cầu phải xem xét nhiều nhóm bên liên quan khác nhau trong một số giao dịch thay đổi quyền kiểm soát nhất định. </w:t>
      </w:r>
      <w:r>
        <w:rPr>
          <w:b w:val="0"/>
          <w:i/>
        </w:rPr>
        <w:t>Xem</w:t>
      </w:r>
      <w:r>
        <w:rPr>
          <w:b w:val="0"/>
          <w:i w:val="0"/>
        </w:rPr>
        <w:t xml:space="preserve"> Conn. Gen. Stat. 33-756(d) (2004) (“một giám đốc . . . khi xác định điều mà người đó tin một cách hợp lý là vì lợi ích tốt nhất của tập đoàn . . . phải xem xét . . . lợi ích của nhân viên, khách hàng, chủ nợ và nhà cung cấp của tập đoàn, và . . . các cân nhắc về cộng đồng và xã hội”). Tính chất bắt buộc của quy định này có thể tác động thế nào đến việc ra quyết định của hội đồng quản trị trong bối cảnh thay đổi quyền kiểm soát?</w:t>
      </w:r>
    </w:p>
    <w:p>
      <w:pPr>
        <w:spacing w:after="80"/>
      </w:pPr>
      <w:r>
        <w:rPr>
          <w:b w:val="0"/>
          <w:i w:val="0"/>
        </w:rPr>
        <w:t>4. Bài viết nêu ra những vấn đề về giám sát. Bài viết lập luận rằng tối đa hóa lợi nhuận, với tư cách là một động cơ duy nhất, thì dễ giám sát hơn so với một loạt các mục tiêu và nghĩa vụ khác. Thực tế thì việc giám sát tối đa hóa lợi nhuận dễ đến mức nào? Tiêu chuẩn này có áp đặt bất kỳ giới hạn có ý nghĩa nào lên hành vi của hội đồng quản trị không?</w:t>
      </w:r>
    </w:p>
    <w:p>
      <w:pPr>
        <w:spacing w:after="80"/>
      </w:pPr>
      <w:r>
        <w:rPr>
          <w:b w:val="0"/>
          <w:i w:val="0"/>
        </w:rPr>
        <w:t>—————</w:t>
      </w:r>
    </w:p>
    <w:p>
      <w:pPr>
        <w:spacing w:after="80"/>
      </w:pPr>
      <w:r>
        <w:rPr>
          <w:b w:val="0"/>
          <w:i w:val="0"/>
        </w:rPr>
        <w:t>Mặc dù thường cho phép hội đồng quản trị xem xét lợi ích của các bên liên quan trong vô số tình huống, những đạo luật này ban đầu ra đời trong bối cảnh các thương vụ thâu tóm tập đoàn. Bằng cách mở rộng nghĩa vụ ủy thác của hội đồng quản trị để bao gồm các bên liên quan, các giám đốc có một tập hợp lý lẽ rộng hơn để phản đối một nỗ lực thâu tóm thù địch.</w:t>
      </w:r>
    </w:p>
    <w:p>
      <w:pPr>
        <w:pStyle w:val="Heading4"/>
      </w:pPr>
      <w:r>
        <w:rPr>
          <w:rFonts w:ascii="Calibri" w:hAnsi="Calibri"/>
          <w:b/>
          <w:i w:val="0"/>
          <w:sz w:val="23"/>
        </w:rPr>
        <w:t>Baron v. Strawbridge &amp; Clothier</w:t>
      </w:r>
    </w:p>
    <w:p>
      <w:pPr>
        <w:spacing w:after="80"/>
      </w:pPr>
      <w:r>
        <w:rPr>
          <w:b w:val="0"/>
          <w:i w:val="0"/>
        </w:rPr>
        <w:t>Tòa án Quận Hoa Kỳ, Quận Đông Pennsylvania</w:t>
      </w:r>
      <w:r>
        <w:br/>
      </w:r>
      <w:r>
        <w:rPr>
          <w:b w:val="0"/>
          <w:i w:val="0"/>
        </w:rPr>
        <w:t xml:space="preserve"> 646 F. Supp. 690 (1986)</w:t>
      </w:r>
    </w:p>
    <w:p>
      <w:pPr>
        <w:spacing w:after="80"/>
      </w:pPr>
      <w:r>
        <w:rPr>
          <w:b w:val="0"/>
          <w:i w:val="0"/>
        </w:rPr>
        <w:t>THẨM PHÁN KELLY :</w:t>
      </w:r>
    </w:p>
    <w:p>
      <w:pPr>
        <w:spacing w:after="80"/>
      </w:pPr>
      <w:r>
        <w:rPr>
          <w:b w:val="0"/>
          <w:i w:val="0"/>
        </w:rPr>
        <w:t>BỐI CẢNH THỰC TẾ VÀ CÁC PHÁT HIỆN</w:t>
      </w:r>
    </w:p>
    <w:p>
      <w:pPr>
        <w:spacing w:after="80"/>
      </w:pPr>
      <w:r>
        <w:rPr>
          <w:b w:val="0"/>
          <w:i w:val="0"/>
        </w:rPr>
        <w:t>Bị đơn Strawbridge &amp; Clothier là một tập đoàn được thành lập theo pháp luật Pennsylvania với trụ sở chính tại Philadelphia, Pennsylvania. Mặc dù cổ phiếu của Strawbridge &amp; Clothier đã được nắm giữ đại chúng từ những năm 1930, khoảng 40% cổ phần của công ty vẫn tiếp tục được sở hữu trực tiếp hoặc hưởng lợi bởi con cháu của hai nhà sáng lập, Justus C. Strawbridge và Isaac H. Clothier. Năm thành viên thuộc thế hệ thứ ba và thứ tư của gia đình Strawbridge đang làm việc toàn thời gian trong ban quản lý của Công ty, và những hậu duệ khác của Strawbridge, cùng với một hậu duệ của Clothier, giữ vai trò giám đốc. Hội đồng Quản trị của Công ty (“hội đồng quản trị”) gồm mười hai cá nhân (các bị đơn cá nhân trong vụ kiện này), mười một người trong số đó là các quan chức cấp cao đương nhiệm hoặc nguyên nhiệm của công ty hoặc người thân của họ.</w:t>
      </w:r>
    </w:p>
    <w:p>
      <w:pPr>
        <w:spacing w:after="80"/>
      </w:pPr>
      <w:r>
        <w:rPr>
          <w:b w:val="0"/>
          <w:i w:val="0"/>
        </w:rPr>
        <w:t>Trong thập kỷ qua, nhiều chuỗi bán lẻ đã bị các chuỗi hoặc tập đoàn quốc gia hay quốc tế thâu tóm. Strawbridge &amp; Clothier đã tránh được xu hướng này. Ban quản lý của Công ty (“ban quản lý”) và hội đồng quản trị coi sự độc lập này là yếu tố chủ đạo dẫn đến thành công của công ty. Mỗi quản lý và giám đốc làm chứng trong vụ việc này đều nhấn mạnh rằng theo quan điểm của họ, sự độc lập của công ty là tài sản quý giá nhất. Hai lý do được nhắc đi nhắc lại để ủng hộ kết luận này: rằng ảnh hưởng của ban quản lý gia đình địa phương, liên tục (1) nuôi dưỡng một mối quan hệ độc đáo, dựa trên lòng trung thành và sự tận tụy, giữa nhân viên và quản lý của công ty, và (2) giúp Công ty có thể tái đầu tư lợi nhuận vào hoạt động kinh doanh và chọn tăng trưởng dài hạn lớn hơn thay vì lợi nhuận ngắn hạn nhỏ hơn, tức thời hơn. Một nhân chứng chuyên gia trong ngành bán lẻ, người không có liên hệ với Công ty, cũng làm chứng về những lợi ích này của ban quản lý địa phương, độc lập.</w:t>
      </w:r>
    </w:p>
    <w:p>
      <w:pPr>
        <w:spacing w:after="80"/>
      </w:pPr>
      <w:r>
        <w:rPr>
          <w:b w:val="0"/>
          <w:i w:val="0"/>
        </w:rPr>
        <w:t>Nguyên đơn Ronald Baron, một cư dân và công dân của New York, và nguyên đơn BCI, một tập đoàn New York, đều đã sở hữu cổ phiếu phổ thông của Strawbridge &amp; Clothier liên tục trong bốn năm qua. Nguyên đơn Berry, một tập đoàn được thành lập theo pháp luật Delaware với trụ sở chính tại New York, được thành lập vào năm 1986 nhằm mục đích thực hiện một đề nghị chào mua (tender offer) cổ phiếu của Strawbridge &amp; Clothier.</w:t>
      </w:r>
    </w:p>
    <w:p>
      <w:pPr>
        <w:spacing w:after="80"/>
      </w:pPr>
      <w:r>
        <w:rPr>
          <w:b w:val="0"/>
          <w:i w:val="0"/>
        </w:rPr>
        <w:t>Năm 1984, ban quản lý nhận thấy rằng Ronald Baron đang tiến hành một nỗ lực hoặc là thâu tóm Công ty hoặc là “đưa công ty vào thế bị mua” và khiến cổ phần của ông ta có thể được bán với giá cao. Những bước đi ban đầu của Baron bao gồm các yêu cầu rằng Công ty phải bán tháo hoặc thế chấp các tài sản quan trọng, rằng Công ty phải xem xét việc bán lại cho một bên thứ ba, và rằng Baron phải được bổ nhiệm làm giám đốc. Baron cũng công khai tuyên bố rằng ông ta coi Công ty “chín muồi cho một thương vụ thâu tóm.”</w:t>
      </w:r>
    </w:p>
    <w:p>
      <w:pPr>
        <w:spacing w:after="80"/>
      </w:pPr>
      <w:r>
        <w:rPr>
          <w:b w:val="0"/>
          <w:i w:val="0"/>
        </w:rPr>
        <w:t>Ban lãnh đạo đề xuất với các cổ đông rằng họ phê duyệt nhiều biện pháp khác nhau nhằm ngăn chặn một cuộc thâu tóm thù địch. Những biện pháp này (“các đề xuất năm 1984”) bao gồm việc loại bỏ bỏ phiếu tích lũy; tăng tỷ lệ phần trăm cổ phần cần thiết để triệu tập một cuộc họp cổ đông bất thường; yêu cầu phải có hai phần ba cổ đông phê duyệt đối với các hành động không do đa số hội đồng quản trị đề xuất; và yêu cầu rằng các ứng viên được bầu vào hội đồng quản trị phải được đề cử ít nhất 45 ngày trước một cuộc họp cổ đông. Mục đích “chống thâu tóm” của những đề xuất này đã được công bố trong tài liệu ủy quyền năm 1984. Ban lãnh đạo đã lên kế hoạch cho những đề xuất này từ một thời gian trước đó, nhưng đã đẩy nhanh việc trình bày chúng để đối phó trực tiếp với mối đe dọa do các hoạt động của Baron gây ra; điều này cũng đã được công bố đầy đủ trong tài liệu ủy quyền. Tất cả các đề xuất chống thâu tóm đều đã được các cổ đông phê duyệt tại một cuộc họp bất thường tổ chức vào ngày 10 tháng 4 năm 1984.</w:t>
      </w:r>
    </w:p>
    <w:p>
      <w:pPr>
        <w:spacing w:after="80"/>
      </w:pPr>
      <w:r>
        <w:rPr>
          <w:b w:val="0"/>
          <w:i w:val="0"/>
        </w:rPr>
        <w:t>Sau đó, Baron đưa ra những lời đề nghị khác, đỉnh điểm là lời đề nghị mua lại (tender offer) của Berry vào ngày 21 tháng 4 năm 1986 (“lời đề nghị mua lại”). Lời đề nghị mua lại có cấu trúc hai tầng: nó đề xuất mua hai phần ba cổ phiếu phổ thông đang lưu hành của Công ty với giá $60 mỗi cổ phiếu và tổng giá mua là $276.25 triệu; nếu thành công, bên mua dự định sau đó sẽ mua lại các cổ đông còn lại bằng tiền mặt, hoặc bằng chứng khoán nợ với các điều khoản không được xác định rõ.</w:t>
      </w:r>
    </w:p>
    <w:p>
      <w:pPr>
        <w:spacing w:after="80"/>
      </w:pPr>
      <w:r>
        <w:rPr>
          <w:b w:val="0"/>
          <w:i w:val="0"/>
        </w:rPr>
        <w:t xml:space="preserve">2. </w:t>
      </w:r>
      <w:r>
        <w:rPr>
          <w:b w:val="0"/>
          <w:i/>
        </w:rPr>
        <w:t>Kế hoạch tái phân loại, và các hành động chống thâu tóm khác, phục vụ cho các mục đích doanh nghiệp chính đáng</w:t>
      </w:r>
    </w:p>
    <w:p>
      <w:pPr>
        <w:spacing w:after="80"/>
      </w:pPr>
      <w:r>
        <w:rPr>
          <w:b w:val="0"/>
          <w:i w:val="0"/>
        </w:rPr>
        <w:t>Công ty đã phải đối mặt với một mối đe dọa mang tính tổng quát, kéo dài từ năm 1984, đối với các chính sách doanh nghiệp lâu đời của mình. Lời khai đã cho thấy rằng nguyên đơn Ronald Baron bất đồng căn bản với gần như mọi quyết định quản lý quan trọng mà Công ty đưa ra. Công ty cũng phải đối mặt với một mối đe dọa cụ thể đối với các chính sách doanh nghiệp của mình dưới hình thức lời đề nghị mua lại hai tầng của Berry. Công ty và các giám đốc của nó đã xử lý những mối đe dọa này một cách đúng đắn, mà không vi phạm nghĩa vụ ủy thác đối với cổ đông. Hội đồng quản trị đã hành động với sự cân nhắc và cẩn trọng đúng mức, và không hành động vội vàng. Việc công ty xem xét những tác động mà lời đề nghị mua lại của Berry sẽ gây ra, nếu thành công, đối với nhân viên, khách hàng và cộng đồng của Công ty là hoàn toàn hợp lý. Pa. Stat. Ann. tit. 15 § 1408 (Purdon 1967 + Supp.). Công ty kết luận rằng những tác động này sẽ gây bất lợi cho sự thành công của mình.</w:t>
      </w:r>
    </w:p>
    <w:p>
      <w:pPr>
        <w:spacing w:after="80"/>
      </w:pPr>
      <w:r>
        <w:rPr>
          <w:b w:val="0"/>
          <w:i w:val="0"/>
        </w:rPr>
        <w:t>Công ty đã mời các chuyên gia đưa ra đánh giá tài chính về lời đề nghị. Các chuyên gia kết luận rằng lời đề nghị này là không thỏa đáng về mặt tài chính. Theo luật của bang Pennsylvania, cũng như ở các khu vực tài phán khác, Enterra Corp. v. SGS Associates, 600 F. Supp. 678, 686 (E.D. Pa. 1985), nghĩa vụ ủy thác của các giám đốc công ty “phải hành động vì lợi ích tốt nhất của các cổ đông công ty . . . đòi hỏi các giám đốc phải cố gắng ngăn chặn những cuộc thâu tóm mà [theo phán đoán của họ] sẽ gây hại cho công ty mục tiêu,” và “các giám đốc có nghĩa vụ phản đối những lời đề nghị mua lại được coi là ‘gây bất lợi cho sự thịnh vượng của công ty ngay cả khi sự [phản đối] đó phải trả giá bằng lợi ích ngắn hạn của các cổ đông cá nhân.’”</w:t>
      </w:r>
    </w:p>
    <w:p>
      <w:pPr>
        <w:spacing w:after="80"/>
      </w:pPr>
      <w:r>
        <w:rPr>
          <w:b w:val="0"/>
          <w:i w:val="0"/>
        </w:rPr>
        <w:t>Các đề xuất phòng thủ và các phương án thay thế đã được xem xét trong nhiều tháng. Bằng chứng cho thấy rằng Hội đồng Quản trị đã xem xét và bác bỏ cái gọi là kế hoạch quyền “viên thuốc độc” (poison pill) vì cho rằng nó không công bằng, và cũng quyết định không theo đuổi kế hoạch bỏ phiếu “theo giai đoạn thời gian”, một phần vì các cổ đông sẽ không có sự lựa chọn như loại mà kế hoạch tái phân loại hiện tại mang lại. Ý kiến tư vấn độc lập của chuyên gia cũng đã được mời để cung cấp phân tích về các kế hoạch khác nhau, cũng như phân tích về tác động của kế hoạch tái phân loại được đề xuất đối với giá cổ phiếu. Tóm lại, Công ty đã cân nhắc lợi ích của tất cả các cổ đông khi phản ứng trước các mối đe dọa thâu tóm do các nguyên đơn đặt ra, và các phản ứng của Công ty, bao gồm kế hoạch tái phân loại được đề xuất, đều phục vụ cho các mục đích doanh nghiệp chính đáng.</w:t>
      </w:r>
    </w:p>
    <w:p>
      <w:pPr>
        <w:spacing w:after="80"/>
      </w:pPr>
      <w:r>
        <w:rPr>
          <w:b w:val="0"/>
          <w:i w:val="0"/>
        </w:rPr>
        <w:t>Bằng chứng cho thấy rằng các giám đốc ý thức được nghĩa vụ của mình là phải xem xét từng nỗ lực thâu tóm trong tương lai từ bên ngoài, bao gồm các lời đề nghị mua lại, dựa trên giá trị thực chất của chúng, và việc các nguyên đơn dựa vào những phần trích dẫn riêng lẻ trong lời khai của hai giám đốc được bầu gần đây nhất đã không chứng minh được điều ngược lại.</w:t>
      </w:r>
    </w:p>
    <w:p>
      <w:pPr>
        <w:pStyle w:val="Heading5"/>
      </w:pPr>
      <w:r>
        <w:rPr>
          <w:rFonts w:ascii="Calibri" w:hAnsi="Calibri"/>
          <w:b/>
          <w:i/>
          <w:sz w:val="22"/>
        </w:rPr>
        <w:t>Bình luận và Câu hỏi</w:t>
      </w:r>
    </w:p>
    <w:p>
      <w:pPr>
        <w:spacing w:after="80"/>
      </w:pPr>
      <w:r>
        <w:rPr>
          <w:b w:val="0"/>
          <w:i w:val="0"/>
        </w:rPr>
        <w:t xml:space="preserve">1. Các đạo luật về các bên liên quan (constituency statutes) không ra đời từ một sự xem xét lại toàn diện về nghĩa vụ ủy thác của các giám đốc và nhu cầu bảo vệ các bên liên quan. Chúng chủ yếu xuất hiện trong thời kỳ thâu tóm thù địch vào những năm 1980 và được thiết kế để tạo điều kiện cho ban lãnh đạo có khả năng cản trở các cuộc thâu tóm. Như một tòa án đã lưu ý, đạo luật của bang Pennsylvania, đạo luật về các bên liên quan đầu tiên, đã được thông qua “[đ]ể phản ứng trước sự gia tăng của các đề nghị thâu tóm thù địch.” </w:t>
      </w:r>
      <w:r>
        <w:rPr>
          <w:b w:val="0"/>
          <w:i/>
        </w:rPr>
        <w:t>Stilwell Value Partners I, L.P. v. Prudential Mutual Holding Co., et al.</w:t>
      </w:r>
      <w:r>
        <w:rPr>
          <w:b w:val="0"/>
          <w:i w:val="0"/>
        </w:rPr>
        <w:t xml:space="preserve"> , 2007 U.S. Dist. LEXIS 59653 (E.D. Pa., Aug. 15, 2007).</w:t>
      </w:r>
    </w:p>
    <w:p>
      <w:pPr>
        <w:spacing w:after="80"/>
      </w:pPr>
      <w:r>
        <w:rPr>
          <w:b w:val="0"/>
          <w:i w:val="0"/>
        </w:rPr>
        <w:t>2. Các bên liên quan có thể bị tổn hại như thế nào trong một nỗ lực thâu tóm thù địch? Liệu có bất kỳ cuộc thâu tóm thù địch nào mà không gây tác động bất lợi cho ít nhất một số bên liên quan không? Giả sử điều này là đúng, thì nó thực sự mang lại cho ban lãnh đạo loại quyền tự quyết nào trong việc chống lại một cuộc thâu tóm?</w:t>
      </w:r>
    </w:p>
    <w:p>
      <w:pPr>
        <w:spacing w:after="80"/>
      </w:pPr>
      <w:r>
        <w:rPr>
          <w:b w:val="0"/>
          <w:i w:val="0"/>
        </w:rPr>
        <w:t>3. Đạo luật đóng vai trò gì trong vụ án này? Xét đến sự phát triển của pháp luật kể từ đó (đặc biệt là liên quan đến các kế hoạch viên thuốc độc), những loại đạo luật này có khả năng đóng vai trò gì trong bối cảnh thâu tóm thù địch?</w:t>
      </w:r>
    </w:p>
    <w:p>
      <w:pPr>
        <w:spacing w:after="80"/>
      </w:pPr>
      <w:r>
        <w:rPr>
          <w:b w:val="0"/>
          <w:i w:val="0"/>
        </w:rPr>
        <w:t>—————</w:t>
      </w:r>
    </w:p>
    <w:p>
      <w:pPr>
        <w:spacing w:after="80"/>
      </w:pPr>
      <w:r>
        <w:rPr>
          <w:b w:val="0"/>
          <w:i w:val="0"/>
        </w:rPr>
        <w:t xml:space="preserve">Một cách tiếp cận khác là cho phép thành lập các thực thể có hội đồng quản trị mà mục đích độc quyền không còn chỉ là lợi ích của các cổ đông. Một số bang, bao gồm Delaware, đã thông qua các đạo luật cho phép thành lập các Công ty Vì Lợi ích (Benefit Corporations). Các công ty vì lợi ích bắt buộc hội đồng quản trị phải xem xét lợi ích của một số bên liên quan không phải là cổ đông. Do đó, trong những loại thực thể này, “khái niệm về tính tối thượng của cổ đông biến mất . . .” Celia R. Taylor, </w:t>
      </w:r>
      <w:r>
        <w:rPr>
          <w:b w:val="0"/>
          <w:i/>
        </w:rPr>
        <w:t>Berle and Social Businesses: A Consideration</w:t>
      </w:r>
      <w:r>
        <w:rPr>
          <w:b w:val="0"/>
          <w:i w:val="0"/>
        </w:rPr>
        <w:t xml:space="preserve"> , 34 Seattle U. L. Rev. 1501, 1507 (2011).</w:t>
      </w:r>
    </w:p>
    <w:p>
      <w:pPr>
        <w:pStyle w:val="Heading4"/>
      </w:pPr>
      <w:r>
        <w:rPr>
          <w:rFonts w:ascii="Calibri" w:hAnsi="Calibri"/>
          <w:b/>
          <w:i w:val="0"/>
          <w:sz w:val="23"/>
        </w:rPr>
        <w:t xml:space="preserve">Joseph Karl Grant, </w:t>
      </w:r>
      <w:r>
        <w:rPr>
          <w:rFonts w:ascii="Calibri" w:hAnsi="Calibri"/>
          <w:b/>
          <w:i/>
          <w:sz w:val="23"/>
        </w:rPr>
        <w:t>When Making Money and</w:t>
      </w:r>
      <w:r>
        <w:br/>
      </w:r>
      <w:r>
        <w:rPr>
          <w:rFonts w:ascii="Calibri" w:hAnsi="Calibri"/>
          <w:b/>
          <w:i/>
          <w:sz w:val="23"/>
        </w:rPr>
        <w:t xml:space="preserve"> Making a Sustainable and Societal Difference Collide:</w:t>
      </w:r>
      <w:r>
        <w:br/>
      </w:r>
      <w:r>
        <w:rPr>
          <w:rFonts w:ascii="Calibri" w:hAnsi="Calibri"/>
          <w:b/>
          <w:i/>
          <w:sz w:val="23"/>
        </w:rPr>
        <w:t xml:space="preserve"> Will Benefit Corporations Succeed or Fail?</w:t>
      </w:r>
    </w:p>
    <w:p>
      <w:pPr>
        <w:spacing w:after="80"/>
      </w:pPr>
      <w:r>
        <w:rPr>
          <w:b w:val="0"/>
          <w:i w:val="0"/>
        </w:rPr>
        <w:t>46 Ind. L. Rev. 581 (2013)</w:t>
      </w:r>
    </w:p>
    <w:p>
      <w:pPr>
        <w:spacing w:after="80"/>
      </w:pPr>
      <w:r>
        <w:rPr>
          <w:b w:val="0"/>
          <w:i w:val="0"/>
        </w:rPr>
        <w:t>II. Các Công ty Vì Lợi ích: Bức tranh toàn cảnh về đạo luật mẫu</w:t>
      </w:r>
    </w:p>
    <w:p>
      <w:pPr>
        <w:spacing w:after="80"/>
      </w:pPr>
      <w:r>
        <w:rPr>
          <w:b w:val="0"/>
          <w:i w:val="0"/>
        </w:rPr>
        <w:t>Các công ty vì lợi ích (benefit corporation) rất giống với các công ty cổ phần thông thường, nhưng chúng khác với những người anh em truyền thống ở bốn điểm chính. Thứ nhất, phần mục đích trong Điều lệ thành lập (Articles of Incorporation) yêu cầu những nội dung cụ thể mà không có trong các phần mục đích truyền thống. Thứ hai, Điều lệ thành lập của các công ty vì lợi ích được luật quy định bắt buộc phải có một mức độ trách nhiệm giải trình cụ thể đối với một số bên liên quan nhất định mà hầu hết các bộ luật công ty truyền thống không có. Thứ ba, các công ty vì lợi ích có những yêu cầu minh bạch riêng mà chưa từng thấy trong các bộ luật công ty truyền thống. Cuối cùng, các quyền khởi kiện cụ thể được trao cho những bên liên quan nhất định dựa trên việc vi phạm điều lệ của công ty vì lợi ích.</w:t>
      </w:r>
    </w:p>
    <w:p>
      <w:pPr>
        <w:spacing w:after="80"/>
      </w:pPr>
      <w:r>
        <w:rPr>
          <w:b w:val="0"/>
          <w:i w:val="0"/>
        </w:rPr>
        <w:t>Các công ty mới thành lập có thể chọn được công nhận là công ty vì lợi ích. Các công ty hiện hữu có thể trở thành công ty vì lợi ích theo các thủ tục được quy định: sửa đổi điều lệ thành lập bằng biểu quyết của hai phần ba cổ đông.</w:t>
      </w:r>
    </w:p>
    <w:p>
      <w:pPr>
        <w:spacing w:after="80"/>
      </w:pPr>
      <w:r>
        <w:rPr>
          <w:b w:val="0"/>
          <w:i w:val="0"/>
        </w:rPr>
        <w:t>A. Mục đích</w:t>
      </w:r>
    </w:p>
    <w:p>
      <w:pPr>
        <w:spacing w:after="80"/>
      </w:pPr>
      <w:r>
        <w:rPr>
          <w:b w:val="0"/>
          <w:i w:val="0"/>
        </w:rPr>
        <w:t>Pennsylvania là một ví dụ điển hình về việc một bang gần đây đã thông qua Luật Mẫu về Công ty Vì lợi ích (Model Benefit Corporation Legislation). Để thành lập một công ty vì lợi ích ở Pennsylvania, những người thành lập được yêu cầu phải quy định những điều sau trong Điều lệ thành lập:</w:t>
      </w:r>
    </w:p>
    <w:p>
      <w:pPr>
        <w:spacing w:after="80"/>
      </w:pPr>
      <w:r>
        <w:rPr>
          <w:b w:val="0"/>
          <w:i w:val="0"/>
        </w:rPr>
        <w:t xml:space="preserve">(a) “Công ty </w:t>
      </w:r>
      <w:r>
        <w:rPr>
          <w:b w:val="0"/>
          <w:i/>
        </w:rPr>
        <w:t>phải có mục đích tạo ra lợi ích công cộng chung</w:t>
      </w:r>
      <w:r>
        <w:rPr>
          <w:b w:val="0"/>
          <w:i w:val="0"/>
        </w:rPr>
        <w:t>;”</w:t>
      </w:r>
    </w:p>
    <w:p>
      <w:pPr>
        <w:spacing w:after="80"/>
      </w:pPr>
      <w:r>
        <w:rPr>
          <w:b w:val="0"/>
          <w:i w:val="0"/>
        </w:rPr>
        <w:t>(b) Công ty có quyền đặt tên cho “một hoặc nhiều mục đích lợi ích công cộng cụ thể”; và</w:t>
      </w:r>
    </w:p>
    <w:p>
      <w:pPr>
        <w:spacing w:after="80"/>
      </w:pPr>
      <w:r>
        <w:rPr>
          <w:b w:val="0"/>
          <w:i w:val="0"/>
        </w:rPr>
        <w:t>(c) “Việc tạo ra lợi ích công cộng chung và lợi ích công cộng cụ thể. . . . [phải] vì lợi ích tốt nhất của công ty vì lợi ích.”</w:t>
      </w:r>
    </w:p>
    <w:p>
      <w:pPr>
        <w:spacing w:after="80"/>
      </w:pPr>
      <w:r>
        <w:rPr>
          <w:b w:val="0"/>
          <w:i w:val="0"/>
        </w:rPr>
        <w:t>Ở mức tối thiểu, một công ty vì lợi ích phải có một “lợi ích công cộng chung.” “Lợi ích công cộng chung” nghĩa là công ty phải có “[tác động tích cực] thiết thực đối với xã hội và môi trường, xét một cách tổng thể” thông qua “hoạt động của công ty vì lợi ích” được đo lường bằng “một tiêu chuẩn của bên thứ ba,” thông qua các hoạt động thúc đẩy một số kết hợp của các lợi ích công cộng cụ thể. Ngoài ra, và theo lựa chọn của công ty vì lợi ích, công ty có thể theo đuổi một “mục đích lợi ích công cộng cụ thể,” có thể bao gồm những điều sau:</w:t>
      </w:r>
    </w:p>
    <w:p>
      <w:pPr>
        <w:spacing w:after="80"/>
      </w:pPr>
      <w:r>
        <w:rPr>
          <w:b w:val="0"/>
          <w:i w:val="0"/>
        </w:rPr>
        <w:t>(1) cung cấp các sản phẩm hoặc dịch vụ có lợi cho các cá nhân hoặc cộng đồng có thu nhập thấp hoặc ít được phục vụ;</w:t>
      </w:r>
    </w:p>
    <w:p>
      <w:pPr>
        <w:spacing w:after="80"/>
      </w:pPr>
      <w:r>
        <w:rPr>
          <w:b w:val="0"/>
          <w:i w:val="0"/>
        </w:rPr>
        <w:t>(2) thúc đẩy cơ hội kinh tế cho các cá nhân hoặc cộng đồng vượt ra ngoài việc tạo ra việc làm trong quá trình kinh doanh thông thường;</w:t>
      </w:r>
    </w:p>
    <w:p>
      <w:pPr>
        <w:spacing w:after="80"/>
      </w:pPr>
      <w:r>
        <w:rPr>
          <w:b w:val="0"/>
          <w:i w:val="0"/>
        </w:rPr>
        <w:t>(3) bảo vệ hoặc phục hồi môi trường;</w:t>
      </w:r>
    </w:p>
    <w:p>
      <w:pPr>
        <w:spacing w:after="80"/>
      </w:pPr>
      <w:r>
        <w:rPr>
          <w:b w:val="0"/>
          <w:i w:val="0"/>
        </w:rPr>
        <w:t>(4) cải thiện sức khỏe con người;</w:t>
      </w:r>
    </w:p>
    <w:p>
      <w:pPr>
        <w:spacing w:after="80"/>
      </w:pPr>
      <w:r>
        <w:rPr>
          <w:b w:val="0"/>
          <w:i w:val="0"/>
        </w:rPr>
        <w:t>(5) thúc đẩy nghệ thuật, khoa học hoặc sự tiến bộ của tri thức;</w:t>
      </w:r>
    </w:p>
    <w:p>
      <w:pPr>
        <w:spacing w:after="80"/>
      </w:pPr>
      <w:r>
        <w:rPr>
          <w:b w:val="0"/>
          <w:i w:val="0"/>
        </w:rPr>
        <w:t>(6) tăng dòng vốn chảy vào các thực thể có mục đích mang lại lợi ích cho xã hội hoặc môi trường; và</w:t>
      </w:r>
    </w:p>
    <w:p>
      <w:pPr>
        <w:spacing w:after="80"/>
      </w:pPr>
      <w:r>
        <w:rPr>
          <w:b w:val="0"/>
          <w:i w:val="0"/>
        </w:rPr>
        <w:t>(7) mang lại bất kỳ lợi ích cụ thể nào khác cho xã hội hoặc môi trường.</w:t>
      </w:r>
    </w:p>
    <w:p>
      <w:pPr>
        <w:spacing w:after="80"/>
      </w:pPr>
      <w:r>
        <w:rPr>
          <w:b w:val="0"/>
          <w:i w:val="0"/>
        </w:rPr>
        <w:t>B. Trách nhiệm giải trình</w:t>
      </w:r>
    </w:p>
    <w:p>
      <w:pPr>
        <w:spacing w:after="80"/>
      </w:pPr>
      <w:r>
        <w:rPr>
          <w:b w:val="0"/>
          <w:i w:val="0"/>
        </w:rPr>
        <w:t>Các tiêu chuẩn trách nhiệm giải trình mà giám đốc của các công ty vì lợi ích (benefit corporation) phải đáp ứng bao gồm những điều sau:</w:t>
      </w:r>
    </w:p>
    <w:p>
      <w:pPr>
        <w:spacing w:after="80"/>
      </w:pPr>
      <w:r>
        <w:rPr>
          <w:b w:val="0"/>
          <w:i w:val="0"/>
        </w:rPr>
        <w:t>Khi thực hiện nghĩa vụ ở vị trí tương ứng của mình và khi xem xét lợi ích tốt nhất của công ty vì lợi ích, hội đồng quản trị, các ủy ban của hội đồng quản trị và từng giám đốc của một công ty vì lợi ích, khi xem xét lợi ích của công ty vì lợi ích:</w:t>
      </w:r>
    </w:p>
    <w:p>
      <w:pPr>
        <w:spacing w:after="80"/>
      </w:pPr>
      <w:r>
        <w:rPr>
          <w:b w:val="0"/>
          <w:i w:val="0"/>
        </w:rPr>
        <w:t>(1) phải xem xét tác động của bất kỳ hành động nào đối với:</w:t>
      </w:r>
    </w:p>
    <w:p>
      <w:pPr>
        <w:spacing w:after="80"/>
      </w:pPr>
      <w:r>
        <w:rPr>
          <w:b w:val="0"/>
          <w:i w:val="0"/>
        </w:rPr>
        <w:t>(i) các cổ đông của công ty vì lợi ích;</w:t>
      </w:r>
    </w:p>
    <w:p>
      <w:pPr>
        <w:spacing w:after="80"/>
      </w:pPr>
      <w:r>
        <w:rPr>
          <w:b w:val="0"/>
          <w:i w:val="0"/>
        </w:rPr>
        <w:t>(ii) nhân viên và lực lượng lao động của công ty vì lợi ích, các công ty con và các nhà cung cấp của nó;</w:t>
      </w:r>
    </w:p>
    <w:p>
      <w:pPr>
        <w:spacing w:after="80"/>
      </w:pPr>
      <w:r>
        <w:rPr>
          <w:b w:val="0"/>
          <w:i w:val="0"/>
        </w:rPr>
        <w:t>(iii) lợi ích của khách hàng với tư cách là người thụ hưởng các mục đích lợi ích công cộng chung hoặc lợi ích công cộng cụ thể của công ty vì lợi ích;</w:t>
      </w:r>
    </w:p>
    <w:p>
      <w:pPr>
        <w:spacing w:after="80"/>
      </w:pPr>
      <w:r>
        <w:rPr>
          <w:b w:val="0"/>
          <w:i w:val="0"/>
        </w:rPr>
        <w:t>(iv) các yếu tố cộng đồng và xã hội, bao gồm các yếu tố của mỗi cộng đồng nơi đặt văn phòng hoặc cơ sở của công ty vì lợi ích, các công ty con hoặc các nhà cung cấp của nó;</w:t>
      </w:r>
    </w:p>
    <w:p>
      <w:pPr>
        <w:spacing w:after="80"/>
      </w:pPr>
      <w:r>
        <w:rPr>
          <w:b w:val="0"/>
          <w:i w:val="0"/>
        </w:rPr>
        <w:t>(v) môi trường địa phương và toàn cầu;</w:t>
      </w:r>
    </w:p>
    <w:p>
      <w:pPr>
        <w:spacing w:after="80"/>
      </w:pPr>
      <w:r>
        <w:rPr>
          <w:b w:val="0"/>
          <w:i w:val="0"/>
        </w:rPr>
        <w:t>(vi) lợi ích ngắn hạn và dài hạn của công ty vì lợi ích, bao gồm những lợi ích có thể phát sinh cho công ty vì lợi ích từ các kế hoạch dài hạn của nó và khả năng rằng những lợi ích này có thể được phục vụ tốt nhất bằng việc duy trì tính độc lập của công ty vì lợi ích; và</w:t>
      </w:r>
    </w:p>
    <w:p>
      <w:pPr>
        <w:spacing w:after="80"/>
      </w:pPr>
      <w:r>
        <w:rPr>
          <w:b w:val="0"/>
          <w:i w:val="0"/>
        </w:rPr>
        <w:t>(vii) khả năng của công ty vì lợi ích trong việc hoàn thành mục đích lợi ích công cộng chung và bất kỳ mục đích lợi ích công cộng cụ thể nào; và</w:t>
      </w:r>
    </w:p>
    <w:p>
      <w:pPr>
        <w:spacing w:after="80"/>
      </w:pPr>
      <w:r>
        <w:rPr>
          <w:b w:val="0"/>
          <w:i w:val="0"/>
        </w:rPr>
        <w:t>(2) có thể xem xét:</w:t>
      </w:r>
    </w:p>
    <w:p>
      <w:pPr>
        <w:spacing w:after="80"/>
      </w:pPr>
      <w:r>
        <w:rPr>
          <w:b w:val="0"/>
          <w:i w:val="0"/>
        </w:rPr>
        <w:t>[(i) các lợi ích được đề cập trong [trích dẫn điều khoản về các nhóm lợi ích của luật công ty kinh doanh nếu điều đó đề cập đến các nhóm lợi ích không được liệt kê ở trên]; và</w:t>
      </w:r>
    </w:p>
    <w:p>
      <w:pPr>
        <w:spacing w:after="80"/>
      </w:pPr>
      <w:r>
        <w:rPr>
          <w:b w:val="0"/>
          <w:i w:val="0"/>
        </w:rPr>
        <w:t>(ii)] các yếu tố thích đáng khác hoặc lợi ích của bất kỳ nhóm nào khác mà họ cho là phù hợp; nhưng</w:t>
      </w:r>
    </w:p>
    <w:p>
      <w:pPr>
        <w:spacing w:after="80"/>
      </w:pPr>
      <w:r>
        <w:rPr>
          <w:b w:val="0"/>
          <w:i w:val="0"/>
        </w:rPr>
        <w:t>(3) không cần phải ưu tiên lợi ích của một người hoặc nhóm cụ thể được đề cập [ở trên] hơn lợi ích của bất kỳ người hoặc nhóm nào khác trừ khi công ty vì lợi ích đã tuyên bố trong điều lệ thành lập của mình ý định ưu tiên một số lợi ích nhất định liên quan đến việc hoàn thành mục đích lợi ích công cộng chung hoặc mục đích lợi ích công cộng cụ thể được xác định trong điều lệ của mình.</w:t>
      </w:r>
    </w:p>
    <w:p>
      <w:pPr>
        <w:spacing w:after="80"/>
      </w:pPr>
      <w:r>
        <w:rPr>
          <w:b w:val="0"/>
          <w:i w:val="0"/>
        </w:rPr>
        <w:t>Nói chung, các tiêu chuẩn trách nhiệm giải trình là giống hệt nhau đối với các quyết định điều hành và các quyết định về thanh khoản/thay đổi quyền kiểm soát. Một giám đốc không phải chịu trách nhiệm cá nhân, với tư cách đó, đối với bất kỳ thiệt hại bằng tiền nào cho bất kỳ hành động nào được thực hiện với tư cách giám đốc nếu giám đốc đó đã thực hiện nghĩa vụ của chức vụ mình theo nghĩa vụ cẩn trọng (duty of care) hiện hành.</w:t>
      </w:r>
    </w:p>
    <w:p>
      <w:pPr>
        <w:spacing w:after="80"/>
      </w:pPr>
      <w:r>
        <w:rPr>
          <w:b w:val="0"/>
          <w:i w:val="0"/>
        </w:rPr>
        <w:t>C. Tính minh bạch</w:t>
      </w:r>
    </w:p>
    <w:p>
      <w:pPr>
        <w:spacing w:after="80"/>
      </w:pPr>
      <w:r>
        <w:rPr>
          <w:b w:val="0"/>
          <w:i w:val="0"/>
        </w:rPr>
        <w:t>Các công ty vì lợi ích (benefit corporation) được yêu cầu công bố báo cáo lợi ích hằng năm được lập theo “tiêu chuẩn bên thứ ba” được công nhận “để xác định, báo cáo và đánh giá hiệu quả hoạt động xã hội và môi trường của doanh nghiệp”. Ngoài ra, Báo cáo Lợi ích phải đánh giá những thành công và thất bại của công ty trong việc đạt được các mục đích lợi ích công cộng chung và cụ thể của công ty, đồng thời xem xét tác động của các quyết định đối với các bên liên quan. . . .</w:t>
      </w:r>
    </w:p>
    <w:p>
      <w:pPr>
        <w:spacing w:after="80"/>
      </w:pPr>
      <w:r>
        <w:rPr>
          <w:b w:val="0"/>
          <w:i w:val="0"/>
        </w:rPr>
        <w:t>(5) Tuyên bố của giám đốc phụ trách lợi ích được mô tả trong [điều khoản tuyên bố tuân thủ hằng năm].</w:t>
      </w:r>
    </w:p>
    <w:p>
      <w:pPr>
        <w:spacing w:after="80"/>
      </w:pPr>
      <w:r>
        <w:rPr>
          <w:b w:val="0"/>
          <w:i w:val="0"/>
        </w:rPr>
        <w:t>* * *</w:t>
      </w:r>
    </w:p>
    <w:p>
      <w:pPr>
        <w:spacing w:after="80"/>
      </w:pPr>
      <w:r>
        <w:rPr>
          <w:b w:val="0"/>
          <w:i w:val="0"/>
        </w:rPr>
        <w:t>Công ty vì lợi ích phải gửi báo cáo cho tất cả cổ đông “(1) trong vòng 120 ngày sau khi kết thúc năm tài chính của công ty vì lợi ích; hoặc (2) cùng thời điểm công ty vì lợi ích gửi bất kỳ báo cáo thường niên nào khác cho cổ đông của mình.” Ngoài ra, nhằm thúc đẩy tính minh bạch, báo cáo lợi ích phải được đăng “trên phần công khai của trang web Internet của công ty, nếu có; nhưng khoản thù lao trả cho giám đốc và thông tin tài chính hoặc thông tin độc quyền . . . có thể được lược bỏ khỏi báo cáo lợi ích khi đăng tải.”</w:t>
      </w:r>
    </w:p>
    <w:p>
      <w:pPr>
        <w:pStyle w:val="Heading5"/>
      </w:pPr>
      <w:r>
        <w:rPr>
          <w:rFonts w:ascii="Calibri" w:hAnsi="Calibri"/>
          <w:b/>
          <w:i/>
          <w:sz w:val="22"/>
        </w:rPr>
        <w:t>Bình luận và Câu hỏi</w:t>
      </w:r>
    </w:p>
    <w:p>
      <w:pPr>
        <w:spacing w:after="80"/>
      </w:pPr>
      <w:r>
        <w:rPr>
          <w:b w:val="0"/>
          <w:i w:val="0"/>
        </w:rPr>
        <w:t>1. Những loại công ty nào có thể sử dụng công ty “vì lợi ích”? Patagonia, nhà bán lẻ quần áo, là một ví dụ về doanh nghiệp chuyển đổi sớm sang tư cách công ty vì lợi ích. Bạn nghĩ tại sao công ty lại thực hiện bước đi này? Những loại công ty nào khác có khả năng sẽ nhân rộng mô hình này?</w:t>
      </w:r>
    </w:p>
    <w:p>
      <w:pPr>
        <w:spacing w:after="80"/>
      </w:pPr>
      <w:r>
        <w:rPr>
          <w:b w:val="0"/>
          <w:i w:val="0"/>
        </w:rPr>
        <w:t>2. Những lợi ích nào đến từ cấu trúc này? Ví dụ, liệu người tiêu dùng có nhiều khả năng mua sản phẩm do một công ty vì lợi ích sản xuất hơn không? Theo Giáo sư Grant:</w:t>
      </w:r>
    </w:p>
    <w:p>
      <w:pPr>
        <w:spacing w:after="80"/>
      </w:pPr>
      <w:r>
        <w:rPr>
          <w:b w:val="0"/>
          <w:i w:val="0"/>
        </w:rPr>
        <w:t>Các công ty vì lợi ích, nhờ sứ mệnh về lợi ích công cộng chung, trách nhiệm giải trình và tính minh bạch, giờ đây mang đến một nền tảng chính thức, hữu hình và có thể kiểm chứng để người tiêu dùng đánh giá và tưởng thưởng những công ty thực sự cam kết với phát triển bền vững. Theo thời gian, các công ty vì lợi ích sẽ thành công vì người tiêu dùng sẽ có một thước đo để đánh giá những tuyên bố và thành tựu của các công ty tự nhận mình cam kết đạt được phát triển bền vững. Khi các công ty vì lợi ích bén rễ, những chiêu tiếp thị hào nhoáng và đôi khi lừa dối sẽ không còn hiệu quả. Các công ty sẽ phải chứng minh tuyên bố của mình bằng kết quả và thể hiện rõ ràng những lĩnh vực mà họ đang tạo ra tác động. Bởi vì nhu cầu của người tiêu dùng đang thúc đẩy sự cần thiết của công ty vì lợi ích, các công ty vì lợi ích có khả năng sẽ thành công.</w:t>
      </w:r>
    </w:p>
    <w:p>
      <w:pPr>
        <w:spacing w:after="80"/>
      </w:pPr>
      <w:r>
        <w:rPr>
          <w:b w:val="0"/>
          <w:i w:val="0"/>
        </w:rPr>
        <w:t>Bạn có đồng ý với nhận định này không?</w:t>
      </w:r>
    </w:p>
    <w:p>
      <w:pPr>
        <w:spacing w:after="80"/>
      </w:pPr>
      <w:r>
        <w:rPr>
          <w:b w:val="0"/>
          <w:i w:val="0"/>
        </w:rPr>
        <w:t>3. Điều mấu chốt thực sự là liệu các nhà đầu tư có mua cổ phần trong những công ty vì lợi nhuận mà không lấy mục tiêu tối thượng là cổ đông làm mục đích duy nhất hay không. Chắc chắn có những nhà đầu tư, kể cả các tổ chức, tìm cách đầu tư vào những công ty có thành tích mạnh về trách nhiệm xã hội của doanh nghiệp. Nhưng hiện nay những nhà đầu tư này đầu tư vào các công ty thúc đẩy trách nhiệm xã hội của doanh nghiệp trong khi vẫn tiếp tục có nghĩa vụ tối đa hóa lợi nhuận. Trên thực tế, kết quả có khả năng xảy ra đối với việc huy động vốn là gì?</w:t>
      </w:r>
    </w:p>
    <w:p>
      <w:pPr>
        <w:spacing w:after="80"/>
      </w:pPr>
      <w:r>
        <w:rPr>
          <w:b w:val="0"/>
          <w:i w:val="0"/>
        </w:rPr>
        <w:t>4. Một số người bày tỏ lo ngại rằng các công ty vì lợi ích tạo ra những tiêu chuẩn ủy thác (fiduciary standards) không đặt ra giới hạn có ý nghĩa nào đối với hành vi của hội đồng quản trị. Như một nhà bình luận đã viết:</w:t>
      </w:r>
    </w:p>
    <w:p>
      <w:pPr>
        <w:spacing w:after="80"/>
      </w:pPr>
      <w:r>
        <w:rPr>
          <w:b w:val="0"/>
          <w:i w:val="0"/>
        </w:rPr>
        <w:t>Từ cả hai góc nhìn, các công ty vì lợi ích theo quan điểm chính thống cho phép giám đốc và cán bộ xem xét một số lượng khổng lồ các lợi ích và yếu tố, nhiều yếu tố trong đó không được các cổ đông chấp nhận tư cách công ty vì lợi ích chỉ định rõ. Lợi ích công cộng chung là một mớ hỗn độn và các giám đốc, những người đều có lợi ích cá nhân và một số có thể có chương trình nghị sự cá nhân, đơn giản bị ném vào giữa mớ hỗn độn đó. Ví dụ, nếu các giám đốc kết luận rằng việc quảng bá xe điện là một điều tốt cho xã hội, thì Teslas có thể được mua cho tất cả các giám đốc điều hành công ty. Nếu các giám đốc cho rằng bảo tồn gấu Bắc Cực là tốt, công ty có thể chi những khoản tiền lớn để duy trì băng ở Greenland. Từ góc nhìn theo thuyết khế ước (contractarian), việc quy định cụ thể thêm các nghĩa vụ ủy thác bằng hợp đồng không được tính đến và những điều khoản lấp đầy khoảng trống không đủ mạnh mẽ. Từ góc nhìn theo thuyết ủy thác (fiduciarian), về cơ bản không có hạn chế nào cản trở quyền tự do của các giám đốc mà hành động của họ liên quan đến rủi ro gây tổn hại cho người khác. Các công ty vì lợi ích mở ra cánh cửa cho những giám đốc vô trách nhiệm biện minh cho hành động của mình (kể cả những hành động vì tư lợi) bằng cách viện dẫn một lý do biện minh nào đó về lợi ích công cộng (hoặc ngược lại khi có liên quan đến lợi ích công cộng, thì viện dẫn một lý do biện minh nào đó về lợi ích cổ đông tư nhân).</w:t>
      </w:r>
    </w:p>
    <w:p>
      <w:pPr>
        <w:spacing w:after="80"/>
      </w:pPr>
      <w:r>
        <w:rPr>
          <w:b w:val="0"/>
          <w:i w:val="0"/>
        </w:rPr>
        <w:t xml:space="preserve">J. William Callison, </w:t>
      </w:r>
      <w:r>
        <w:rPr>
          <w:b w:val="0"/>
          <w:i/>
        </w:rPr>
        <w:t>Putting New Sheets on a Procrustean Bed: How Benefit Corporations Address Fiduciary Duties, the Dangers Created, and Suggestions for Change</w:t>
      </w:r>
      <w:r>
        <w:rPr>
          <w:b w:val="0"/>
          <w:i w:val="0"/>
        </w:rPr>
        <w:t xml:space="preserve"> , 2 Am. U. Bus. L. Rev. 85, 108 (2012). Bạn có đồng ý với phân tích này không?</w:t>
      </w:r>
    </w:p>
    <w:p>
      <w:pPr>
        <w:spacing w:after="80"/>
      </w:pPr>
      <w:r>
        <w:rPr>
          <w:b w:val="0"/>
          <w:i w:val="0"/>
        </w:rPr>
        <w:t>5. Liệu công ty vì lợi ích có thực sự cần thiết không? Ví dụ, liệu một công ty có thể từ bỏ mô hình lấy cổ đông làm mục tiêu tối thượng trong điều lệ thành lập của mình không? The New York Times quy định trong điều lệ rằng mục đích của công ty, cùng với những điều khác, là tham gia vào “hoạt động in, xuất bản và bán báo, sách, sách mỏng và các ấn phẩm khác, thu thập, truyền đạt và cung cấp các bản tin, in ấn theo đơn đặt hàng nói chung, và mọi hoạt động kinh doanh khác kèm theo hoặc liên quan đến những điều trên hoặc bất kỳ điều nào trong số đó hoặc liên quan đến hoặc phù hợp với những điều đó.” Liệu điều này có thực sự chấm dứt nghĩa vụ tối đa hóa lợi nhuận, ít nhất là khi nó xung đột với hoạt động kinh doanh báo chí không? Hoặc cách khác, liệu ngôn ngữ yêu cầu hội đồng quản trị phải xem xét lợi ích của các bên không phải cổ đông có thể được chèn vào thỏa thuận điều hành của một LLC không?</w:t>
      </w:r>
    </w:p>
    <w:p>
      <w:pPr>
        <w:pStyle w:val="Heading2"/>
      </w:pPr>
      <w:r>
        <w:rPr>
          <w:rFonts w:ascii="Calibri" w:hAnsi="Calibri"/>
          <w:b/>
          <w:i w:val="0"/>
          <w:sz w:val="32"/>
        </w:rPr>
        <w:t>IV. Trách nhiệm xã hội của doanh nghiệp</w:t>
      </w:r>
    </w:p>
    <w:p>
      <w:pPr>
        <w:spacing w:after="80"/>
      </w:pPr>
      <w:r>
        <w:rPr>
          <w:b w:val="0"/>
          <w:i w:val="0"/>
        </w:rPr>
        <w:t>Các công ty vì lợi nhuận nói chung hoạt động theo mô hình lấy cổ đông làm mục tiêu tối thượng. Do đó, hành vi có trách nhiệm với xã hội nói chung phải hỗ trợ cho mục tiêu này. Tuy nhiên, áp lực từ cả cổ đông lẫn công chúng đã gây sức ép buộc các công ty phải thực hiện hành vi có trách nhiệm với xã hội. Đôi khi những hành động này có mối liên hệ rõ ràng với lợi nhuận ròng. Trong những trường hợp khác, các cam kết có thể được thiết kế nhiều hơn để quảng bá danh tiếng tổng thể của công ty.</w:t>
      </w:r>
    </w:p>
    <w:p>
      <w:pPr>
        <w:pStyle w:val="Heading3"/>
      </w:pPr>
      <w:r>
        <w:rPr>
          <w:rFonts w:ascii="Calibri" w:hAnsi="Calibri"/>
          <w:b/>
          <w:i w:val="0"/>
          <w:sz w:val="26"/>
        </w:rPr>
        <w:t>A. Trách nhiệm xã hội của doanh nghiệp và việc tự sắp đặt trật tự</w:t>
      </w:r>
    </w:p>
    <w:p>
      <w:pPr>
        <w:spacing w:after="80"/>
      </w:pPr>
      <w:r>
        <w:rPr>
          <w:b w:val="0"/>
          <w:i w:val="0"/>
        </w:rPr>
        <w:t>Nếu không có các yêu cầu pháp lý bắt buộc, trách nhiệm xã hội của doanh nghiệp vẫn phụ thuộc vào việc tự sắp đặt trật tự. Các công ty thường tham gia vào hoạt động có trách nhiệm với xã hội trên cơ sở tự nguyện và không chính thức. Họ có thể hệ thống hóa những trách nhiệm này trong các quy tắc ứng xử hoặc đạo đức. Họ cũng có thể đồng ý tuân thủ các tiêu chuẩn đã có từ trước, bao gồm ví dụ như Hiệp ước Toàn cầu về Quản trị do Liên Hợp Quốc ban hành.</w:t>
      </w:r>
    </w:p>
    <w:p>
      <w:pPr>
        <w:spacing w:after="80"/>
      </w:pPr>
      <w:r>
        <w:rPr>
          <w:b w:val="0"/>
          <w:i w:val="0"/>
        </w:rPr>
        <w:t>Tuy nhiên, việc tự sắp đặt trật tự đặt ra một số lo ngại. Có thể có khoảng cách giữa các cam kết công khai về trách nhiệm xã hội của doanh nghiệp và thực tiễn thực tế. Để đánh giá việc tuân thủ, các nhà đầu tư và các bên liên quan sẽ cần thông tin công bố đầy đủ, điều không phải lúc nào cũng có sẵn. Trong một số ít trường hợp, hành vi của doanh nghiệp có thể bị khởi kiện. Ví dụ, Đạo luật về Tội phạm theo Luật Quốc tế (Alien Tort Statute) quy định việc khởi kiện của những người bị thiệt hại do vi phạm luật quốc tế. 28 USC § 1350. Đạo luật Chống Khủng bố năm 1991 (</w:t>
      </w:r>
      <w:r>
        <w:rPr>
          <w:b w:val="0"/>
          <w:i/>
        </w:rPr>
        <w:t>xem</w:t>
      </w:r>
      <w:r>
        <w:rPr>
          <w:b w:val="0"/>
          <w:i w:val="0"/>
        </w:rPr>
        <w:t xml:space="preserve"> 18 USC prec. § 2331) cho phép khởi kiện các công ty hỗ trợ tổ chức khủng bố. Những luật này có phạm vi hẹp nhưng có thể được lập luận là đặt ra giới hạn bên ngoài đối với một số loại hành vi liên quan đến trách nhiệm xã hội.</w:t>
      </w:r>
    </w:p>
    <w:p>
      <w:pPr>
        <w:spacing w:after="80"/>
      </w:pPr>
      <w:r>
        <w:rPr>
          <w:b w:val="0"/>
          <w:i w:val="0"/>
        </w:rPr>
        <w:t>CÁC QUY TẮC ỨNG XỬ</w:t>
      </w:r>
    </w:p>
    <w:p>
      <w:pPr>
        <w:spacing w:after="80"/>
      </w:pPr>
      <w:r>
        <w:rPr>
          <w:b w:val="0"/>
          <w:i w:val="0"/>
        </w:rPr>
        <w:t xml:space="preserve">Việc tự sắp đặt trật tự ngày càng có thể được nhìn thấy qua việc hầu hết các công ty đại chúng lớn sử dụng các quy tắc ứng xử và đạo đức. Theo nghĩa hẹp nhất, các quy tắc này giải quyết các yêu cầu pháp lý cụ thể. Chúng thường nhắc lại lệnh cấm giao dịch nội gián hoặc đặt ra các hạn chế đối với những thực tiễn có thể vi phạm Đạo luật về Thực hành Hối lộ Nước ngoài (Foreign Corrupt Practices Act). 15 USC § 78dd-1. Việc thực hiện các loại quy tắc này mang lại lợi thế theo các hướng dẫn tuyên án và trong việc dàn xếp các vụ việc với Ủy ban Chứng khoán và Giao dịch (Securities and Exchange Commission). </w:t>
      </w:r>
      <w:r>
        <w:rPr>
          <w:b w:val="0"/>
          <w:i/>
        </w:rPr>
        <w:t>Xem</w:t>
      </w:r>
      <w:r>
        <w:rPr>
          <w:b w:val="0"/>
          <w:i w:val="0"/>
        </w:rPr>
        <w:t xml:space="preserve"> Exchange Act Release No. 44969 (ngày 23 tháng 10 năm 2001) (thông qua cái gọi là “các tiêu chuẩn Seaboard” và lưu ý rằng khi đánh giá các hình phạt đối với doanh nghiệp, SEC sẽ xem xét “các thủ tục tuân thủ [đã] được đặt ra để ngăn chặn hành vi sai trái”).</w:t>
      </w:r>
    </w:p>
    <w:p>
      <w:pPr>
        <w:spacing w:after="80"/>
      </w:pPr>
      <w:r>
        <w:rPr>
          <w:b w:val="0"/>
          <w:i w:val="0"/>
        </w:rPr>
        <w:t>Các quy tắc ứng xử của doanh nghiệp nhận được thêm động lực với việc thông qua Đạo luật Sarbanes Oxley. Mục 406 của Đạo luật chỉ thị cho Ủy ban ban hành các quy tắc đối với các công ty báo cáo yêu cầu họ công bố liệu họ có quy tắc đạo đức hay không và bất kỳ thay đổi nào đối với quy tắc, hoặc việc miễn trừ quy tắc đó. Mục 406 của Regulation S-K định nghĩa quy tắc đạo đức. Theo SEC, quy tắc này nên được thiết kế để “ngăn chặn hành vi sai trái” và thúc đẩy:</w:t>
      </w:r>
    </w:p>
    <w:p>
      <w:pPr>
        <w:spacing w:after="80"/>
        <w:ind w:left="360"/>
      </w:pPr>
      <w:r>
        <w:t xml:space="preserve">1. </w:t>
      </w:r>
      <w:r>
        <w:rPr>
          <w:b w:val="0"/>
          <w:i w:val="0"/>
        </w:rPr>
        <w:t>Hành vi trung thực và có đạo đức, bao gồm việc xử lý có đạo đức các xung đột lợi ích thực tế hoặc có vẻ như có giữa các mối quan hệ cá nhân và nghề nghiệp;</w:t>
      </w:r>
    </w:p>
    <w:p>
      <w:pPr>
        <w:spacing w:after="80"/>
        <w:ind w:left="360"/>
      </w:pPr>
      <w:r>
        <w:t xml:space="preserve">2. </w:t>
      </w:r>
      <w:r>
        <w:rPr>
          <w:b w:val="0"/>
          <w:i w:val="0"/>
        </w:rPr>
        <w:t>Việc công bố đầy đủ, công bằng, chính xác, kịp thời và dễ hiểu trong các báo cáo và tài liệu mà một tổ chức đăng ký nộp cho, hoặc gửi đến, Ủy ban và trong các thông tin liên lạc công khai khác do tổ chức đăng ký thực hiện;</w:t>
      </w:r>
    </w:p>
    <w:p>
      <w:pPr>
        <w:spacing w:after="80"/>
        <w:ind w:left="360"/>
      </w:pPr>
      <w:r>
        <w:t xml:space="preserve">3. </w:t>
      </w:r>
      <w:r>
        <w:rPr>
          <w:b w:val="0"/>
          <w:i w:val="0"/>
        </w:rPr>
        <w:t>Việc tuân thủ các luật, quy tắc và quy định của chính phủ hiện hành;</w:t>
      </w:r>
    </w:p>
    <w:p>
      <w:pPr>
        <w:spacing w:after="80"/>
        <w:ind w:left="360"/>
      </w:pPr>
      <w:r>
        <w:t xml:space="preserve">4. </w:t>
      </w:r>
      <w:r>
        <w:rPr>
          <w:b w:val="0"/>
          <w:i w:val="0"/>
        </w:rPr>
        <w:t>Việc báo cáo nội bộ kịp thời các vi phạm quy tắc cho một người hoặc những người thích hợp được nêu trong quy tắc; và</w:t>
      </w:r>
    </w:p>
    <w:p>
      <w:pPr>
        <w:spacing w:after="80"/>
        <w:ind w:left="360"/>
      </w:pPr>
      <w:r>
        <w:t xml:space="preserve">5. </w:t>
      </w:r>
      <w:r>
        <w:rPr>
          <w:b w:val="0"/>
          <w:i w:val="0"/>
        </w:rPr>
        <w:t>Trách nhiệm giải trình đối với việc tuân thủ quy tắc.</w:t>
      </w:r>
    </w:p>
    <w:p>
      <w:pPr>
        <w:spacing w:after="80"/>
      </w:pPr>
      <w:r>
        <w:rPr>
          <w:b w:val="0"/>
          <w:i w:val="0"/>
        </w:rPr>
        <w:t xml:space="preserve">Mục 406(b) của Regulation S-K, 17 CFR 240.406(b). Ngoài ra, NYSE yêu cầu các công ty niêm yết phải có quy tắc ứng xử và đạo đức. </w:t>
      </w:r>
      <w:r>
        <w:rPr>
          <w:b w:val="0"/>
          <w:i/>
        </w:rPr>
        <w:t>Xem</w:t>
      </w:r>
      <w:r>
        <w:rPr>
          <w:b w:val="0"/>
          <w:i w:val="0"/>
        </w:rPr>
        <w:t xml:space="preserve"> NYSE 303A.10.</w:t>
      </w:r>
    </w:p>
    <w:p>
      <w:pPr>
        <w:spacing w:after="80"/>
      </w:pPr>
      <w:r>
        <w:rPr>
          <w:b w:val="0"/>
          <w:i w:val="0"/>
        </w:rPr>
        <w:t>—————</w:t>
      </w:r>
    </w:p>
    <w:p>
      <w:pPr>
        <w:spacing w:after="80"/>
      </w:pPr>
      <w:r>
        <w:rPr>
          <w:b w:val="0"/>
          <w:i w:val="0"/>
        </w:rPr>
        <w:t>Mặc dù các quy tắc này thường có những thuộc tính chung, chúng khác nhau đáng kể như đoạn trích từ bài viết tiếp theo minh họa.</w:t>
      </w:r>
    </w:p>
    <w:p>
      <w:pPr>
        <w:pStyle w:val="Heading4"/>
      </w:pPr>
      <w:r>
        <w:rPr>
          <w:rFonts w:ascii="Calibri" w:hAnsi="Calibri"/>
          <w:b/>
          <w:i w:val="0"/>
          <w:sz w:val="23"/>
        </w:rPr>
        <w:t xml:space="preserve">Joshua A. Newberg, </w:t>
      </w:r>
      <w:r>
        <w:rPr>
          <w:rFonts w:ascii="Calibri" w:hAnsi="Calibri"/>
          <w:b/>
          <w:i/>
          <w:sz w:val="23"/>
        </w:rPr>
        <w:t>Các quy tắc đạo đức của doanh nghiệp,</w:t>
      </w:r>
      <w:r>
        <w:br/>
      </w:r>
      <w:r>
        <w:rPr>
          <w:rFonts w:ascii="Calibri" w:hAnsi="Calibri"/>
          <w:b/>
          <w:i/>
          <w:sz w:val="23"/>
        </w:rPr>
        <w:t xml:space="preserve"> Công bố bắt buộc, và Thị trường cho Hành vi có Đạo đức</w:t>
      </w:r>
    </w:p>
    <w:p>
      <w:pPr>
        <w:spacing w:after="80"/>
      </w:pPr>
      <w:r>
        <w:rPr>
          <w:b w:val="0"/>
          <w:i w:val="0"/>
        </w:rPr>
        <w:t>29 Vt. L. Rev. 253, 258–64 (2005)</w:t>
      </w:r>
    </w:p>
    <w:p>
      <w:pPr>
        <w:spacing w:after="80"/>
      </w:pPr>
      <w:r>
        <w:rPr>
          <w:b w:val="0"/>
          <w:i w:val="0"/>
        </w:rPr>
        <w:t>2. Các bộ quy tắc nói gì</w:t>
      </w:r>
    </w:p>
    <w:p>
      <w:pPr>
        <w:spacing w:after="80"/>
      </w:pPr>
      <w:r>
        <w:rPr>
          <w:b w:val="0"/>
          <w:i w:val="0"/>
        </w:rPr>
        <w:t>CCOE [quy tắc đạo đức doanh nghiệp] điển hình của một công ty đại chúng lớn là một dạng kết hợp giữa một số tuyên bố chung về cam kết của công ty đối với các phát biểu chuẩn mực được diễn đạt rộng rãi về hành vi kinh doanh có nguyên tắc—chẳng hạn như hành động với "sự chính trực" hoặc tuân thủ "các chuẩn mực đạo đức cao nhất"—với một số tuyên bố hoặc quy định cụ thể đề cập đến các lĩnh vực riêng biệt của hành vi bất hợp pháp và/hoặc phi đạo đức. Các điều khoản thuộc loại sau có thể được trình bày như những tuyên bố về chính sách của công ty mà từ đó có thể suy ra nghĩa vụ của ban quản lý và nhân viên. Hoặc, những điều khoản như vậy có thể được diễn đạt như những lời khuyên nhủ đối với nhân viên hoặc là hành động theo một cách nhất định ("nên làm") hoặc là kiềm chế không tham gia vào các loại hành vi bị cấm cụ thể ("không nên làm"). Những tuyên bố/lời khuyên nhủ về chính sách công ty cụ thể này thường nằm trong một hoặc nhiều hơn trong năm phạm trù chồng chéo lẫn nhau: (a) tuân thủ pháp luật; (b) trung thực; (c) trung thành với công ty (tức là tránh xung đột lợi ích); (d) giữ bí mật của công ty; và (e) đối xử với các bên liên quan và đối thủ cạnh tranh của công ty một cách công bằng và tôn trọng.</w:t>
      </w:r>
    </w:p>
    <w:p>
      <w:pPr>
        <w:spacing w:after="80"/>
      </w:pPr>
      <w:r>
        <w:rPr>
          <w:b w:val="0"/>
          <w:i w:val="0"/>
        </w:rPr>
        <w:t xml:space="preserve">a. </w:t>
      </w:r>
      <w:r>
        <w:rPr>
          <w:b w:val="0"/>
          <w:i/>
        </w:rPr>
        <w:t>Tuân thủ pháp luật</w:t>
      </w:r>
      <w:r>
        <w:rPr>
          <w:b w:val="0"/>
          <w:i w:val="0"/>
        </w:rPr>
        <w:t xml:space="preserve"> : Nhiều CCOE bao gồm cả những lời kêu gọi chung chung về việc tuân thủ pháp luật lẫn các tham chiếu đến những loại vi phạm pháp luật cụ thể mà nhân viên cần tránh. Trong số các lĩnh vực pháp luật được đề cập phổ biến nhất mà nhân viên được yêu cầu tuân thủ có: luật chống độc quyền; các quy định về sức khỏe, an toàn và môi trường; Đạo luật Chống Tham nhũng ở Nước ngoài (Foreign Corrupt Practices Act); các biện pháp bảo vệ sở hữu trí tuệ; kiểm soát xuất khẩu; và các lệnh cấm đối với giao dịch nội gián, phân biệt đối xử trong việc làm và quấy rối tình dục.</w:t>
      </w:r>
    </w:p>
    <w:p>
      <w:pPr>
        <w:spacing w:after="80"/>
      </w:pPr>
      <w:r>
        <w:rPr>
          <w:b w:val="0"/>
          <w:i w:val="0"/>
        </w:rPr>
        <w:t xml:space="preserve">b. </w:t>
      </w:r>
      <w:r>
        <w:rPr>
          <w:b w:val="0"/>
          <w:i/>
        </w:rPr>
        <w:t>Trung thực</w:t>
      </w:r>
      <w:r>
        <w:rPr>
          <w:b w:val="0"/>
          <w:i w:val="0"/>
        </w:rPr>
        <w:t xml:space="preserve"> : Ngoài những lời khuyên nhủ chung chung về việc trung thực, các bộ quy tắc thường bao gồm các chỉ thị về việc lưu giữ hồ sơ công ty chính xác, và báo cáo thông tin công ty một cách trung thực trong nội bộ tổ chức cũng như ra bên ngoài. Nhiều bộ quy tắc đặc biệt cam kết rằng thông tin nộp cho Ủy ban Chứng khoán và Giao dịch (Securities and Exchange Commission) sẽ chính xác, kịp thời và đầy đủ. Hơn nữa, việc các bộ quy tắc nêu rõ cam kết về quảng cáo trung thực và tránh gian dối trong quan hệ với khách hàng, nhà cung cấp và đối thủ cạnh tranh là điều phổ biến. Một điều khoản CCOE thường xuyên xuất hiện khác, nằm trong phạm trù "trung thực", là lời khuyên nhủ nhân viên chỉ sử dụng tài sản của công ty cho công việc kinh doanh của công ty mà thôi.</w:t>
      </w:r>
    </w:p>
    <w:p>
      <w:pPr>
        <w:spacing w:after="80"/>
      </w:pPr>
      <w:r>
        <w:rPr>
          <w:b w:val="0"/>
          <w:i w:val="0"/>
        </w:rPr>
        <w:t xml:space="preserve">c. </w:t>
      </w:r>
      <w:r>
        <w:rPr>
          <w:b w:val="0"/>
          <w:i/>
        </w:rPr>
        <w:t>Trung thành với công ty</w:t>
      </w:r>
      <w:r>
        <w:rPr>
          <w:b w:val="0"/>
          <w:i w:val="0"/>
        </w:rPr>
        <w:t xml:space="preserve"> : Phần lớn các bộ quy tắc đều cấm xung đột lợi ích. Tuy nhiên, các tài liệu này khác nhau đáng kể về mức độ chi tiết mà nghĩa vụ trung thành của nhân viên đối với công ty được trình bày. Các bộ quy tắc thường định nghĩa xung đột lợi ích một cách rộng rãi rồi liệt kê các loại hành vi cụ thể có khả năng gây vấn đề, chẳng hạn như làm việc cho một công ty khác, hướng công việc kinh doanh của công ty cho một người họ hàng, hoặc duy trì lợi ích tài chính cá nhân trong một giao dịch của công ty.</w:t>
      </w:r>
    </w:p>
    <w:p>
      <w:pPr>
        <w:spacing w:after="80"/>
      </w:pPr>
      <w:r>
        <w:rPr>
          <w:b w:val="0"/>
          <w:i w:val="0"/>
        </w:rPr>
        <w:t xml:space="preserve">d. </w:t>
      </w:r>
      <w:r>
        <w:rPr>
          <w:b w:val="0"/>
          <w:i/>
        </w:rPr>
        <w:t>Giữ bí mật của công ty</w:t>
      </w:r>
      <w:r>
        <w:rPr>
          <w:b w:val="0"/>
          <w:i w:val="0"/>
        </w:rPr>
        <w:t xml:space="preserve"> : Các quy tắc đạo đức doanh nghiệp thường yêu cầu nhân viên bảo vệ tính bí mật của thông tin mật của công ty. Nhiều bộ quy tắc cũng buộc nhân viên một cách rõ ràng phải giữ bí mật của khách hàng, thân chủ và những người khác mà công ty có quan hệ kinh doanh.</w:t>
      </w:r>
    </w:p>
    <w:p>
      <w:pPr>
        <w:spacing w:after="80"/>
      </w:pPr>
      <w:r>
        <w:rPr>
          <w:b w:val="0"/>
          <w:i w:val="0"/>
        </w:rPr>
        <w:t xml:space="preserve">e. </w:t>
      </w:r>
      <w:r>
        <w:rPr>
          <w:b w:val="0"/>
          <w:i/>
        </w:rPr>
        <w:t>Đối xử với các bên liên quan và đối thủ cạnh tranh một cách công bằng và tôn trọng</w:t>
      </w:r>
      <w:r>
        <w:rPr>
          <w:b w:val="0"/>
          <w:i w:val="0"/>
        </w:rPr>
        <w:t xml:space="preserve"> : Theo một nghĩa nào đó, đây là một phạm trù còn lại có thể được hiểu là bao hàm một phần hoặc toàn bộ nội dung đã được thảo luận dưới bốn tiêu đề đầu tiên. Các "bên liên quan" của doanh nghiệp bao gồm nhà đầu tư, nhân viên, nhà cung cấp, khách hàng và cộng đồng nơi các công ty hoạt động. Tuy nhiên, phạm trù "đối xử với các bên liên quan" phản ánh ngôn ngữ thực tế của nhiều CCOE vốn đề cập cụ thể đến lợi ích của một số nhóm bên liên quan nhất định và các chuẩn mực cần tuân thủ khi giao dịch với họ. Thật vậy, một số bộ quy tắc về cơ bản được cấu trúc như một chuỗi lời hứa đối với các nhóm bên liên quan riêng biệt. Các bộ quy tắc khác đề cập đến các vấn đề bên liên quan một cách ít có hệ thống hơn thông qua những cam kết chung về "giao dịch công bằng" và/hoặc "quyền công dân doanh nghiệp tốt".</w:t>
      </w:r>
    </w:p>
    <w:p>
      <w:pPr>
        <w:spacing w:after="80"/>
      </w:pPr>
      <w:r>
        <w:rPr>
          <w:b w:val="0"/>
          <w:i/>
        </w:rPr>
        <w:t>B. Các cơ cấu quản lý để triển khai &amp; thực thi</w:t>
      </w:r>
    </w:p>
    <w:p>
      <w:pPr>
        <w:spacing w:after="80"/>
      </w:pPr>
      <w:r>
        <w:rPr>
          <w:b w:val="0"/>
          <w:i w:val="0"/>
        </w:rPr>
        <w:t>Ngoài các loại nội dung được mô tả trong phần trước, nhiều quy tắc đạo đức doanh nghiệp bao gồm các điều khoản điều chỉnh việc quản lý và thực thi bộ quy tắc. Mặc dù những điều khoản như vậy có nhiều hình thức khác nhau, các CCOE của những công ty đại chúng lớn thường đưa ra một số chỉ dẫn về: (1) ai chịu trách nhiệm quản lý bộ quy tắc; (2) các thủ tục cơ bản cần tuân theo để báo cáo và đánh giá các vi phạm bộ quy tắc có thể xảy ra; và (3) các biện pháp chế tài có thể được áp dụng đối với những người bị phát hiện đã vi phạm bộ quy tắc.</w:t>
      </w:r>
    </w:p>
    <w:p>
      <w:pPr>
        <w:spacing w:after="80"/>
      </w:pPr>
      <w:r>
        <w:rPr>
          <w:b w:val="0"/>
          <w:i w:val="0"/>
        </w:rPr>
        <w:t>Để quản lý và thực thi CCOE của mình, các công ty đại chúng lớn có khả năng dựa vào sự kết hợp giữa trách nhiệm cá nhân của nhân viên, sự giám sát của ban quản lý và nhân sự chuyên trách nội bộ (chẳng hạn như cố vấn pháp lý nội bộ hoặc các cán bộ tuân thủ và/hoặc đạo đức được chỉ định). Nhiều bộ quy tắc tuyên bố rõ ràng rằng mọi nhân viên đều có trách nhiệm tự tuân thủ và báo cáo các vi phạm bị nghi ngờ. Thật vậy, không hiếm khi các CCOE đưa ra một quy trình hỏi han "khi còn nghi ngờ" để nhân viên tuân theo khi quyết định liệu một cách hành xử nhất định có phù hợp với câu chữ và tinh thần của bộ quy tắc công ty hay không. Hơn nữa, nhân viên thường được khuyên nhủ nên nêu câu hỏi liên quan đến đạo đức và tuân thủ với người giám sát của mình, cố vấn pháp lý nội bộ, hoặc các cán bộ đạo đức và/hoặc tuân thủ của công ty (những người này có thể là hoặc không phải là luật sư).</w:t>
      </w:r>
    </w:p>
    <w:p>
      <w:pPr>
        <w:spacing w:after="80"/>
      </w:pPr>
      <w:r>
        <w:rPr>
          <w:b w:val="0"/>
          <w:i w:val="0"/>
        </w:rPr>
        <w:t>Một số CCOE chỉ ra rằng các nhà quản lý có trách nhiệm đặc biệt trong việc triển khai bộ quy tắc công ty bằng cách làm gương tốt, giáo dục nhân viên dưới quyền mình, và/hoặc đảm bảo rằng bộ quy tắc được tuân thủ. Các CCOE khác đề cập đến "các ủy ban đạo đức", "các cán bộ đạo đức", hoặc các cơ cấu quản lý khác để triển khai và thực thi bộ quy tắc. Tuy nhiên, tương đối hiếm khi các CCOE mô tả việc quản lý bộ quy tắc, việc thực thi, hoặc việc trừng phạt các vi phạm một cách sâu sắc. Về việc thực thi và trừng phạt, các CCOE thường tuyên bố rằng những người vi phạm phải chịu các biện pháp kỷ luật, tối đa là sa thải, nhưng không đưa ra thêm chi tiết cụ thể nào khác.</w:t>
      </w:r>
    </w:p>
    <w:p>
      <w:pPr>
        <w:pStyle w:val="Heading5"/>
      </w:pPr>
      <w:r>
        <w:rPr>
          <w:rFonts w:ascii="Calibri" w:hAnsi="Calibri"/>
          <w:b/>
          <w:i/>
          <w:sz w:val="22"/>
        </w:rPr>
        <w:t>Bình luận và Câu hỏi</w:t>
      </w:r>
    </w:p>
    <w:p>
      <w:pPr>
        <w:spacing w:after="80"/>
      </w:pPr>
      <w:r>
        <w:rPr>
          <w:b w:val="0"/>
          <w:i w:val="0"/>
        </w:rPr>
        <w:t>1. Liệu những bộ quy tắc này có thúc đẩy mục tiêu trách nhiệm xã hội của các doanh nghiệp không?</w:t>
      </w:r>
    </w:p>
    <w:p>
      <w:pPr>
        <w:spacing w:after="80"/>
      </w:pPr>
      <w:r>
        <w:rPr>
          <w:b w:val="0"/>
          <w:i w:val="0"/>
        </w:rPr>
        <w:t>2. Giống như nhiều điều khoản trong SOX, Mục 406 của SOX có động lực từ những hành vi lạm dụng được nhận thấy tại Enron. Như Báo cáo của Thượng viện đã ghi nhận:</w:t>
      </w:r>
    </w:p>
    <w:p>
      <w:pPr>
        <w:spacing w:after="80"/>
      </w:pPr>
      <w:r>
        <w:rPr>
          <w:b w:val="0"/>
          <w:i w:val="0"/>
        </w:rPr>
        <w:t>Những vấn đề xoay quanh Enron Corp. và các công ty đại chúng khác làm dấy lên lo ngại về các chuẩn mực đạo đức của các doanh nghiệp và các nhà quản lý tài chính cấp cao của họ. Ủy ban cho rằng các nhà đầu tư có lợi ích chính đáng trong việc biết liệu một công ty đại chúng có buộc các cán bộ tài chính của mình tuân theo những chuẩn mực đạo đức nhất định trong các giao dịch tài chính của họ hay không. Dự luật yêu cầu các tổ chức phát hành tiết lộ liệu họ có thông qua một bộ quy tắc đạo đức dành cho các cán bộ tài chính cấp cao hay không và, nếu không, thì tại sao không.</w:t>
      </w:r>
    </w:p>
    <w:p>
      <w:pPr>
        <w:spacing w:after="80"/>
      </w:pPr>
      <w:r>
        <w:rPr>
          <w:b w:val="0"/>
          <w:i w:val="0"/>
        </w:rPr>
        <w:t>Senate Comm. on Banking, Housing &amp; Urban Affairs Public Company Accounting Reform and Investor Protection Act of 2002, S. Rep. No. 107-205, at 32. Với mối quan ngại này, tại sao Quốc hội lại không yêu cầu việc triển khai những loại bộ quy tắc này?</w:t>
      </w:r>
    </w:p>
    <w:p>
      <w:pPr>
        <w:spacing w:after="80"/>
      </w:pPr>
      <w:r>
        <w:rPr>
          <w:b w:val="0"/>
          <w:i w:val="0"/>
        </w:rPr>
        <w:t>3. Cách tiếp cận mà Quốc hội áp dụng trong Mục 406 của SOX đôi khi được gọi là “tuân thủ hoặc giải trình.” Các công ty phải thông qua một bộ quy tắc đạo đức hoặc giải thích lý do tại sao họ chưa làm vậy. Bạn nghĩ gì về cách tiếp cận quản lý này? Nó có thể khuyến khích việc sử dụng các bộ quy tắc đạo đức như thế nào?</w:t>
      </w:r>
    </w:p>
    <w:p>
      <w:pPr>
        <w:spacing w:after="80"/>
      </w:pPr>
      <w:r>
        <w:rPr>
          <w:b w:val="0"/>
          <w:i w:val="0"/>
        </w:rPr>
        <w:t>4. Những bộ quy tắc này có thể được thực thi không? Hậu quả là gì nếu một công ty không tuân thủ bộ quy tắc ứng xử/đạo đức của chính mình?</w:t>
      </w:r>
    </w:p>
    <w:p>
      <w:pPr>
        <w:spacing w:after="80"/>
      </w:pPr>
      <w:r>
        <w:rPr>
          <w:b w:val="0"/>
          <w:i w:val="0"/>
        </w:rPr>
        <w:t xml:space="preserve">5. Việc miễn trừ áp dụng bộ quy tắc đạo đức phải được công bố. </w:t>
      </w:r>
      <w:r>
        <w:rPr>
          <w:b w:val="0"/>
          <w:i/>
        </w:rPr>
        <w:t>Xem</w:t>
      </w:r>
      <w:r>
        <w:rPr>
          <w:b w:val="0"/>
          <w:i w:val="0"/>
        </w:rPr>
        <w:t xml:space="preserve"> Mục 5.05 của Mẫu 8-K. Mục đích của yêu cầu này là gì? Nó có thể tác động như thế nào đến các trường hợp miễn trừ?</w:t>
      </w:r>
    </w:p>
    <w:p>
      <w:pPr>
        <w:spacing w:after="80"/>
      </w:pPr>
      <w:r>
        <w:rPr>
          <w:b w:val="0"/>
          <w:i w:val="0"/>
        </w:rPr>
        <w:t xml:space="preserve">6. Một số người cho rằng những bộ quy tắc này chỉ là hình thức bề ngoài. </w:t>
      </w:r>
      <w:r>
        <w:rPr>
          <w:b w:val="0"/>
          <w:i/>
        </w:rPr>
        <w:t>Xem</w:t>
      </w:r>
      <w:r>
        <w:rPr>
          <w:b w:val="0"/>
          <w:i w:val="0"/>
        </w:rPr>
        <w:t xml:space="preserve"> Usha Rodrigues, </w:t>
      </w:r>
      <w:r>
        <w:rPr>
          <w:b w:val="0"/>
          <w:i/>
        </w:rPr>
        <w:t>From Loyalty to Conflict: Addressing Fiduciary Duty at the Officer Level</w:t>
      </w:r>
      <w:r>
        <w:rPr>
          <w:b w:val="0"/>
          <w:i w:val="0"/>
        </w:rPr>
        <w:t xml:space="preserve"> , 61 Fla. L. Rev. 1, 31 (2009) (lưu ý về “nỗi lo ngại phổ biến rằng các bộ quy tắc tuân thủ và quy tắc ứng xử của doanh nghiệp chỉ là hình thức bề ngoài”). Bạn có đồng ý không?</w:t>
      </w:r>
    </w:p>
    <w:p>
      <w:pPr>
        <w:spacing w:after="80"/>
      </w:pPr>
      <w:r>
        <w:rPr>
          <w:b w:val="0"/>
          <w:i w:val="0"/>
        </w:rPr>
        <w:t>—————</w:t>
      </w:r>
    </w:p>
    <w:p>
      <w:pPr>
        <w:spacing w:after="80"/>
      </w:pPr>
      <w:r>
        <w:rPr>
          <w:b w:val="0"/>
          <w:i w:val="0"/>
        </w:rPr>
        <w:t>Các bộ quy tắc có thể và thường vượt xa việc tuân thủ các nghĩa vụ pháp lý cụ thể. Một số công ty sử dụng chúng để đề ra các nghĩa vụ đạo đức và mục tiêu trách nhiệm xã hội. Những bộ quy tắc “mang tính khát vọng” này có thể chứa các điều cấm về lao động trẻ em hoặc hạn chế phát thải khí nhà kính. Tuy nhiên, các bộ quy tắc mang tính khát vọng không phải là không có rủi ro.</w:t>
      </w:r>
    </w:p>
    <w:p>
      <w:pPr>
        <w:pStyle w:val="Heading4"/>
      </w:pPr>
      <w:r>
        <w:rPr>
          <w:rFonts w:ascii="Calibri" w:hAnsi="Calibri"/>
          <w:b/>
          <w:i w:val="0"/>
          <w:sz w:val="23"/>
        </w:rPr>
        <w:t xml:space="preserve">Elizabeth F. Brown, </w:t>
      </w:r>
      <w:r>
        <w:rPr>
          <w:rFonts w:ascii="Calibri" w:hAnsi="Calibri"/>
          <w:b/>
          <w:i/>
          <w:sz w:val="23"/>
        </w:rPr>
        <w:t>No Good Deed Goes Unpunished:</w:t>
      </w:r>
      <w:r>
        <w:br/>
      </w:r>
      <w:r>
        <w:rPr>
          <w:rFonts w:ascii="Calibri" w:hAnsi="Calibri"/>
          <w:b/>
          <w:i/>
          <w:sz w:val="23"/>
        </w:rPr>
        <w:t xml:space="preserve"> Is There a Need for a Safe Harbor for Aspirational</w:t>
      </w:r>
      <w:r>
        <w:br/>
      </w:r>
      <w:r>
        <w:rPr>
          <w:rFonts w:ascii="Calibri" w:hAnsi="Calibri"/>
          <w:b/>
          <w:i/>
          <w:sz w:val="23"/>
        </w:rPr>
        <w:t xml:space="preserve"> Corporate Codes of Conduct?</w:t>
      </w:r>
    </w:p>
    <w:p>
      <w:pPr>
        <w:spacing w:after="80"/>
      </w:pPr>
      <w:r>
        <w:rPr>
          <w:b w:val="0"/>
          <w:i w:val="0"/>
        </w:rPr>
        <w:t>26 Yale L. &amp; Pol'y Rev. 367, 385–86, 393–95 (2008)</w:t>
      </w:r>
    </w:p>
    <w:p>
      <w:pPr>
        <w:spacing w:after="80"/>
      </w:pPr>
      <w:r>
        <w:rPr>
          <w:b w:val="0"/>
          <w:i w:val="0"/>
        </w:rPr>
        <w:t>Một số nhà lãnh đạo doanh nghiệp bị ngăn cản không dám thông qua các bộ quy tắc ứng xử mang tính khát vọng—và các chương trình tuân thủ để đảm bảo chúng được thực hiện—vì lo sợ rằng những bộ quy tắc và chương trình như vậy sẽ làm tăng trách nhiệm pháp lý tiềm ẩn của doanh nghiệp. Ramon Mullerat cũng đồng tình với những lo ngại này:</w:t>
      </w:r>
    </w:p>
    <w:p>
      <w:pPr>
        <w:spacing w:after="80"/>
      </w:pPr>
      <w:r>
        <w:rPr>
          <w:b w:val="0"/>
          <w:i w:val="0"/>
        </w:rPr>
        <w:t>Một vấn đề liên quan là xác định liệu việc vi phạm các tiêu chuẩn ứng xử tự đặt ra ([tức là,] các bộ quy tắc ứng xử) có phát sinh trách nhiệm pháp lý hay không, hay nói cách khác, người vi phạm có thể bị kiện đòi bồi thường thiệt hại về mặt pháp lý hay không. Liệu một công ty đã công bố, cả nội bộ lẫn bên ngoài, rằng mình tuân thủ các tiêu chuẩn cao về lao động, môi trường và nhân quyền, có thể vi phạm một trong số đó mà không bị trừng phạt, hay sẽ phải chịu một hình thức chế tài kinh tế nào đó?</w:t>
      </w:r>
    </w:p>
    <w:p>
      <w:pPr>
        <w:spacing w:after="80"/>
      </w:pPr>
      <w:r>
        <w:rPr>
          <w:b w:val="0"/>
          <w:i w:val="0"/>
        </w:rPr>
        <w:t>Câu trả lời cho câu hỏi của Mullerat là các công ty đôi khi sẽ phải chịu trách nhiệm pháp lý vì vi phạm các tiêu chuẩn tự nguyện mà họ đã thông qua trong bộ quy tắc ứng xử của mình, ngay cả khi những tiêu chuẩn đó cao hơn các nghĩa vụ mà pháp luật áp đặt lên công ty. Những trách nhiệm pháp lý này có thể phát sinh trong nhiều bối cảnh khác nhau, bao gồm các vụ kiện về quảng cáo sai sự thật và gây nhầm lẫn và vi phạm hợp đồng.</w:t>
      </w:r>
    </w:p>
    <w:p>
      <w:pPr>
        <w:spacing w:after="80"/>
      </w:pPr>
      <w:r>
        <w:rPr>
          <w:b w:val="0"/>
          <w:i w:val="0"/>
        </w:rPr>
        <w:t>* * *</w:t>
      </w:r>
    </w:p>
    <w:p>
      <w:pPr>
        <w:spacing w:after="80"/>
      </w:pPr>
      <w:r>
        <w:rPr>
          <w:b w:val="0"/>
          <w:i w:val="0"/>
        </w:rPr>
        <w:t>Vào tháng 4 năm 1998, Marc Kasky đã kiện Nike và năm giám đốc điều hành của công ty, cáo buộc rằng các báo cáo trách nhiệm xã hội doanh nghiệp và quảng cáo của Nike đã vi phạm các điều cấm của California về thực hành kinh doanh không công bằng và quảng cáo sai sự thật theo Đạo luật Thực hành Kinh doanh Không công bằng của California và Bộ luật Kinh doanh và Nghề nghiệp California § 17500. Kasky cáo buộc rằng Nike và các bị đơn cá nhân đã đưa ra nhiều tuyên bố sai sự thật và gây nhầm lẫn trong nỗ lực phản hồi dư luận bất lợi và duy trì doanh số của Nike. Nike đã đưa ra những tuyên bố này trong các thông cáo báo chí, thư gửi báo, thư gửi hiệu trưởng các trường đại học và giám đốc thể thao, và trong các tài liệu khác. Ngoài ra, Nike đã mua quảng cáo trên các tờ báo hàng đầu để công bố báo cáo của GoodWorks International LLC. Nike đã ký hợp đồng với GoodWorks để mời Andrew Young, cựu Đại sứ Hoa Kỳ tại Liên Hợp Quốc dưới thời Tổng thống Carter, đánh giá điều kiện tại các nhà máy của các đối tác ký kết hợp đồng với mình. Đại sứ Young đã đến thăm mười hai nhà máy trong khuôn khổ đánh giá các thực hành lao động tại các cơ sở này và tuyên bố rằng ông không tìm thấy bằng chứng nào về việc ngược đãi hay lạm dụng người lao động.</w:t>
      </w:r>
    </w:p>
    <w:p>
      <w:pPr>
        <w:spacing w:after="80"/>
      </w:pPr>
      <w:r>
        <w:rPr>
          <w:b w:val="0"/>
          <w:i w:val="0"/>
        </w:rPr>
        <w:t>* * *</w:t>
      </w:r>
    </w:p>
    <w:p>
      <w:pPr>
        <w:spacing w:after="80"/>
      </w:pPr>
      <w:r>
        <w:rPr>
          <w:b w:val="0"/>
          <w:i w:val="0"/>
        </w:rPr>
        <w:t>Vào tháng 9 năm 2003, Nike đã dàn xếp vụ kiện với Marc Kasky. Nike đồng ý quyên góp 1,5 triệu đô la cho Hiệp hội Lao động Công bằng (Fair Labor Association). Kết quả của việc dàn xếp này là không có tòa án nào đưa ra phán quyết về việc liệu các tuyên bố của Nike liên quan đến điều kiện tại các nhà máy có trung thực hay không. Trong giai đoạn thu thập chứng cứ của vụ án, Nike đã giao nộp một loạt tài liệu nội bộ thảo luận về điều kiện tại các nhà máy, và một số bản tin đã suy đoán rằng nội dung của những tài liệu đó đã khiến Nike phải dàn xếp, thay vì gánh chịu chi phí theo đuổi vụ kiện tụng. Trong thông báo dàn xếp, Nike bình luận: “Do những khó khăn tiềm ẩn từ việc áp dụng Điều luật California mục 17200, Nike đã quyết định không công bố báo cáo trách nhiệm doanh nghiệp của mình ra bên ngoài cho năm tài chính 2002 và sẽ tiếp tục hạn chế tham gia các sự kiện công cộng và các hoạt động truyền thông tại California.”</w:t>
      </w:r>
    </w:p>
    <w:p>
      <w:pPr>
        <w:spacing w:after="80"/>
      </w:pPr>
      <w:r>
        <w:rPr>
          <w:b w:val="0"/>
          <w:i w:val="0"/>
        </w:rPr>
        <w:t>Vụ Nike đã gây ra những làn sóng lo ngại khắp cộng đồng CSR toàn cầu, vốn lo sợ rằng nó sẽ ngăn cản các doanh nghiệp khác đưa các nguyên tắc CSR vào bộ quy tắc ứng xử của họ. Đáng tiếc là dường như không có bằng chứng thực nghiệm nào đo lường được có bao nhiêu công ty đã cân nhắc lại việc áp dụng các nguyên tắc CSR trong bộ quy tắc ứng xử của mình sau vụ Nike.</w:t>
      </w:r>
    </w:p>
    <w:p>
      <w:pPr>
        <w:pStyle w:val="Heading5"/>
      </w:pPr>
      <w:r>
        <w:rPr>
          <w:rFonts w:ascii="Calibri" w:hAnsi="Calibri"/>
          <w:b/>
          <w:i/>
          <w:sz w:val="22"/>
        </w:rPr>
        <w:t>Bình luận và Câu hỏi</w:t>
      </w:r>
    </w:p>
    <w:p>
      <w:pPr>
        <w:spacing w:after="80"/>
      </w:pPr>
      <w:r>
        <w:rPr>
          <w:b w:val="0"/>
          <w:i w:val="0"/>
        </w:rPr>
        <w:t>1. Liệu các bộ quy tắc ứng xử mang tính “khát vọng” (aspirational) có phải là phương pháp hiệu quả để thúc đẩy trách nhiệm xã hội không? Điểm mạnh và điểm yếu của chúng là gì? Có nên có một dạng “nơi trú ẩn an toàn” (safe harbor) nào đó cho các nghĩa vụ nằm trong một bộ quy tắc mang tính khát vọng không?</w:t>
      </w:r>
    </w:p>
    <w:p>
      <w:pPr>
        <w:spacing w:after="80"/>
      </w:pPr>
      <w:r>
        <w:rPr>
          <w:b w:val="0"/>
          <w:i w:val="0"/>
        </w:rPr>
        <w:t>2. Một số lý do khiến các công ty có thể cam kết hoặc không cam kết thực hiện hành vi có trách nhiệm với xã hội trong các loại bộ quy tắc này là gì? Nike từng vướng vào một vụ kiện vì những tuyên bố trong bộ quy tắc của mình. Vậy tại sao các công ty vẫn có thể triển khai những bộ quy tắc này, ngay cả khi có thể phát sinh một số rủi ro về trách nhiệm pháp lý?</w:t>
      </w:r>
    </w:p>
    <w:p>
      <w:pPr>
        <w:spacing w:after="80"/>
      </w:pPr>
      <w:r>
        <w:rPr>
          <w:b w:val="0"/>
          <w:i w:val="0"/>
        </w:rPr>
        <w:t xml:space="preserve">3. Liệu các quy định chống gian lận của luật chứng khoán có thể dẫn đến trách nhiệm pháp lý đối với những tuyên bố sai lệch về cam kết của một công ty đối với trách nhiệm xã hội của doanh nghiệp không? </w:t>
      </w:r>
      <w:r>
        <w:rPr>
          <w:b w:val="0"/>
          <w:i/>
        </w:rPr>
        <w:t>Xem In re: Ford Motor Co. Sec. Litig.</w:t>
      </w:r>
      <w:r>
        <w:rPr>
          <w:b w:val="0"/>
          <w:i w:val="0"/>
        </w:rPr>
        <w:t xml:space="preserve"> , 381 F.3d 563 (6th Cir. 2004) (mô tả tuyên bố rằng công ty “sẽ dẫn đầu về trách nhiệm xã hội của doanh nghiệp” chỉ là lời nói khoa trương mà thôi). Những yếu tố nào sẽ khó đáp ứng nhất khi thiết lập một khiếu nại theo Rule 10b-5 hoặc 14a-9 đối với những tuyên bố sai lệch về thành tích của một công ty liên quan đến trách nhiệm xã hội?</w:t>
      </w:r>
    </w:p>
    <w:p>
      <w:pPr>
        <w:spacing w:after="80"/>
      </w:pPr>
      <w:r>
        <w:rPr>
          <w:b w:val="0"/>
          <w:i w:val="0"/>
        </w:rPr>
        <w:t xml:space="preserve">4. Liệu một công ty vì lợi ích (benefit corporation) có thể là một giải pháp thay thế tốt hơn cho các bộ quy tắc tự nguyện không? Ít nhất một nhà bình luận cho rằng có thể như vậy. Xem Joseph Karl Grant, </w:t>
      </w:r>
      <w:r>
        <w:rPr>
          <w:b w:val="0"/>
          <w:i/>
        </w:rPr>
        <w:t>When Making Money and Making A Sustainable and Societal Difference Collide: Will Benefit Corporations Succeed or Fail</w:t>
      </w:r>
      <w:r>
        <w:rPr>
          <w:b w:val="0"/>
          <w:i w:val="0"/>
        </w:rPr>
        <w:t xml:space="preserve"> ?, 46 Ind. L. Rev. 581 (2013) (“Điều lệ thành lập của các công ty vì lợi ích được luật quy định bắt buộc phải cung cấp một mức độ trách nhiệm giải trình cụ thể đối với một số bên liên quan nhất định mà không hề có trong hầu hết các bộ quy tắc doanh nghiệp truyền thống” và phải tuân theo “những yêu cầu minh bạch đặc thù chưa từng thấy trong các bộ quy tắc doanh nghiệp truyền thống”). Bạn có đồng ý không?</w:t>
      </w:r>
    </w:p>
    <w:p>
      <w:pPr>
        <w:spacing w:after="80"/>
      </w:pPr>
      <w:r>
        <w:rPr>
          <w:b w:val="0"/>
          <w:i w:val="0"/>
        </w:rPr>
        <w:t>—————</w:t>
      </w:r>
    </w:p>
    <w:p>
      <w:pPr>
        <w:spacing w:after="80"/>
      </w:pPr>
      <w:r>
        <w:rPr>
          <w:b w:val="0"/>
          <w:i w:val="0"/>
        </w:rPr>
        <w:t>CÁC HIỆP ƯỚC TOÀN CẦU</w:t>
      </w:r>
    </w:p>
    <w:p>
      <w:pPr>
        <w:spacing w:after="80"/>
      </w:pPr>
      <w:r>
        <w:rPr>
          <w:b w:val="0"/>
          <w:i w:val="0"/>
        </w:rPr>
        <w:t>Giả sử các công ty muốn tuân theo những tiêu chuẩn mang tính “khát vọng” hơn, thì một mối lo là việc xác định rõ những mục tiêu đó. Một nguồn ngày càng phổ biến là Hiệp ước Toàn cầu của Liên Hợp Quốc về Quản trị (U.N. Global Compact on Governance). Hiệp ước này được xây dựng dưới sự bảo trợ của Liên Hợp Quốc và mang tính tự nguyện.</w:t>
      </w:r>
    </w:p>
    <w:p>
      <w:pPr>
        <w:spacing w:after="80"/>
      </w:pPr>
      <w:r>
        <w:rPr>
          <w:b w:val="0"/>
          <w:i w:val="0"/>
        </w:rPr>
        <w:t>Được giới thiệu vào năm 2000, Hiệp ước Toàn cầu ban đầu gồm chín nguyên tắc, với một nguyên tắc về chống tham nhũng được bổ sung vào năm 2004. Các Nguyên tắc bao gồm:</w:t>
      </w:r>
    </w:p>
    <w:p>
      <w:pPr>
        <w:spacing w:after="80"/>
      </w:pPr>
      <w:r>
        <w:rPr>
          <w:b/>
          <w:i w:val="0"/>
        </w:rPr>
        <w:t>Quyền Con người</w:t>
      </w:r>
    </w:p>
    <w:p>
      <w:pPr>
        <w:spacing w:after="80"/>
        <w:ind w:left="360"/>
      </w:pPr>
      <w:r>
        <w:t xml:space="preserve">• </w:t>
      </w:r>
      <w:r>
        <w:rPr>
          <w:b w:val="0"/>
          <w:i w:val="0"/>
        </w:rPr>
        <w:t>Nguyên tắc 1: Các doanh nghiệp nên ủng hộ và tôn trọng việc bảo vệ các quyền con người được công bố trên phạm vi quốc tế; và</w:t>
      </w:r>
    </w:p>
    <w:p>
      <w:pPr>
        <w:spacing w:after="80"/>
        <w:ind w:left="360"/>
      </w:pPr>
      <w:r>
        <w:t xml:space="preserve">• </w:t>
      </w:r>
      <w:r>
        <w:rPr>
          <w:b w:val="0"/>
          <w:i w:val="0"/>
        </w:rPr>
        <w:t>Nguyên tắc 2: đảm bảo rằng họ không đồng lõa trong các hành vi lạm dụng quyền con người.</w:t>
      </w:r>
    </w:p>
    <w:p>
      <w:pPr>
        <w:spacing w:after="80"/>
      </w:pPr>
      <w:r>
        <w:rPr>
          <w:b/>
          <w:i w:val="0"/>
        </w:rPr>
        <w:t>Tiêu chuẩn Lao động</w:t>
      </w:r>
    </w:p>
    <w:p>
      <w:pPr>
        <w:spacing w:after="80"/>
        <w:ind w:left="360"/>
      </w:pPr>
      <w:r>
        <w:t xml:space="preserve">• </w:t>
      </w:r>
      <w:r>
        <w:rPr>
          <w:b w:val="0"/>
          <w:i w:val="0"/>
        </w:rPr>
        <w:t>Nguyên tắc 3: Các doanh nghiệp nên đề cao quyền tự do hiệp hội và việc công nhận hiệu quả quyền thương lượng tập thể;</w:t>
      </w:r>
    </w:p>
    <w:p>
      <w:pPr>
        <w:spacing w:after="80"/>
        <w:ind w:left="360"/>
      </w:pPr>
      <w:r>
        <w:t xml:space="preserve">• </w:t>
      </w:r>
      <w:r>
        <w:rPr>
          <w:b w:val="0"/>
          <w:i w:val="0"/>
        </w:rPr>
        <w:t>Nguyên tắc 4: xóa bỏ mọi hình thức lao động cưỡng bức và bắt buộc;</w:t>
      </w:r>
    </w:p>
    <w:p>
      <w:pPr>
        <w:spacing w:after="80"/>
        <w:ind w:left="360"/>
      </w:pPr>
      <w:r>
        <w:t xml:space="preserve">• </w:t>
      </w:r>
      <w:r>
        <w:rPr>
          <w:b w:val="0"/>
          <w:i w:val="0"/>
        </w:rPr>
        <w:t>Nguyên tắc 5: xóa bỏ hiệu quả lao động trẻ em; và</w:t>
      </w:r>
    </w:p>
    <w:p>
      <w:pPr>
        <w:spacing w:after="80"/>
        <w:ind w:left="360"/>
      </w:pPr>
      <w:r>
        <w:t xml:space="preserve">• </w:t>
      </w:r>
      <w:r>
        <w:rPr>
          <w:b w:val="0"/>
          <w:i w:val="0"/>
        </w:rPr>
        <w:t>Nguyên tắc 6: xóa bỏ phân biệt đối xử trong việc làm và nghề nghiệp.</w:t>
      </w:r>
    </w:p>
    <w:p>
      <w:pPr>
        <w:spacing w:after="80"/>
      </w:pPr>
      <w:r>
        <w:rPr>
          <w:b/>
          <w:i w:val="0"/>
        </w:rPr>
        <w:t>Môi trường</w:t>
      </w:r>
    </w:p>
    <w:p>
      <w:pPr>
        <w:spacing w:after="80"/>
        <w:ind w:left="360"/>
      </w:pPr>
      <w:r>
        <w:t xml:space="preserve">• </w:t>
      </w:r>
      <w:r>
        <w:rPr>
          <w:b w:val="0"/>
          <w:i w:val="0"/>
        </w:rPr>
        <w:t>Nguyên tắc 7: Doanh nghiệp nên ủng hộ cách tiếp cận thận trọng đối với các thách thức về môi trường;</w:t>
      </w:r>
    </w:p>
    <w:p>
      <w:pPr>
        <w:spacing w:after="80"/>
        <w:ind w:left="360"/>
      </w:pPr>
      <w:r>
        <w:t xml:space="preserve">• </w:t>
      </w:r>
      <w:r>
        <w:rPr>
          <w:b w:val="0"/>
          <w:i w:val="0"/>
        </w:rPr>
        <w:t>Nguyên tắc 8: thực hiện các sáng kiến nhằm thúc đẩy trách nhiệm môi trường cao hơn; và</w:t>
      </w:r>
    </w:p>
    <w:p>
      <w:pPr>
        <w:spacing w:after="80"/>
        <w:ind w:left="360"/>
      </w:pPr>
      <w:r>
        <w:t xml:space="preserve">• </w:t>
      </w:r>
      <w:r>
        <w:rPr>
          <w:b w:val="0"/>
          <w:i w:val="0"/>
        </w:rPr>
        <w:t>Nguyên tắc 9: khuyến khích phát triển và lan tỏa các công nghệ thân thiện với môi trường.</w:t>
      </w:r>
    </w:p>
    <w:p>
      <w:pPr>
        <w:spacing w:after="80"/>
      </w:pPr>
      <w:r>
        <w:rPr>
          <w:b/>
          <w:i w:val="0"/>
        </w:rPr>
        <w:t>Chống tham nhũng</w:t>
      </w:r>
    </w:p>
    <w:p>
      <w:pPr>
        <w:spacing w:after="80"/>
        <w:ind w:left="360"/>
      </w:pPr>
      <w:r>
        <w:t xml:space="preserve">• </w:t>
      </w:r>
      <w:r>
        <w:rPr>
          <w:b w:val="0"/>
          <w:i w:val="0"/>
        </w:rPr>
        <w:t>Nguyên tắc 10: Doanh nghiệp nên đấu tranh chống tham nhũng dưới mọi hình thức, bao gồm tống tiền và hối lộ.</w:t>
      </w:r>
    </w:p>
    <w:p>
      <w:pPr>
        <w:spacing w:after="80"/>
      </w:pPr>
      <w:r>
        <w:rPr>
          <w:b w:val="0"/>
          <w:i w:val="0"/>
        </w:rPr>
        <w:t>—————</w:t>
      </w:r>
    </w:p>
    <w:p>
      <w:pPr>
        <w:spacing w:after="80"/>
      </w:pPr>
      <w:r>
        <w:rPr>
          <w:b w:val="0"/>
          <w:i w:val="0"/>
        </w:rPr>
        <w:t>Tuy nhiên, việc tuân thủ Global Compact là tự nguyện. Hơn nữa, các điều khoản rất rộng và cho phép mức độ tùy nghi đáng kể. Cũng không có biện pháp khắc phục nào cho các vi phạm. Kết quả là sự pha trộn giữa chỉ trích và khen ngợi.</w:t>
      </w:r>
    </w:p>
    <w:p>
      <w:pPr>
        <w:pStyle w:val="Heading4"/>
      </w:pPr>
      <w:r>
        <w:rPr>
          <w:rFonts w:ascii="Calibri" w:hAnsi="Calibri"/>
          <w:b/>
          <w:i w:val="0"/>
          <w:sz w:val="23"/>
        </w:rPr>
        <w:t xml:space="preserve">Surya Deva, </w:t>
      </w:r>
      <w:r>
        <w:rPr>
          <w:rFonts w:ascii="Calibri" w:hAnsi="Calibri"/>
          <w:b/>
          <w:i/>
          <w:sz w:val="23"/>
        </w:rPr>
        <w:t>Global Compact: A Critique of the U.N.'s</w:t>
      </w:r>
      <w:r>
        <w:br/>
      </w:r>
      <w:r>
        <w:rPr>
          <w:rFonts w:ascii="Calibri" w:hAnsi="Calibri"/>
          <w:b/>
          <w:i/>
          <w:sz w:val="23"/>
        </w:rPr>
        <w:t xml:space="preserve"> “Public-Private” Partnership for Promoting Corporate Citizenship</w:t>
      </w:r>
    </w:p>
    <w:p>
      <w:pPr>
        <w:spacing w:after="80"/>
      </w:pPr>
      <w:r>
        <w:rPr>
          <w:b w:val="0"/>
          <w:i w:val="0"/>
        </w:rPr>
        <w:t>34 Syracuse J. Int'l L. &amp; Com. 107, 129–30, 132, 141–43 (2006)</w:t>
      </w:r>
    </w:p>
    <w:p>
      <w:pPr>
        <w:spacing w:after="80"/>
      </w:pPr>
      <w:r>
        <w:rPr>
          <w:b w:val="0"/>
          <w:i w:val="0"/>
        </w:rPr>
        <w:t>A. Compact, các nguyên tắc chung chung và mơ hồ</w:t>
      </w:r>
    </w:p>
    <w:p>
      <w:pPr>
        <w:spacing w:after="80"/>
      </w:pPr>
      <w:r>
        <w:rPr>
          <w:b w:val="0"/>
          <w:i w:val="0"/>
        </w:rPr>
        <w:t>Để giữ cho nó đơn giản và hấp dẫn đối với các tập đoàn, mười nguyên tắc của Global Compact về cơ bản là những “câu một dòng”, cùng lắm là một ví dụ của một “bộ quy tắc tối giản” về hành vi doanh nghiệp. Do đó, các nguyên tắc này hầu như không cung cấp hướng dẫn đầy đủ và cụ thể cho các tập đoàn về hành vi mà họ được kỳ vọng thực hiện: “Nhiều nguyên tắc [của Global Compact] không thể được định nghĩa vào thời điểm này với độ chính xác cần thiết cho một bộ quy tắc ứng xử khả thi.” Tính chung chung kèm theo sự mơ hồ của các nguyên tắc Compact là phản tác dụng từ góc độ của cả những công dân doanh nghiệp chân thành lẫn không chân thành. Ngôn ngữ của những nguyên tắc này chung chung đến mức các tập đoàn không chân thành có thể dễ dàng lách qua hoặc tuân thủ chúng mà không làm gì để thúc đẩy nhân quyền hay các tiêu chuẩn lao động. Mặt khác, ngay cả một công dân doanh nghiệp chân thành như Novartis cũng thấy ngôn ngữ quá chung chung để có thể triển khai: “Tính chung chung của các nguyên tắc Global Compact cần được cụ thể hóa cho môi trường cụ thể của Novartis như một bước đầu tiên trong việc triển khai.” Một mức độ chung chung hay linh hoạt nhất định trong các nguyên tắc chỉ đạo của bất kỳ sáng kiến quốc tế nào là một đức tính đáng mong muốn, nhưng không phải nếu nó có thể được hiểu là bao gồm hoặc loại trừ bất cứ điều gì tùy theo sự thuận tiện của từng tập đoàn.</w:t>
      </w:r>
    </w:p>
    <w:p>
      <w:pPr>
        <w:spacing w:after="80"/>
      </w:pPr>
      <w:r>
        <w:rPr>
          <w:b w:val="0"/>
          <w:i w:val="0"/>
        </w:rPr>
        <w:t>Ngoài ra, chúng ta có thể nhớ rằng các nguyên tắc Compact phải tuân theo một điều khoản chung, đó là các công ty chỉ cần thực hiện các biện pháp “trong phạm vi ảnh hưởng của mình.” Điều gì tạo nên “phạm vi ảnh hưởng” của một tập đoàn nhất định, dù là nền tảng cho hiệu quả của các nguyên tắc Compact, lại là một vấn đề không chắc chắn và mang tính suy đoán. Ví dụ, liệu nó có bao gồm các công ty con và các đơn vị liên kết của một công ty mẹ không? Hơn nữa, liệu nó có bao gồm các chuỗi cung ứng của một tập đoàn không? Nếu có, thì ở mức độ nào? Điểm mười hai của Tuyên bố Thượng Hải dường như giải quyết vấn đề này đối với các chuỗi cung ứng khi các tập đoàn đồng ý “đảm bảo rằng năng lực của chuỗi cung ứng được xây dựng để thực hiện hiệu quả Global Compact của Liên Hợp Quốc.” Nhưng mức độ mà các tập đoàn sẽ đi để đảm bảo rằng chuỗi cung ứng của họ có đủ năng lực cần thiết để thực hiện các nguyên tắc Compact thì vẫn còn phải chờ xem. Ngoài ra, không thể nói chắc chắn liệu tất cả các công ty con của một công ty mẹ có được coi là các thực thể nằm trong phạm vi ảnh hưởng của công ty mẹ hay không. Về mặt logic, chúng nên được đối xử như vậy.</w:t>
      </w:r>
    </w:p>
    <w:p>
      <w:pPr>
        <w:spacing w:after="80"/>
      </w:pPr>
      <w:r>
        <w:rPr>
          <w:b w:val="0"/>
          <w:i w:val="0"/>
        </w:rPr>
        <w:t>* * *</w:t>
      </w:r>
    </w:p>
    <w:p>
      <w:pPr>
        <w:spacing w:after="80"/>
      </w:pPr>
      <w:r>
        <w:rPr>
          <w:b w:val="0"/>
          <w:i w:val="0"/>
        </w:rPr>
        <w:t>3. Các tập đoàn hàng đầu thế giới đang ở đâu?</w:t>
      </w:r>
    </w:p>
    <w:p>
      <w:pPr>
        <w:spacing w:after="80"/>
      </w:pPr>
      <w:r>
        <w:rPr>
          <w:b w:val="0"/>
          <w:i w:val="0"/>
        </w:rPr>
        <w:t>Cuối cùng, có thể sẽ hữu ích khi tìm hiểu xem các tập đoàn lớn nhất thế giới đã phản ứng thế nào trước thách thức tham gia Global Compact (Hiệp ước Toàn cầu). Danh sách các tập đoàn hàng đầu thế giới được nhiều tạp chí hoặc báo tài chính như Fortune, Forbes và Financial Times tổng hợp. Dựa trên bảng xếp hạng Financial Times Global 500, Văn phòng Hiệp ước tự hào tuyên bố rằng 106 trong số 500 công ty lớn nhất thế giới đã ký tham gia Global Compact. “CG Global 106”, như cách trang web của Hiệp ước gọi họ, đến từ hai mươi lăm quốc gia, trực tiếp tuyển dụng khoảng mười triệu người và có giá trị thị trường khoảng 3,5 nghìn tỷ USD. Sự ủng hộ của Global 106 (chiếm 21,20% tổng số Financial Times Global 500) dành cho Hiệp ước chắc chắn là một dấu hiệu đáng khích lệ, cũng bởi vì trong số các công ty này, chỉ có một công ty (Johnson Controls Inc.) bị xếp vào danh sách công ty không giao tiếp.</w:t>
      </w:r>
    </w:p>
    <w:p>
      <w:pPr>
        <w:spacing w:after="80"/>
      </w:pPr>
      <w:r>
        <w:rPr>
          <w:b w:val="0"/>
          <w:i w:val="0"/>
        </w:rPr>
        <w:t>Ngoài Financial Times Global 500, người ta cũng xem xét cách Fortune Global 500 thể hiện sự quan tâm tham gia vào quan hệ đối tác “công-tư” của Liên Hợp Quốc vì quyền công dân doanh nghiệp. Vì Hiệp ước áp dụng nguyên tắc lãnh đạo, một công ty trong Fortune Global 500 chỉ được coi là thành viên tham gia Global Compact nếu công ty mẹ là thành viên tham gia. Trong một số trường hợp, dù công ty mẹ chưa ký tham gia Global Compact, một hoặc nhiều công ty con của nó đã trở thành thành viên tham gia với tư cách riêng. Ví dụ, dù Ford Motor không có trong danh sách thành viên tham gia Hiệp ước, Ford Argentina và Ford Malaysia lại là các bên tham gia Hiệp ước. Tương tự, Fiat France và Fiat Argentina đã ký, nhưng Fiat, công ty mẹ, thì không. Ngoài ra, GlaxoSmithKline Romania và GlaxoSmithKline Bulgaria là thành viên tham gia Global Compact, nhưng công ty mẹ tại Anh của họ thì không.</w:t>
      </w:r>
    </w:p>
    <w:p>
      <w:pPr>
        <w:spacing w:after="80"/>
      </w:pPr>
      <w:r>
        <w:rPr>
          <w:b w:val="0"/>
          <w:i w:val="0"/>
        </w:rPr>
        <w:t>Trong số 500 tập đoàn này, 131 tập đoàn (khoảng 26% tổng số) là thành viên tham gia Global Compact tính đến ngày 18 tháng 3 năm 2006. . . . Mặt khác, khoảng 74% trong số 500 tập đoàn hàng đầu toàn cầu (369 tập đoàn) vẫn chưa trở thành bên ký kết Global Compact. Nhiều tập đoàn nổi tiếng thế giới nằm trong danh sách thiếu vắng này của các thành viên tham gia Hiệp ước, . . .</w:t>
      </w:r>
    </w:p>
    <w:p>
      <w:pPr>
        <w:spacing w:after="80"/>
      </w:pPr>
      <w:r>
        <w:rPr>
          <w:b w:val="0"/>
          <w:i w:val="0"/>
        </w:rPr>
        <w:t>Mục tiêu của cuộc khảo sát này không phải là để ngụ ý rằng tất cả các thành viên tham gia Hiệp ước đương nhiên trở thành công dân doanh nghiệp tốt, hay việc tham gia Global Compact là phép thử cho hành vi doanh nghiệp có trách nhiệm. Một số thành viên tham gia Hiệp ước như Coca-Cola, BHP, Shell, L'Oreal và Cisco đã từng là đối tượng bị công chúng chỉ trích hoặc thậm chí bị kiện vì các chính sách/hành động vi phạm nhân quyền, tiêu chuẩn lao động hoặc gây ô nhiễm môi trường. Ngược lại, ngay cả khi không tham gia Hiệp ước, các tập đoàn vẫn có thể tham gia các sáng kiến khác và thực hiện trách nhiệm xã hội của mình một cách hiệu quả. Thay vào đó, mục tiêu là đo lường mức độ mà các tập đoàn lớn nhất thế giới đón nhận ý tưởng về Global Compact.</w:t>
      </w:r>
    </w:p>
    <w:p>
      <w:pPr>
        <w:spacing w:after="80"/>
      </w:pPr>
      <w:r>
        <w:rPr>
          <w:b w:val="0"/>
          <w:i w:val="0"/>
        </w:rPr>
        <w:t>Dựa trên những phát hiện trên, có thể kết luận một cách hợp lý rằng các tập đoàn hàng đầu thế giới coi việc tham gia Hiệp ước là một đề xuất hấp dẫn. Vì hầu hết các tập đoàn này đã áp dụng một số loại quy tắc ứng xử và có thể đã giao trách nhiệm giám sát các vấn đề CSR (trách nhiệm xã hội doanh nghiệp) cho một ai đó trong tổ chức, việc tham gia Hiệp ước có thể sẽ không đặt thêm nhiều gánh nặng lên họ. Ngược lại, việc ký tham gia Hiệp ước mang lại quyền tiếp cận trực tiếp với Liên Hợp Quốc. Do đó, có thể kỳ vọng rằng nhiều tập đoàn trong Global 500 sẽ trở thành thành viên tham gia Hiệp ước trong những năm tới. Tuy nhiên, mức độ mà các tập đoàn này thực sự coi trọng và sẽ tiếp tục coi trọng các cam kết của Hiệp ước lại là một vấn đề hoàn toàn khác.</w:t>
      </w:r>
    </w:p>
    <w:p>
      <w:pPr>
        <w:pStyle w:val="Heading5"/>
      </w:pPr>
      <w:r>
        <w:rPr>
          <w:rFonts w:ascii="Calibri" w:hAnsi="Calibri"/>
          <w:b/>
          <w:i/>
          <w:sz w:val="22"/>
        </w:rPr>
        <w:t>Bình luận và Câu hỏi</w:t>
      </w:r>
    </w:p>
    <w:p>
      <w:pPr>
        <w:spacing w:after="80"/>
      </w:pPr>
      <w:r>
        <w:rPr>
          <w:b w:val="0"/>
          <w:i w:val="0"/>
        </w:rPr>
        <w:t xml:space="preserve">1. Global Compact đã thành công hay thất bại? Chắc chắn dựa trên số lượng công ty đồng ý tuân thủ các nguyên tắc, có vẻ như nó đã thành công. Xem David Weissbrodt, </w:t>
      </w:r>
      <w:r>
        <w:rPr>
          <w:b w:val="0"/>
          <w:i/>
        </w:rPr>
        <w:t>Human Rights Standards Concerning Transnational Corporations and Other Business Entities</w:t>
      </w:r>
      <w:r>
        <w:rPr>
          <w:b w:val="0"/>
          <w:i w:val="0"/>
        </w:rPr>
        <w:t xml:space="preserve"> , 23 Minn. J. Int'l L. 135, 166 (2014) (lưu ý rằng vào năm 2012, Global Compact có “hơn 10.000 thành viên tham gia, bao gồm hơn 7000 doanh nghiệp, đến từ 145 quốc gia khác nhau”). Đồng thời, những con số đó cần được nhìn nhận một cách thận trọng. Xem Id. tại 166–67 (lưu ý rằng đến năm 2013, “chỉ 512 trong số các công ty đó coi việc thực hiện Global Compact của họ ở ‘mức độ tiên tiến,’ trong khi hơn 1.500 công ty bị xác định là ‘thành viên không giao tiếp,’ và hơn 4.000 công ty đã bị trục xuất vì ‘không báo cáo tiến độ trong thời hạn yêu cầu.’”).</w:t>
      </w:r>
    </w:p>
    <w:p>
      <w:pPr>
        <w:spacing w:after="80"/>
      </w:pPr>
      <w:r>
        <w:rPr>
          <w:b w:val="0"/>
          <w:i w:val="0"/>
        </w:rPr>
        <w:t>2. Đâu là giới hạn của Hiệp ước? Các công ty tuân thủ Global Compact phải “đón nhận, ủng hộ và thực thi, trong phạm vi ảnh hưởng của mình, một bộ giá trị cốt lõi” trong các lĩnh vực được liệt kê. Liệu nó có đủ cụ thể để cung cấp các tiêu chuẩn có ý nghĩa nhằm đánh giá việc tuân thủ không?</w:t>
      </w:r>
    </w:p>
    <w:p>
      <w:pPr>
        <w:spacing w:after="80"/>
      </w:pPr>
      <w:r>
        <w:rPr>
          <w:b w:val="0"/>
          <w:i w:val="0"/>
        </w:rPr>
        <w:t xml:space="preserve">3. Theo một nhà bình luận: “Các bên ký kết Global Compact đưa ra cam kết công khai và rõ ràng để thực hiện mười nguyên tắc của một doanh nghiệp có trách nhiệm, công bố báo cáo thường niên mô tả các biện pháp họ đã ban hành để thúc đẩy các nguyên tắc này, và công khai vận động người khác cùng tham gia ủng hộ các nguyên tắc của Hiệp ước.” Janet E. Kerr, </w:t>
      </w:r>
      <w:r>
        <w:rPr>
          <w:b w:val="0"/>
          <w:i/>
        </w:rPr>
        <w:t>The Creative Capitalism Spectrum: Evaluating Corporate Social Responsibility Through A Legal Lens</w:t>
      </w:r>
      <w:r>
        <w:rPr>
          <w:b w:val="0"/>
          <w:i w:val="0"/>
        </w:rPr>
        <w:t xml:space="preserve"> , 81 Temp. L. Rev. 831, 866 (2008). Liệu điều này có đủ để đảm bảo ít nhất một mức độ tuân thủ nhất định không?</w:t>
      </w:r>
    </w:p>
    <w:p>
      <w:pPr>
        <w:spacing w:after="80"/>
      </w:pPr>
      <w:r>
        <w:rPr>
          <w:b w:val="0"/>
          <w:i w:val="0"/>
        </w:rPr>
        <w:t xml:space="preserve">4. Việc không đáp ứng các tiêu chuẩn tự nguyện có thể dẫn đến tổn hại danh tiếng. </w:t>
      </w:r>
      <w:r>
        <w:rPr>
          <w:b w:val="0"/>
          <w:i/>
        </w:rPr>
        <w:t>Xem</w:t>
      </w:r>
      <w:r>
        <w:rPr>
          <w:b w:val="0"/>
          <w:i w:val="0"/>
        </w:rPr>
        <w:t xml:space="preserve"> Kevin T. Jackson, </w:t>
      </w:r>
      <w:r>
        <w:rPr>
          <w:b w:val="0"/>
          <w:i/>
        </w:rPr>
        <w:t>Global Corporate Governance: Soft Law and Reputational Accountability</w:t>
      </w:r>
      <w:r>
        <w:rPr>
          <w:b w:val="0"/>
          <w:i w:val="0"/>
        </w:rPr>
        <w:t xml:space="preserve"> , 35 Brook. J. Int'l L. 41, 105 (2010) (“Bất kỳ nỗ lực nào nhằm lừa dối công chúng, trong thời đại truyền thông phi tập trung, có sức lan tỏa rộng khắp ngày nay, sẽ nhanh chóng gây tổn hại danh tiếng.”). Liệu điều này có đủ để đảm bảo việc tuân thủ các tiêu chuẩn tự nguyện không?</w:t>
      </w:r>
    </w:p>
    <w:p>
      <w:pPr>
        <w:spacing w:after="80"/>
      </w:pPr>
      <w:r>
        <w:rPr>
          <w:b w:val="0"/>
          <w:i w:val="0"/>
        </w:rPr>
        <w:t>5. Ngay cả với những công ty đồng ý tuân thủ Hiệp ước, liệu việc tuân thủ có thể được xác minh không? Các thành viên tham gia được kỳ vọng sẽ tạo ra một báo cáo thường niên thảo luận về việc thực hiện. Liệu điều này có đủ để cho phép xác minh không? Một hệ thống công bố thông tin và xác minh nghiêm ngặt sẽ có tác động gì đến mức độ phổ biến của Hiệp ước?</w:t>
      </w:r>
    </w:p>
    <w:p>
      <w:pPr>
        <w:spacing w:after="80"/>
      </w:pPr>
      <w:r>
        <w:rPr>
          <w:b w:val="0"/>
          <w:i w:val="0"/>
        </w:rPr>
        <w:t>6. Trong phạm vi có những vấn đề về việc tuân thủ, liệu Hiệp ước có thể gây ra những hậu quả tiêu cực không? Liệu nó có cho phép các tập đoàn tạo ra vẻ ngoài trách nhiệm xã hội mà không thực sự thực hiện hành vi đó không?</w:t>
      </w:r>
    </w:p>
    <w:p>
      <w:pPr>
        <w:spacing w:after="80"/>
      </w:pPr>
      <w:r>
        <w:rPr>
          <w:b w:val="0"/>
          <w:i w:val="0"/>
        </w:rPr>
        <w:t>7. Việc giảng dạy về trách nhiệm xã hội doanh nghiệp trong một lớp học truyền thống về tập đoàn hoặc chứng khoán không phải lúc nào cũng là một đề xuất hiển nhiên. Tuy nhiên, Giáo sư Stevelman lưu ý rằng:</w:t>
      </w:r>
    </w:p>
    <w:p>
      <w:pPr>
        <w:spacing w:after="80"/>
      </w:pPr>
      <w:r>
        <w:rPr>
          <w:b w:val="0"/>
          <w:i w:val="0"/>
        </w:rPr>
        <w:t>[K]hi CSR đang đạt đến khối lượng tới hạn như một phong trào xã hội, có khả năng sẽ có áp lực liên tục từ người tiêu dùng và nhà đầu tư buộc các doanh nghiệp phải quan tâm đầy đủ hơn đến những gì từng được coi là yếu tố ngoại vi. Các trường luật không chuẩn bị cho sinh viên của mình đối mặt với môi trường mới này—không cảnh báo họ về khía cạnh rộng lớn hơn này của việc tư vấn doanh nghiệp—sẽ bị tụt lại phía sau.</w:t>
      </w:r>
    </w:p>
    <w:p>
      <w:pPr>
        <w:spacing w:after="80"/>
      </w:pPr>
      <w:r>
        <w:rPr>
          <w:b w:val="0"/>
          <w:i w:val="0"/>
        </w:rPr>
        <w:t xml:space="preserve">Faith Stevelman, </w:t>
      </w:r>
      <w:r>
        <w:rPr>
          <w:b w:val="0"/>
          <w:i/>
        </w:rPr>
        <w:t>Globalization and Corporate Social Responsibility: Challenges for the Academy, Future Lawyers, and Corporate Law</w:t>
      </w:r>
      <w:r>
        <w:rPr>
          <w:b w:val="0"/>
          <w:i w:val="0"/>
        </w:rPr>
        <w:t xml:space="preserve"> , 53 N.Y.L. Sch. L. Rev. 817, 852 (2008/2009). Bạn có đồng ý không? Việc không giảng dạy học thuyết này trong các khóa học pháp lý truyền thống hơn có phải là một sự bất công không?</w:t>
      </w:r>
    </w:p>
    <w:p>
      <w:pPr>
        <w:pStyle w:val="Heading3"/>
      </w:pPr>
      <w:r>
        <w:rPr>
          <w:rFonts w:ascii="Calibri" w:hAnsi="Calibri"/>
          <w:b/>
          <w:i w:val="0"/>
          <w:sz w:val="26"/>
        </w:rPr>
        <w:t>B. Trách nhiệm Xã hội Doanh nghiệp và Việc Thực thi Nhân quyền Tư nhân</w:t>
      </w:r>
    </w:p>
    <w:p>
      <w:pPr>
        <w:spacing w:after="80"/>
      </w:pPr>
      <w:r>
        <w:rPr>
          <w:b w:val="0"/>
          <w:i w:val="0"/>
        </w:rPr>
        <w:t>Hiệp ước Toàn cầu (Global Compact) tìm cách thúc đẩy một số nguyên tắc, bao gồm cả những nguyên tắc liên quan đến nhân quyền, nhưng lại đặt ra những lo ngại nghiêm trọng về việc tuân thủ và thực thi. Một hình thức thực thi khả thi, ít nhất là đối với các vi phạm nhân quyền quốc tế, là các vụ kiện tụng tại Hoa Kỳ. Đạo luật được sử dụng rộng rãi nhất có lẽ là Đạo luật về Tội phạm đối với Người nước ngoài (Alien Tort Statute, còn gọi là Đạo luật Khiếu kiện về Tội phạm đối với Người nước ngoài - Alien Tort Claims Act). Đạo luật này quy định thẩm quyền xét xử các hành vi phạm tội dân sự “được thực hiện vi phạm luật pháp của các quốc gia hoặc một hiệp ước của Hoa Kỳ.” 28 U.S.C. § 1350.</w:t>
      </w:r>
    </w:p>
    <w:p>
      <w:pPr>
        <w:spacing w:after="80"/>
      </w:pPr>
      <w:r>
        <w:rPr>
          <w:b w:val="0"/>
          <w:i w:val="0"/>
        </w:rPr>
        <w:t>Mặc dù được thông qua tại Quốc hội đầu tiên vào năm 1789, đạo luật này phần lớn đã bị bỏ xó cho đến khi Tòa án Tối cao làm sống lại luật này vào thiên niên kỷ mới.</w:t>
      </w:r>
    </w:p>
    <w:p>
      <w:pPr>
        <w:pStyle w:val="Heading4"/>
      </w:pPr>
      <w:r>
        <w:rPr>
          <w:rFonts w:ascii="Calibri" w:hAnsi="Calibri"/>
          <w:b/>
          <w:i w:val="0"/>
          <w:sz w:val="23"/>
        </w:rPr>
        <w:t>Sosa v. Alvarez-Machain</w:t>
      </w:r>
    </w:p>
    <w:p>
      <w:pPr>
        <w:spacing w:after="80"/>
      </w:pPr>
      <w:r>
        <w:rPr>
          <w:b w:val="0"/>
          <w:i w:val="0"/>
        </w:rPr>
        <w:t>Tòa án Tối cao Hoa Kỳ</w:t>
      </w:r>
      <w:r>
        <w:br/>
      </w:r>
      <w:r>
        <w:rPr>
          <w:b w:val="0"/>
          <w:i w:val="0"/>
        </w:rPr>
        <w:t xml:space="preserve"> 542 U.S. 692 (2004)</w:t>
      </w:r>
    </w:p>
    <w:p>
      <w:pPr>
        <w:spacing w:after="80"/>
      </w:pPr>
      <w:r>
        <w:rPr>
          <w:b w:val="0"/>
          <w:i w:val="0"/>
        </w:rPr>
        <w:t>THẨM PHÁN SOUTER :</w:t>
      </w:r>
    </w:p>
    <w:p>
      <w:pPr>
        <w:spacing w:after="80"/>
      </w:pPr>
      <w:r>
        <w:rPr>
          <w:b w:val="0"/>
          <w:i w:val="0"/>
        </w:rPr>
        <w:t xml:space="preserve">Thẩm phán Friendly gọi ATS [Đạo luật về Tội phạm đối với Người nước ngoài, 28 USC § 1350] là một “Lohengrin pháp lý,” IIT v. Vencap, Ltd., 519 F.2d 1001, 1015 (CA2 1975); “dường như không ai biết nó từ đâu mà có,” </w:t>
      </w:r>
      <w:r>
        <w:rPr>
          <w:b w:val="0"/>
          <w:i/>
        </w:rPr>
        <w:t>ibid.</w:t>
      </w:r>
      <w:r>
        <w:rPr>
          <w:b w:val="0"/>
          <w:i w:val="0"/>
        </w:rPr>
        <w:t xml:space="preserve"> , và trong hơn 170 năm sau khi ban hành, nó chỉ quy định thẩm quyền xét xử trong đúng một vụ án. Quốc hội đầu tiên đã thông qua nó như một phần của Đạo luật Tư pháp năm 1789, trong đó quy định rằng các tòa án quận liên bang mới “cũng sẽ có thẩm quyền nhận thức, song song với các tòa án của các Tiểu bang, hoặc các tòa án vòng, tùy từng trường hợp, đối với tất cả các nguyên nhân mà một người nước ngoài khởi kiện chỉ vì một hành vi phạm tội dân sự vi phạm luật pháp của các quốc gia hoặc một hiệp ước của Hoa Kỳ.” Act of Sept. 24, 1789, ch. 20, § 9, 1 Stat. 77.</w:t>
      </w:r>
    </w:p>
    <w:p>
      <w:pPr>
        <w:spacing w:after="80"/>
      </w:pPr>
      <w:r>
        <w:rPr>
          <w:b w:val="0"/>
          <w:i w:val="0"/>
        </w:rPr>
        <w:t>* * *</w:t>
      </w:r>
    </w:p>
    <w:p>
      <w:pPr>
        <w:spacing w:after="80"/>
      </w:pPr>
      <w:r>
        <w:rPr>
          <w:b w:val="0"/>
          <w:i w:val="0"/>
        </w:rPr>
        <w:t>. . . [Q]uốc hội đầu tiên hiểu rằng các tòa án quận sẽ công nhận các nguyên nhân khởi kiện tư nhân đối với một số hành vi phạm tội dân sự nhất định vi phạm luật pháp của các quốc gia, mặc dù chúng tôi không tìm thấy cơ sở nào để nghi ngờ rằng Quốc hội có bất kỳ ví dụ nào trong đầu ngoài những hành vi phạm tội dân sự tương ứng với ba tội danh chính của Blackstone: vi phạm giấy thông hành an toàn, xâm phạm quyền của các đại sứ, và cướp biển. Chúng tôi cũng giả định rằng không có sự phát triển nào trong hai thế kỷ kể từ khi ban hành § 1350 cho đến khi khai sinh dòng án lệ hiện đại bắt đầu từ Filartiga v. Pena-Irala, 630 F.2d 876 (CA2 1980), đã loại trừ một cách dứt khoát khả năng các tòa án liên bang công nhận một khiếu nại theo luật pháp của các quốc gia như một yếu tố của thông luật; Quốc hội đã không sửa đổi § 1350 theo bất kỳ cách nào có liên quan hoặc giới hạn quyền lực thông luật dân sự bằng một đạo luật khác. Tuy nhiên, có những lý do chính đáng để có một quan niệm hạn chế về quyền tùy nghi mà một tòa án liên bang nên thực thi khi xem xét một nguyên nhân khởi kiện mới thuộc loại này. Theo đó, chúng tôi cho rằng các tòa án nên yêu cầu bất kỳ khiếu nại nào dựa trên luật pháp của các quốc gia ngày nay phải dựa trên một chuẩn mực mang tính quốc tế được thế giới văn minh chấp nhận và được định nghĩa với mức độ cụ thể tương đương với các đặc điểm của những mô hình thế kỷ 18 mà chúng tôi đã công nhận. . . .</w:t>
      </w:r>
    </w:p>
    <w:p>
      <w:pPr>
        <w:spacing w:after="80"/>
      </w:pPr>
      <w:r>
        <w:rPr>
          <w:b w:val="0"/>
          <w:i w:val="0"/>
        </w:rPr>
        <w:t>* * *</w:t>
      </w:r>
    </w:p>
    <w:p>
      <w:pPr>
        <w:spacing w:after="80"/>
      </w:pPr>
      <w:r>
        <w:rPr>
          <w:b w:val="0"/>
          <w:i w:val="0"/>
        </w:rPr>
        <w:t>. . . Dù tiêu chí cuối cùng để chấp nhận một nguyên nhân khởi kiện thuộc thẩm quyền xét xử theo § 1350 là gì, chúng tôi tin rằng các tòa án liên bang không nên công nhận các khiếu nại tư nhân theo thông luật liên bang đối với các vi phạm bất kỳ chuẩn mực luật quốc tế nào có nội dung và mức độ chấp nhận kém xác định hơn giữa các quốc gia văn minh so với những mô hình lịch sử quen thuộc khi § 1350 được ban hành. Xem, ví dụ, United States v. Smith, 18 U.S. 153, 5 L. Ed. 57, 5 Wheat. 153, 163–180 (1820) (minh họa mức độ cụ thể mà luật pháp của các quốc gia định nghĩa tội cướp biển). Giới hạn này đối với việc công nhận tư pháp nhìn chung nhất quán với lập luận của nhiều tòa án và thẩm phán đã đối mặt với vấn đề này trước khi nó đến được Tòa án này. Xem Filartiga, supra, at 890 (“[Đ]ối với mục đích trách nhiệm dân sự, kẻ tra tấn đã trở thành—giống như tên cướp biển và kẻ buôn nô lệ trước hắn—hostis humani generis, kẻ thù của toàn nhân loại”); Tel-Oren, supra, at 781 (Edwards, J., đồng tình) (gợi ý rằng “giới hạn phạm vi của mục 1350” nên được định nghĩa bằng “một số ít hành vi tàn bạo—mỗi hành vi đều vi phạm các chuẩn mực có thể định nghĩa được, phổ quát và bắt buộc”); xem thêm In re Estate of Marcos Human Rights Litigation, 25 F.3d 1467, 1475 (CA9 1994) (“Các vi phạm luật quốc tế có thể khởi kiện phải thuộc một chuẩn mực cụ thể, phổ quát và bắt buộc”). Và việc xác định liệu một chuẩn mực có đủ xác định để hỗ trợ một nguyên nhân khởi kiện hay không nên (và thực tế, tất yếu phải) bao gồm một yếu tố phán đoán về hậu quả thực tiễn của việc cho phép nguyên nhân đó được các đương sự sử dụng tại các tòa án liên bang.</w:t>
      </w:r>
    </w:p>
    <w:p>
      <w:pPr>
        <w:spacing w:after="80"/>
      </w:pPr>
      <w:r>
        <w:rPr>
          <w:b w:val="0"/>
          <w:i w:val="0"/>
        </w:rPr>
        <w:t>* * *</w:t>
      </w:r>
    </w:p>
    <w:p>
      <w:pPr>
        <w:spacing w:after="80"/>
      </w:pPr>
      <w:r>
        <w:rPr>
          <w:b w:val="0"/>
          <w:i w:val="0"/>
        </w:rPr>
        <w:t>THẨM PHÁN SCALIA , cùng với CHÁNH ÁN và THẨM PHÁN THOMAS tham gia, đồng tình một phần và đồng tình với phán quyết.</w:t>
      </w:r>
    </w:p>
    <w:p>
      <w:pPr>
        <w:spacing w:after="80"/>
      </w:pPr>
      <w:r>
        <w:rPr>
          <w:b w:val="0"/>
          <w:i w:val="0"/>
        </w:rPr>
        <w:t>Không có nhiều điều tôi muốn thêm vào ý kiến chi tiết của Tòa án, và chỉ có một điều tôi muốn bớt đi: việc Tòa án bảo lưu một quyền tùy nghi trong Ngành Tư pháp Liên bang để tạo ra các nguyên nhân khởi kiện nhằm thực thi các chuẩn mực dựa trên luật quốc tế.</w:t>
      </w:r>
    </w:p>
    <w:p>
      <w:pPr>
        <w:pStyle w:val="Heading5"/>
      </w:pPr>
      <w:r>
        <w:rPr>
          <w:rFonts w:ascii="Calibri" w:hAnsi="Calibri"/>
          <w:b/>
          <w:i/>
          <w:sz w:val="22"/>
        </w:rPr>
        <w:t>Bình luận và Câu hỏi</w:t>
      </w:r>
    </w:p>
    <w:p>
      <w:pPr>
        <w:spacing w:after="80"/>
      </w:pPr>
      <w:r>
        <w:rPr>
          <w:b w:val="0"/>
          <w:i w:val="0"/>
        </w:rPr>
        <w:t xml:space="preserve">1. Được thông qua như một phần của Đạo luật Tư pháp bởi Quốc hội đầu tiên vào năm 1789, Đạo luật về Tội phạm đối với Người nước ngoài bị một số người coi là một “văn bản chết.” Vassilis P. Tzevelekos, </w:t>
      </w:r>
      <w:r>
        <w:rPr>
          <w:b w:val="0"/>
          <w:i/>
        </w:rPr>
        <w:t>In Search of Alternative Solutions: Can the State of Origin Be Held Internationally Responsible for Investors' Human Rights Abuses that Are Not Attributable to it?</w:t>
      </w:r>
      <w:r>
        <w:rPr>
          <w:b w:val="0"/>
          <w:i w:val="0"/>
        </w:rPr>
        <w:t xml:space="preserve"> , 35 Brook. J. Int'l L. 155, 209 (2010). Thật vậy, như Tòa án đã lưu ý trong </w:t>
      </w:r>
      <w:r>
        <w:rPr>
          <w:b w:val="0"/>
          <w:i/>
        </w:rPr>
        <w:t>Sosa</w:t>
      </w:r>
      <w:r>
        <w:rPr>
          <w:b w:val="0"/>
          <w:i w:val="0"/>
        </w:rPr>
        <w:t xml:space="preserve"> , “trong hơn 170 năm sau khi ban hành, nó chỉ quy định thẩm quyền xét xử trong đúng một vụ án.” </w:t>
      </w:r>
      <w:r>
        <w:rPr>
          <w:b w:val="0"/>
          <w:i/>
        </w:rPr>
        <w:t>Sosa v. Alvarez-Machain</w:t>
      </w:r>
      <w:r>
        <w:rPr>
          <w:b w:val="0"/>
          <w:i w:val="0"/>
        </w:rPr>
        <w:t xml:space="preserve"> , 542 U.S. 692, 741 (2004). Tuy nhiên, phán quyết của Tòa án Tối cao đã làm sống lại đạo luật này và việc sử dụng nó đã gia tăng đáng kể.</w:t>
      </w:r>
    </w:p>
    <w:p>
      <w:pPr>
        <w:spacing w:after="80"/>
      </w:pPr>
      <w:r>
        <w:rPr>
          <w:b w:val="0"/>
          <w:i w:val="0"/>
        </w:rPr>
        <w:t>2. Theo quan điểm của đa số, Quốc hội, khi thông qua ATS, đã ý thức được ba tội danh chính: vi phạm giấy thông hành an toàn, xâm phạm quyền của các đại sứ, và cướp biển. Liệu đạo luật có nên được giới hạn trong các khiếu nại này không?</w:t>
      </w:r>
    </w:p>
    <w:p>
      <w:pPr>
        <w:spacing w:after="80"/>
      </w:pPr>
      <w:r>
        <w:rPr>
          <w:b w:val="0"/>
          <w:i w:val="0"/>
        </w:rPr>
        <w:t>3. Thẩm phán Souter gợi ý rằng thông luật (common law) sẽ đóng một vai trò trong việc xác định hành vi nào bị điều khoản này ràng buộc. Sự viện dẫn này cho thấy rằng luật trong lĩnh vực này sẽ do tòa án quyết định. Điều này có thể làm dấy lên những lo ngại gì? Liệu đây có phải là điều mà Thẩm phán Scalia đang đề cập trong ý kiến bất đồng của mình không?</w:t>
      </w:r>
    </w:p>
    <w:p>
      <w:pPr>
        <w:spacing w:after="80"/>
      </w:pPr>
      <w:r>
        <w:rPr>
          <w:b w:val="0"/>
          <w:i w:val="0"/>
        </w:rPr>
        <w:t>4. Tòa án chỉ ra rằng các khiếu nại về vi phạm luật quốc tế theo ATS không nên được công nhận trừ khi chúng "xác định rõ ràng" (definite). Làm thế nào người ta có thể chứng minh rằng một nguyên tắc của luật quốc tế đủ "xác định rõ ràng" để duy trì một cơ sở khởi kiện?</w:t>
      </w:r>
    </w:p>
    <w:p>
      <w:pPr>
        <w:spacing w:after="80"/>
      </w:pPr>
      <w:r>
        <w:rPr>
          <w:b w:val="0"/>
          <w:i w:val="0"/>
        </w:rPr>
        <w:t>5. Thẩm phán Breyer, trong ý kiến đồng thuận của mình, lập luận rằng phép lịch sự quốc tế (comity) nên là một phần của phân tích. "Tôi sẽ đặt câu hỏi liệu việc thực thi quyền tài phán theo ATS có nhất quán với những quan niệm về phép lịch sự quốc tế dẫn dắt mỗi quốc gia tôn trọng chủ quyền của các quốc gia khác bằng cách giới hạn phạm vi luật pháp và việc thực thi luật pháp của mình hay không." Bạn có đồng ý không?</w:t>
      </w:r>
    </w:p>
    <w:p>
      <w:pPr>
        <w:spacing w:after="80"/>
      </w:pPr>
      <w:r>
        <w:rPr>
          <w:b w:val="0"/>
          <w:i w:val="0"/>
        </w:rPr>
        <w:t>6. Thẩm phán Friendly có ý gì khi ông gọi đạo luật này là một Lohengrin pháp lý? Lohengrin là một hiệp sĩ của Chén Thánh, người mà khi bị vợ hỏi tên, đã biến mất, không bao giờ trở lại.</w:t>
      </w:r>
    </w:p>
    <w:p>
      <w:pPr>
        <w:spacing w:after="80"/>
      </w:pPr>
      <w:r>
        <w:rPr>
          <w:b w:val="0"/>
          <w:i w:val="0"/>
        </w:rPr>
        <w:t xml:space="preserve">7. Theo nhiều cách, Đạo luật về Tội phạm Ngoại quốc (Alien Tort Statute) là độc nhất vô nhị. Như một nhà bình luận đã lưu ý: "[K]hông có tòa án nội địa nào ở Liên minh Châu Âu có thẩm quyền dân sự tự thân đối với các vi phạm luật quốc tế do các tập đoàn thực hiện ở nước ngoài." Jan Wouters &amp; Cedric Ryngaert, </w:t>
      </w:r>
      <w:r>
        <w:rPr>
          <w:b w:val="0"/>
          <w:i/>
        </w:rPr>
        <w:t>Litigation for Overseas Corporate Human Rights Abuses in the European Union: The Challenge of Jurisdiction</w:t>
      </w:r>
      <w:r>
        <w:rPr>
          <w:b w:val="0"/>
          <w:i w:val="0"/>
        </w:rPr>
        <w:t xml:space="preserve"> , 40 Geo. Wash. Int'l L. Rev. 939, 944 (2009). Bạn nghĩ gì về điều này? Đạo luật này có nên được áp dụng ở các khu vực tài phán khác không? Điều này có thể có tác động gì?</w:t>
      </w:r>
    </w:p>
    <w:p>
      <w:pPr>
        <w:spacing w:after="80"/>
      </w:pPr>
      <w:r>
        <w:rPr>
          <w:b w:val="0"/>
          <w:i w:val="0"/>
        </w:rPr>
        <w:t>—————</w:t>
      </w:r>
    </w:p>
    <w:p>
      <w:pPr>
        <w:spacing w:after="80"/>
      </w:pPr>
      <w:r>
        <w:rPr>
          <w:b w:val="0"/>
          <w:i w:val="0"/>
        </w:rPr>
        <w:t xml:space="preserve">Mặc dù </w:t>
      </w:r>
      <w:r>
        <w:rPr>
          <w:b w:val="0"/>
          <w:i/>
        </w:rPr>
        <w:t>Sosa</w:t>
      </w:r>
      <w:r>
        <w:rPr>
          <w:b w:val="0"/>
          <w:i w:val="0"/>
        </w:rPr>
        <w:t xml:space="preserve"> liên quan đến một cá nhân, Đạo luật về Tội phạm Ngoại quốc ngày càng được sử dụng để chống lại các tập đoàn. Điều này có thể làm nảy sinh những vấn đề khó khăn, đặc biệt là khi sự tham gia của tập đoàn vào các vi phạm nhân quyền bị cáo buộc là gián tiếp.</w:t>
      </w:r>
    </w:p>
    <w:p>
      <w:pPr>
        <w:pStyle w:val="Heading4"/>
      </w:pPr>
      <w:r>
        <w:rPr>
          <w:rFonts w:ascii="Calibri" w:hAnsi="Calibri"/>
          <w:b/>
          <w:i w:val="0"/>
          <w:sz w:val="23"/>
        </w:rPr>
        <w:t>Kiobel v. Royal Dutch Petroleum Co.</w:t>
      </w:r>
    </w:p>
    <w:p>
      <w:pPr>
        <w:spacing w:after="80"/>
      </w:pPr>
      <w:r>
        <w:rPr>
          <w:b w:val="0"/>
          <w:i w:val="0"/>
        </w:rPr>
        <w:t>Tòa án Tối cao Hoa Kỳ</w:t>
      </w:r>
      <w:r>
        <w:br/>
      </w:r>
      <w:r>
        <w:rPr>
          <w:b w:val="0"/>
          <w:i w:val="0"/>
        </w:rPr>
        <w:t xml:space="preserve"> 133 S.Ct. 1659 (2013)</w:t>
      </w:r>
    </w:p>
    <w:p>
      <w:pPr>
        <w:spacing w:after="80"/>
      </w:pPr>
      <w:r>
        <w:rPr>
          <w:b w:val="0"/>
          <w:i w:val="0"/>
        </w:rPr>
        <w:t>CHÁNH THẨM PHÁN ROBERTS đưa ra ý kiến của Tòa án:</w:t>
      </w:r>
    </w:p>
    <w:p>
      <w:pPr>
        <w:spacing w:after="80"/>
      </w:pPr>
      <w:r>
        <w:rPr>
          <w:b w:val="0"/>
          <w:i w:val="0"/>
        </w:rPr>
        <w:t>Các nguyên đơn là cư dân của Ogoniland, một khu vực rộng 250 dặm vuông nằm ở vùng đồng bằng sông Niger của Nigeria và có khoảng nửa triệu người sinh sống. Khi đơn kiện được nộp, các bị đơn Royal Dutch Petroleum Company và Shell Transport and Trading Company, p.l.c., là các công ty mẹ được thành lập lần lượt tại Hà Lan và Anh. Công ty con chung của họ, bị đơn Shell Petroleum Development Company of Nigeria, Ltd. (SPDC), được thành lập tại Nigeria, và tham gia vào hoạt động thăm dò và khai thác dầu tại Ogoniland. Theo đơn kiện, sau khi các cư dân Ogoniland quan tâm bắt đầu phản đối các tác động môi trường từ hoạt động của SPDC, các bị đơn đã tranh thủ Chính phủ Nigeria để đàn áp một cách bạo lực các cuộc biểu tình đang lan rộng. Trong suốt đầu những năm 1990, đơn kiện cáo buộc, các lực lượng quân đội và cảnh sát Nigeria đã tấn công các ngôi làng Ogoni, đánh đập, hãm hiếp, giết hại và bắt giữ cư dân cũng như phá hủy hoặc cướp bóc tài sản. Các nguyên đơn còn cáo buộc rằng các bị đơn đã hỗ trợ và tiếp tay cho những hành động tàn bạo này bằng cách, trong số những việc khác, cung cấp cho các lực lượng Nigeria thực phẩm, phương tiện đi lại và tiền bồi thường, cũng như cho phép quân đội Nigeria sử dụng tài sản của các bị đơn làm bàn đạp cho các cuộc tấn công.</w:t>
      </w:r>
    </w:p>
    <w:p>
      <w:pPr>
        <w:spacing w:after="80"/>
      </w:pPr>
      <w:r>
        <w:rPr>
          <w:b w:val="0"/>
          <w:i w:val="0"/>
        </w:rPr>
        <w:t>Sau những hành động tàn bạo bị cáo buộc, các nguyên đơn đã chuyển đến Hoa Kỳ, nơi họ được cấp quy chế tị nạn chính trị và hiện cư trú với tư cách thường trú nhân hợp pháp. Xem Supp. Brief for Petitioners 3, và n. 2. Họ đã khởi kiện tại Tòa án Quận Hoa Kỳ cho Quận Nam New York, cáo buộc quyền tài phán theo Đạo luật về Tội phạm Ngoại quốc và yêu cầu biện pháp khắc phục theo luật quốc tế tập quán. . . .</w:t>
      </w:r>
    </w:p>
    <w:p>
      <w:pPr>
        <w:spacing w:after="80"/>
      </w:pPr>
      <w:r>
        <w:rPr>
          <w:b w:val="0"/>
          <w:i w:val="0"/>
        </w:rPr>
        <w:t>II</w:t>
      </w:r>
    </w:p>
    <w:p>
      <w:pPr>
        <w:spacing w:after="80"/>
      </w:pPr>
      <w:r>
        <w:rPr>
          <w:b w:val="0"/>
          <w:i w:val="0"/>
        </w:rPr>
        <w:t xml:space="preserve">Được thông qua như một phần của Đạo luật Tư pháp năm 1789, ATS đã được viện dẫn hai lần vào cuối thế kỷ 18, nhưng sau đó chỉ một lần nữa trong 167 năm tiếp theo. Act of Sept. 24, 1789, § 9, 1 Stat. 77; . . . Đạo luật trao cho các tòa án quận quyền tài phán để xét xử một số khiếu nại nhất định, nhưng không quy định rõ ràng bất kỳ cơ sở khởi kiện nào. Tuy nhiên, chúng tôi đã phán quyết trong </w:t>
      </w:r>
      <w:r>
        <w:rPr>
          <w:b w:val="0"/>
          <w:i/>
        </w:rPr>
        <w:t>Sosa v.</w:t>
      </w:r>
      <w:r>
        <w:rPr>
          <w:b w:val="0"/>
          <w:i w:val="0"/>
        </w:rPr>
        <w:t xml:space="preserve"> Alvarez</w:t>
      </w:r>
      <w:r>
        <w:rPr>
          <w:b w:val="0"/>
          <w:i/>
        </w:rPr>
        <w:t>-Machain,</w:t>
      </w:r>
      <w:r>
        <w:rPr>
          <w:b w:val="0"/>
          <w:i w:val="0"/>
        </w:rPr>
        <w:t xml:space="preserve"> 542 U.S. 692, 714, 124 S.Ct. 2739, 159 L.Ed.2d 718 (2004), rằng Quốc hội đầu tiên không có ý định để điều khoản này bị "chết non". Thay vào đó, việc trao quyền tài phán "được hiểu đúng nhất là đã được ban hành trên cơ sở hiểu rằng thông luật sẽ cung cấp một cơ sở khởi kiện cho [một] số lượng khiêm tốn các vi phạm luật quốc tế." </w:t>
      </w:r>
      <w:r>
        <w:rPr>
          <w:b w:val="0"/>
          <w:i/>
        </w:rPr>
        <w:t>Id.,</w:t>
      </w:r>
      <w:r>
        <w:rPr>
          <w:b w:val="0"/>
          <w:i w:val="0"/>
        </w:rPr>
        <w:t xml:space="preserve"> at 724, 124 S.Ct. 2739. Do đó, chúng tôi đã phán quyết rằng các tòa án liên bang có thể "công nhận các khiếu nại tư nhân [đối với những vi phạm như vậy] theo thông luật liên bang." </w:t>
      </w:r>
      <w:r>
        <w:rPr>
          <w:b w:val="0"/>
          <w:i/>
        </w:rPr>
        <w:t>Id.,</w:t>
      </w:r>
      <w:r>
        <w:rPr>
          <w:b w:val="0"/>
          <w:i w:val="0"/>
        </w:rPr>
        <w:t xml:space="preserve"> at 732, 124 S.Ct. 2739. Tòa án trong </w:t>
      </w:r>
      <w:r>
        <w:rPr>
          <w:b w:val="0"/>
          <w:i/>
        </w:rPr>
        <w:t>Sosa</w:t>
      </w:r>
      <w:r>
        <w:rPr>
          <w:b w:val="0"/>
          <w:i w:val="0"/>
        </w:rPr>
        <w:t xml:space="preserve"> đã bác bỏ khiếu nại của nguyên đơn trong vụ đó về "bắt giữ và giam giữ tùy tiện", với lý do rằng nó không nêu ra được một vi phạm luật quốc gia với "nội dung xác định rõ ràng và sự chấp nhận giữa các quốc gia văn minh" như yêu cầu. </w:t>
      </w:r>
      <w:r>
        <w:rPr>
          <w:b w:val="0"/>
          <w:i/>
        </w:rPr>
        <w:t>Id.,</w:t>
      </w:r>
      <w:r>
        <w:rPr>
          <w:b w:val="0"/>
          <w:i w:val="0"/>
        </w:rPr>
        <w:t xml:space="preserve"> at 699, 732, 124 S.Ct. 2739.</w:t>
      </w:r>
    </w:p>
    <w:p>
      <w:pPr>
        <w:spacing w:after="80"/>
      </w:pPr>
      <w:r>
        <w:rPr>
          <w:b w:val="0"/>
          <w:i w:val="0"/>
        </w:rPr>
        <w:t xml:space="preserve">Câu hỏi ở đây không phải là liệu các nguyên đơn có nêu ra một khiếu nại hợp lệ theo ATS hay không, mà là liệu một khiếu nại có thể vươn tới hành vi xảy ra trên lãnh thổ của một quốc gia có chủ quyền nước ngoài hay không. Các bị đơn cho rằng các khiếu nại theo ATS thì không, chủ yếu dựa vào một quy tắc giải thích luật được gọi là nguyên tắc suy đoán chống áp dụng ngoài lãnh thổ (presumption against extraterritorial application). Nguyên tắc đó quy định rằng "[k]hi một đạo luật không đưa ra dấu hiệu rõ ràng về việc áp dụng ngoài lãnh thổ, thì nó không có hiệu lực đó," </w:t>
      </w:r>
      <w:r>
        <w:rPr>
          <w:b w:val="0"/>
          <w:i/>
        </w:rPr>
        <w:t>Morrison v. National Australia Bank Ltd.,</w:t>
      </w:r>
      <w:r>
        <w:rPr>
          <w:b w:val="0"/>
          <w:i w:val="0"/>
        </w:rPr>
        <w:t xml:space="preserve"> 561 U.S. 247, ___, 130 S.Ct. 2869, 2878, 177 L.Ed.2d 535 (2010), và phản ánh "giả định rằng luật Hoa Kỳ điều chỉnh trong nước nhưng không thống trị thế giới," </w:t>
      </w:r>
      <w:r>
        <w:rPr>
          <w:b w:val="0"/>
          <w:i/>
        </w:rPr>
        <w:t>Microsoft Corp. v. AT &amp; T Corp.,</w:t>
      </w:r>
      <w:r>
        <w:rPr>
          <w:b w:val="0"/>
          <w:i w:val="0"/>
        </w:rPr>
        <w:t xml:space="preserve"> 550 U.S. 437, 454, 127 S.Ct. 1746, 167 L.Ed.2d 737 (2007).</w:t>
      </w:r>
    </w:p>
    <w:p>
      <w:pPr>
        <w:spacing w:after="80"/>
      </w:pPr>
      <w:r>
        <w:rPr>
          <w:b w:val="0"/>
          <w:i w:val="0"/>
        </w:rPr>
        <w:t>Sự suy đoán này "phục vụ mục đích bảo vệ chống lại những xung đột ngoài ý muốn giữa luật pháp của chúng ta và luật pháp của các quốc gia khác, những xung đột có thể dẫn đến bất hòa quốc tế.". . . .</w:t>
      </w:r>
    </w:p>
    <w:p>
      <w:pPr>
        <w:spacing w:after="80"/>
      </w:pPr>
      <w:r>
        <w:rPr>
          <w:b w:val="0"/>
          <w:i w:val="0"/>
        </w:rPr>
        <w:t xml:space="preserve">Thông thường, chúng ta áp dụng giả định này để xác định liệu một Đạo luật của Quốc hội điều chỉnh hành vi có áp dụng ở nước ngoài hay không. . . . Mặt khác, ATS thì “hoàn toàn thuộc thẩm quyền tài phán.” </w:t>
      </w:r>
      <w:r>
        <w:rPr>
          <w:b w:val="0"/>
          <w:i/>
        </w:rPr>
        <w:t>Sosa,</w:t>
      </w:r>
      <w:r>
        <w:rPr>
          <w:b w:val="0"/>
          <w:i w:val="0"/>
        </w:rPr>
        <w:t xml:space="preserve"> 542 U.S., at 713, 124 S.Ct. 2739. Nó không trực tiếp điều chỉnh hành vi hay đưa ra biện pháp khắc phục. Thay vào đó, nó cho phép các tòa án liên bang công nhận một số nguyên nhân khởi kiện (cause of action) nhất định dựa trên các chuẩn mực đủ rõ ràng của luật quốc tế. Nhưng chúng tôi cho rằng các nguyên tắc nền tảng của quy tắc giải thích cũng ràng buộc các tòa án khi xem xét các nguyên nhân khởi kiện có thể được đưa ra theo ATS.</w:t>
      </w:r>
    </w:p>
    <w:p>
      <w:pPr>
        <w:spacing w:after="80"/>
      </w:pPr>
      <w:r>
        <w:rPr>
          <w:b w:val="0"/>
          <w:i w:val="0"/>
        </w:rPr>
        <w:t xml:space="preserve">Thật vậy, nguy cơ can thiệp tư pháp không chính đáng vào việc điều hành chính sách đối ngoại càng được khuếch đại trong bối cảnh ATS, bởi vì câu hỏi đặt ra không phải là Quốc hội đã làm gì mà thay vào đó là các tòa án có thể làm gì. Tòa án này trong </w:t>
      </w:r>
      <w:r>
        <w:rPr>
          <w:b w:val="0"/>
          <w:i/>
        </w:rPr>
        <w:t>Sosa</w:t>
      </w:r>
      <w:r>
        <w:rPr>
          <w:b w:val="0"/>
          <w:i w:val="0"/>
        </w:rPr>
        <w:t xml:space="preserve"> đã nhiều lần nhấn mạnh sự cần thiết phải thận trọng về mặt tư pháp khi xem xét những khiếu nại nào có thể được đưa ra theo ATS, dưới góc độ các mối quan ngại về chính sách đối ngoại. Như Tòa án đã giải thích, “những tác động tiềm tàng [đối với chính sách đối ngoại] . . . của việc công nhận . . . các nguyên nhân [theo ATS] lẽ ra phải khiến các tòa án đặc biệt cảnh giác trong việc xâm phạm quyền tùy nghi của các Nhánh Lập pháp và Hành pháp trong việc quản lý các vấn đề đối ngoại.” </w:t>
      </w:r>
      <w:r>
        <w:rPr>
          <w:b w:val="0"/>
          <w:i/>
        </w:rPr>
        <w:t>Id.,</w:t>
      </w:r>
      <w:r>
        <w:rPr>
          <w:b w:val="0"/>
          <w:i w:val="0"/>
        </w:rPr>
        <w:t xml:space="preserve"> at 727, 124 S.Ct. 2739; xem thêm </w:t>
      </w:r>
      <w:r>
        <w:rPr>
          <w:b w:val="0"/>
          <w:i/>
        </w:rPr>
        <w:t>id.,</w:t>
      </w:r>
      <w:r>
        <w:rPr>
          <w:b w:val="0"/>
          <w:i w:val="0"/>
        </w:rPr>
        <w:t xml:space="preserve"> at 727–728, 124 S.Ct. 2739 (“Vì nhiều nỗ lực của các tòa án liên bang nhằm tạo ra các biện pháp khắc phục cho hành vi vi phạm các chuẩn mực mới của luật quốc tế sẽ làm dấy lên những rủi ro về hậu quả bất lợi đối với chính sách đối ngoại, nên chúng chỉ nên được thực hiện, nếu có, với sự thận trọng tối đa”); </w:t>
      </w:r>
      <w:r>
        <w:rPr>
          <w:b w:val="0"/>
          <w:i/>
        </w:rPr>
        <w:t>*1665 id.,</w:t>
      </w:r>
      <w:r>
        <w:rPr>
          <w:b w:val="0"/>
          <w:i w:val="0"/>
        </w:rPr>
        <w:t xml:space="preserve"> at 727, 124 S.Ct. 2739 (“[N]hững hậu quả kèm theo có thể có của việc biến các quy tắc quốc tế thành đối tượng có thể khởi kiện tư nhân là lý do để thận trọng về mặt tư pháp”). Những mối quan ngại này, vốn liên quan đến bất kỳ vụ án nào phát sinh theo ATS, càng trở nên cấp bách hơn khi câu hỏi đặt ra là liệu một nguyên nhân khởi kiện theo ATS có vươn tới hành vi trong lãnh thổ của một quốc gia có chủ quyền khác hay không.</w:t>
      </w:r>
    </w:p>
    <w:p>
      <w:pPr>
        <w:spacing w:after="80"/>
      </w:pPr>
      <w:r>
        <w:rPr>
          <w:b w:val="0"/>
          <w:i w:val="0"/>
        </w:rPr>
        <w:t xml:space="preserve">Những mối quan ngại này không hề giảm bớt bởi thực tế rằng </w:t>
      </w:r>
      <w:r>
        <w:rPr>
          <w:b w:val="0"/>
          <w:i/>
        </w:rPr>
        <w:t>Sosa</w:t>
      </w:r>
      <w:r>
        <w:rPr>
          <w:b w:val="0"/>
          <w:i w:val="0"/>
        </w:rPr>
        <w:t xml:space="preserve"> giới hạn các tòa án liên bang chỉ được công nhận các nguyên nhân khởi kiện đối với những cáo buộc vi phạm các chuẩn mực luật quốc tế vốn “‘cụ thể, phổ quát và mang tính bắt buộc.’” </w:t>
      </w:r>
      <w:r>
        <w:rPr>
          <w:b w:val="0"/>
          <w:i/>
        </w:rPr>
        <w:t>Id.,</w:t>
      </w:r>
      <w:r>
        <w:rPr>
          <w:b w:val="0"/>
          <w:i w:val="0"/>
        </w:rPr>
        <w:t xml:space="preserve"> at 732, 124 S.Ct. 2739 (trích dẫn </w:t>
      </w:r>
      <w:r>
        <w:rPr>
          <w:b w:val="0"/>
          <w:i/>
        </w:rPr>
        <w:t>In re Estate of Marcos, Human Rights Litigation,</w:t>
      </w:r>
      <w:r>
        <w:rPr>
          <w:b w:val="0"/>
          <w:i w:val="0"/>
        </w:rPr>
        <w:t xml:space="preserve"> 25 F.3d 1467, 1475 (C.A.9 1994)). Như được chứng minh qua việc Quốc hội ban hành Đạo luật Bảo vệ Nạn nhân Tra tấn năm 1991 (Torture Victim Protection Act of 1991), 106 Stat. 73, ghi chú sau 28 U.S.C. § 1350, việc xác định một chuẩn mực như vậy chỉ là bước khởi đầu để định nghĩa một nguyên nhân khởi kiện. Xem </w:t>
      </w:r>
      <w:r>
        <w:rPr>
          <w:b w:val="0"/>
          <w:i/>
        </w:rPr>
        <w:t>id.,</w:t>
      </w:r>
      <w:r>
        <w:rPr>
          <w:b w:val="0"/>
          <w:i w:val="0"/>
        </w:rPr>
        <w:t xml:space="preserve"> § 3 (đưa ra các định nghĩa chi tiết cho hành vi giết người ngoài tư pháp và tra tấn); </w:t>
      </w:r>
      <w:r>
        <w:rPr>
          <w:b w:val="0"/>
          <w:i/>
        </w:rPr>
        <w:t>id.,</w:t>
      </w:r>
      <w:r>
        <w:rPr>
          <w:b w:val="0"/>
          <w:i w:val="0"/>
        </w:rPr>
        <w:t xml:space="preserve"> § 2 (quy định ai có thể phải chịu trách nhiệm, tạo ra quy tắc về việc kiệt quệ các biện pháp khắc phục, và thiết lập thời hiệu khởi kiện). Mỗi quyết định này đều mang theo những tác động đáng kể đối với chính sách đối ngoại.</w:t>
      </w:r>
    </w:p>
    <w:p>
      <w:pPr>
        <w:spacing w:after="80"/>
      </w:pPr>
      <w:r>
        <w:rPr>
          <w:b w:val="0"/>
          <w:i w:val="0"/>
        </w:rPr>
        <w:t>Do đó, các nguyên tắc nền tảng của giả định chống áp dụng ngoài lãnh thổ ràng buộc các tòa án khi thực thi quyền hạn của mình theo ATS.</w:t>
      </w:r>
    </w:p>
    <w:p>
      <w:pPr>
        <w:spacing w:after="80"/>
      </w:pPr>
      <w:r>
        <w:rPr>
          <w:b w:val="0"/>
          <w:i w:val="0"/>
        </w:rPr>
        <w:t>III</w:t>
      </w:r>
    </w:p>
    <w:p>
      <w:pPr>
        <w:spacing w:after="80"/>
      </w:pPr>
      <w:r>
        <w:rPr>
          <w:b w:val="0"/>
          <w:i w:val="0"/>
        </w:rPr>
        <w:t>Các bên khởi kiện lập luận rằng ngay cả khi giả định này được áp dụng, văn bản, lịch sử và mục đích của ATS đã bác bỏ nó đối với các nguyên nhân khởi kiện được đưa ra theo đạo luật đó. . . .</w:t>
      </w:r>
    </w:p>
    <w:p>
      <w:pPr>
        <w:spacing w:after="80"/>
      </w:pPr>
      <w:r>
        <w:rPr>
          <w:b w:val="0"/>
          <w:i w:val="0"/>
        </w:rPr>
        <w:t>Để bắt đầu, không có gì trong văn bản của đạo luật cho thấy Quốc hội dự định rằng các nguyên nhân khởi kiện được công nhận theo đạo luật này có phạm vi áp dụng ngoài lãnh thổ. ATS bao trùm các hành động của người nước ngoài đối với các hành vi vi phạm luật quốc gia, nhưng điều đó không hàm ý phạm vi áp dụng ngoài lãnh thổ—những hành vi vi phạm như vậy ảnh hưởng đến người nước ngoài có thể xảy ra cả trong lẫn ngoài Hoa Kỳ. Việc văn bản đề cập đến “</w:t>
      </w:r>
      <w:r>
        <w:rPr>
          <w:b w:val="0"/>
          <w:i/>
        </w:rPr>
        <w:t>bất kỳ</w:t>
      </w:r>
      <w:r>
        <w:rPr>
          <w:b w:val="0"/>
          <w:i w:val="0"/>
        </w:rPr>
        <w:t xml:space="preserve"> hành động dân sự nào” cũng không hàm ý áp dụng cho các hành vi sai phạm được thực hiện ở nước ngoài; đã được khẳng định rõ ràng rằng những thuật ngữ chung chung như “bất kỳ” hay “mọi” không bác bỏ giả định chống áp dụng ngoài lãnh thổ. . . .</w:t>
      </w:r>
    </w:p>
    <w:p>
      <w:pPr>
        <w:spacing w:after="80"/>
      </w:pPr>
      <w:r>
        <w:rPr>
          <w:b w:val="0"/>
          <w:i w:val="0"/>
        </w:rPr>
        <w:t xml:space="preserve">Các bên khởi kiện nhấn mạnh thực tế rằng ATS quy định thẩm quyền tài phán đối với các hành động dân sự vì “các hành vi sai phạm” vi phạm luật quốc gia. Họ cho rằng khi sử dụng từ đó, Quốc hội Khóa đầu tiên “ắt hẳn có ý định quy định thẩm quyền tài phán đối với các hành vi sai phạm tạm thời ngoài lãnh thổ có thể phát sinh trên đất nước ngoài.” Supp. Brief for Petitioners 18. Để hỗ trợ, họ viện dẫn học thuyết thông luật cho phép các tòa án thừa nhận thẩm quyền tài phán đối với những “hành vi sai phạm tạm thời” như vậy, bao gồm các hành động về thương tích cá nhân, phát sinh ở nước ngoài. Xem </w:t>
      </w:r>
      <w:r>
        <w:rPr>
          <w:b w:val="0"/>
          <w:i/>
        </w:rPr>
        <w:t>Mostyn v. Fabrigas,</w:t>
      </w:r>
      <w:r>
        <w:rPr>
          <w:b w:val="0"/>
          <w:i w:val="0"/>
        </w:rPr>
        <w:t xml:space="preserve"> 1 Cowp. 161, 177, 98 Eng. Rep. 1021, 1030 (1774) (Mansfield, L.) (“[T]ất cả các hành động có tính chất tạm thời phát sinh ở nước ngoài đều có thể được coi như xảy ra tại một quận của Anh”); </w:t>
      </w:r>
      <w:r>
        <w:rPr>
          <w:b w:val="0"/>
          <w:i/>
        </w:rPr>
        <w:t>Dennick v. Railroad Co.,</w:t>
      </w:r>
      <w:r>
        <w:rPr>
          <w:b w:val="0"/>
          <w:i w:val="0"/>
        </w:rPr>
        <w:t xml:space="preserve"> 103 U.S. 11, 18, 26 L.Ed. 439 (1881) </w:t>
      </w:r>
      <w:r>
        <w:rPr>
          <w:b w:val="0"/>
          <w:i/>
        </w:rPr>
        <w:t>*1666</w:t>
      </w:r>
      <w:r>
        <w:rPr>
          <w:b w:val="0"/>
          <w:i w:val="0"/>
        </w:rPr>
        <w:t xml:space="preserve"> (“Bất cứ nơi nào, theo thông luật hoặc luật thành văn của một Bang, một quyền khởi kiện đã được xác lập và một trách nhiệm pháp lý đã phát sinh, thì trách nhiệm đó có thể được thực thi và quyền khởi kiện có thể được theo đuổi tại bất kỳ tòa án nào có thẩm quyền tài phán đối với những vấn đề như vậy và có thể đạt được thẩm quyền tài phán đối với các bên”).</w:t>
      </w:r>
    </w:p>
    <w:p>
      <w:pPr>
        <w:spacing w:after="80"/>
      </w:pPr>
      <w:r>
        <w:rPr>
          <w:b w:val="0"/>
          <w:i w:val="0"/>
        </w:rPr>
        <w:t xml:space="preserve">Tuy nhiên, theo học thuyết về các hành vi sai phạm tạm thời, “lý do duy nhất để cho phép một bên được bồi thường khi nguyên nhân khởi kiện phát sinh tại một khu vực tài phán văn minh khác là niềm tin có cơ sở vững chắc rằng đó là một nguyên nhân khởi kiện tại nơi đó.” </w:t>
      </w:r>
      <w:r>
        <w:rPr>
          <w:b w:val="0"/>
          <w:i/>
        </w:rPr>
        <w:t>Cuba R. Co. v. Crosby,</w:t>
      </w:r>
      <w:r>
        <w:rPr>
          <w:b w:val="0"/>
          <w:i w:val="0"/>
        </w:rPr>
        <w:t xml:space="preserve"> 222 U.S. 473, 479, 32 S.Ct. 132, 56 L.Ed. 274 (1912) (ý kiến của đa số do Holmes, J. trình bày). Câu hỏi theo </w:t>
      </w:r>
      <w:r>
        <w:rPr>
          <w:b w:val="0"/>
          <w:i/>
        </w:rPr>
        <w:t>Sosa</w:t>
      </w:r>
      <w:r>
        <w:rPr>
          <w:b w:val="0"/>
          <w:i w:val="0"/>
        </w:rPr>
        <w:t xml:space="preserve"> không phải là liệu một tòa án liên bang có thẩm quyền tài phán để xem xét một nguyên nhân khởi kiện được quy định bởi luật nước ngoài hay thậm chí luật quốc tế hay không. Thay vào đó, câu hỏi là liệu tòa án có thẩm quyền công nhận một nguyên nhân khởi kiện theo luật Hoa Kỳ để thực thi một chuẩn mực của luật quốc tế hay không. Việc đề cập đến “hành vi sai phạm” không chứng minh rằng Quốc hội Khóa đầu tiên “ắt hẳn có ý định” rằng những nguyên nhân khởi kiện đó vươn tới hành vi trong lãnh thổ của một quốc gia có chủ quyền nước ngoài. Cuối cùng, không có gì trong văn bản của ATS thể hiện dấu hiệu rõ ràng cần thiết về phạm vi áp dụng ngoài lãnh thổ.</w:t>
      </w:r>
    </w:p>
    <w:p>
      <w:pPr>
        <w:spacing w:after="80"/>
      </w:pPr>
      <w:r>
        <w:rPr>
          <w:b w:val="0"/>
          <w:i w:val="0"/>
        </w:rPr>
        <w:t xml:space="preserve">Bối cảnh lịch sử mà ATS được ban hành cũng không vượt qua được giả định chống áp dụng đối với hành vi trong lãnh thổ của một quốc gia có chủ quyền khác. Xem </w:t>
      </w:r>
      <w:r>
        <w:rPr>
          <w:b w:val="0"/>
          <w:i/>
        </w:rPr>
        <w:t>Morrison, supra,</w:t>
      </w:r>
      <w:r>
        <w:rPr>
          <w:b w:val="0"/>
          <w:i w:val="0"/>
        </w:rPr>
        <w:t xml:space="preserve"> at ___, 130 S.Ct., at 2883 (lưu ý rằng “[c]hắc chắn có thể tham khảo ngữ cảnh” khi xác định liệu một nguyên nhân khởi kiện có áp dụng ở nước ngoài hay không). Chúng tôi đã giải thích trong </w:t>
      </w:r>
      <w:r>
        <w:rPr>
          <w:b w:val="0"/>
          <w:i/>
        </w:rPr>
        <w:t>Sosa</w:t>
      </w:r>
      <w:r>
        <w:rPr>
          <w:b w:val="0"/>
          <w:i w:val="0"/>
        </w:rPr>
        <w:t xml:space="preserve"> rằng khi Quốc hội thông qua ATS, “ba hành vi vi phạm chính đối với luật quốc gia” đã được Blackstone xác định: vi phạm giấy thông hành an toàn, xâm phạm quyền của các đại sứ, và cướp biển. 542 U.S., at 723, 724, 124 S.Ct. 2739; xem 4 W. Blackstone, Commentaries on the Laws of England 68 (1769). Hai hành vi vi phạm đầu tiên không nhất thiết có phạm vi áp dụng ngoài lãnh thổ. Thật vậy, Blackstone—khi mô tả chúng—đã làm như vậy dưới góc độ hành vi xảy ra trong quốc gia xét xử. . . .</w:t>
      </w:r>
    </w:p>
    <w:p>
      <w:pPr>
        <w:spacing w:after="80"/>
      </w:pPr>
      <w:r>
        <w:rPr>
          <w:b w:val="0"/>
          <w:i w:val="0"/>
        </w:rPr>
        <w:t>* * *</w:t>
      </w:r>
    </w:p>
    <w:p>
      <w:pPr>
        <w:spacing w:after="80"/>
      </w:pPr>
      <w:r>
        <w:rPr>
          <w:b w:val="0"/>
          <w:i w:val="0"/>
        </w:rPr>
        <w:t xml:space="preserve">Bối cảnh lịch sử mà ATS được ban hành cũng không vượt qua được giả định chống áp dụng đối với hành vi trong lãnh thổ của một quốc gia có chủ quyền khác. Xem </w:t>
      </w:r>
      <w:r>
        <w:rPr>
          <w:b w:val="0"/>
          <w:i/>
        </w:rPr>
        <w:t>Morrison, supra,</w:t>
      </w:r>
      <w:r>
        <w:rPr>
          <w:b w:val="0"/>
          <w:i w:val="0"/>
        </w:rPr>
        <w:t xml:space="preserve"> at ___, 130 S.Ct., at 2883 (lưu ý rằng “[c]hắc chắn có thể tham khảo ngữ cảnh” khi xác định liệu một nguyên nhân khởi kiện có áp dụng ở nước ngoài hay không). Chúng tôi đã giải thích trong </w:t>
      </w:r>
      <w:r>
        <w:rPr>
          <w:b w:val="0"/>
          <w:i/>
        </w:rPr>
        <w:t>Sosa</w:t>
      </w:r>
      <w:r>
        <w:rPr>
          <w:b w:val="0"/>
          <w:i w:val="0"/>
        </w:rPr>
        <w:t xml:space="preserve"> rằng khi Quốc hội thông qua ATS, “ba hành vi vi phạm chính đối với luật quốc gia” đã được Blackstone xác định: vi phạm giấy thông hành an toàn, xâm phạm quyền của các đại sứ, và cướp biển.542 U.S., at 723, 724, 124 S.Ct. 2739; xem 4 W. Blackstone, Commentaries on the Laws of England 68 (1769). Hai hành vi vi phạm đầu tiên không nhất thiết có phạm vi áp dụng ngoài lãnh thổ. Thật vậy, Blackstone—khi mô tả chúng—đã làm như vậy dưới góc độ hành vi xảy ra trong quốc gia xét xử. Xem </w:t>
      </w:r>
      <w:r>
        <w:rPr>
          <w:b w:val="0"/>
          <w:i/>
        </w:rPr>
        <w:t>ibid.</w:t>
      </w:r>
      <w:r>
        <w:rPr>
          <w:b w:val="0"/>
          <w:i w:val="0"/>
        </w:rPr>
        <w:t xml:space="preserve"> (mô tả quyền được cấp giấy thông hành an toàn cho những người “ở đây”); 1 </w:t>
      </w:r>
      <w:r>
        <w:rPr>
          <w:b w:val="0"/>
          <w:i/>
        </w:rPr>
        <w:t>id.,</w:t>
      </w:r>
      <w:r>
        <w:rPr>
          <w:b w:val="0"/>
          <w:i w:val="0"/>
        </w:rPr>
        <w:t xml:space="preserve"> at 251 (1765) (giải thích rằng giấy thông hành an toàn cấp cho một thành viên của một xã hội “quyền xâm nhập vào một xã hội khác”); </w:t>
      </w:r>
      <w:r>
        <w:rPr>
          <w:b w:val="0"/>
          <w:i/>
        </w:rPr>
        <w:t>id.,</w:t>
      </w:r>
      <w:r>
        <w:rPr>
          <w:b w:val="0"/>
          <w:i w:val="0"/>
        </w:rPr>
        <w:t xml:space="preserve"> at 245–248 (công nhận quyền của nhà vua trong việc “tiếp nhận các đại sứ tại quốc nội” và trình bày chi tiết các quyền của họ tại quốc gia “nơi họ được bổ nhiệm cư trú”); xem thêm E. De Vattel, Law of Nations 465 (J. Chitty et al. dịch và biên tập 1883) (“[K]hi ông ta nhập cảnh vào quốc gia mà mình được phái đến, và tự công bố danh tính, [đại sứ] được đặt dưới sự bảo hộ của luật quốc gia . . .”). . . .</w:t>
      </w:r>
    </w:p>
    <w:p>
      <w:pPr>
        <w:spacing w:after="80"/>
      </w:pPr>
      <w:r>
        <w:rPr>
          <w:b w:val="0"/>
          <w:i w:val="0"/>
        </w:rPr>
        <w:t xml:space="preserve">Ví dụ thứ ba về hành vi vi phạm luật quốc gia quen thuộc với Quốc hội đã ban hành ATS là cướp biển. Cướp biển thường xảy ra trên biển cả, vượt ra ngoài thẩm quyền lãnh thổ của Hoa Kỳ hoặc bất kỳ quốc gia nào khác. Xem 4 Blackstone, </w:t>
      </w:r>
      <w:r>
        <w:rPr>
          <w:b w:val="0"/>
          <w:i/>
        </w:rPr>
        <w:t>supra,</w:t>
      </w:r>
      <w:r>
        <w:rPr>
          <w:b w:val="0"/>
          <w:i w:val="0"/>
        </w:rPr>
        <w:t xml:space="preserve"> at 72 (“Tội cướp biển, theo thông luật, bao gồm việc thực hiện những hành vi cướp bóc và tàn phá trên biển cả, mà nếu được thực hiện trên đất liền, sẽ cấu thành trọng tội tại đó”). Tòa án này nhìn chung đã đối xử với biển cả giống như đất nước ngoài vì mục đích của giả định chống áp dụng ngoài lãnh thổ. Xem, </w:t>
      </w:r>
      <w:r>
        <w:rPr>
          <w:b w:val="0"/>
          <w:i/>
        </w:rPr>
        <w:t>e.g., Sale v. Haitian Centers Council, Inc.,</w:t>
      </w:r>
      <w:r>
        <w:rPr>
          <w:b w:val="0"/>
          <w:i w:val="0"/>
        </w:rPr>
        <w:t xml:space="preserve"> 509 U.S. 155, 173–174, 113 S.Ct. 2549, 125 L.Ed.2d 128 (1993) (từ chối áp dụng một điều khoản của Đạo luật Nhập cư và Quốc tịch đối với hành vi xảy ra trên biển cả); </w:t>
      </w:r>
      <w:r>
        <w:rPr>
          <w:b w:val="0"/>
          <w:i/>
        </w:rPr>
        <w:t>Argentine Republic v. Amerada Hess Shipping Corp.,</w:t>
      </w:r>
      <w:r>
        <w:rPr>
          <w:b w:val="0"/>
          <w:i w:val="0"/>
        </w:rPr>
        <w:t xml:space="preserve"> 488 U.S. 428, 440, 109 S.Ct. 683, 102 L.Ed.2d 818 (1989) (từ chối áp dụng một điều khoản của Đạo luật Miễn trừ Chủ quyền Nước ngoài năm 1976 đối với biển cả). Các bên khởi kiện lập luận rằng vì Quốc hội chắc chắn có ý định ATS quy định thẩm quyền tài phán đối với các hành động chống lại cướp biển, nên ắt hẳn Quốc hội đã dự liệu rằng đạo luật sẽ áp dụng cho hành vi xảy ra ở nước ngoài.</w:t>
      </w:r>
    </w:p>
    <w:p>
      <w:pPr>
        <w:spacing w:after="80"/>
      </w:pPr>
      <w:r>
        <w:rPr>
          <w:b w:val="0"/>
          <w:i w:val="0"/>
        </w:rPr>
        <w:t xml:space="preserve">Tuy nhiên, việc áp dụng luật Hoa Kỳ đối với cướp biển thường không áp đặt ý chí chủ quyền của Hoa Kỳ lên hành vi xảy ra trong phạm vi thẩm quyền lãnh thổ của một quốc gia có chủ quyền khác, và do đó ít mang lại hậu quả trực tiếp hơn đối với chính sách đối ngoại. Cướp biển là đối tượng bị săn đuổi ở bất cứ đâu, bởi bất kỳ quốc gia nào, vì chúng thường không hoạt động trong bất kỳ khu vực tài phán nào. Xem 4 Blackstone, </w:t>
      </w:r>
      <w:r>
        <w:rPr>
          <w:b w:val="0"/>
          <w:i/>
        </w:rPr>
        <w:t>supra,</w:t>
      </w:r>
      <w:r>
        <w:rPr>
          <w:b w:val="0"/>
          <w:i w:val="0"/>
        </w:rPr>
        <w:t xml:space="preserve"> at 71. Chúng tôi không cho rằng sự tồn tại của một nguyên nhân khởi kiện chống lại chúng là cơ sở đủ để kết luận rằng các nguyên nhân khởi kiện khác theo ATS vươn tới hành vi thực sự xảy ra trong lãnh thổ của một quốc gia có chủ quyền khác; cướp biển hoàn toàn có thể là một hạng mục riêng biệt. Xem </w:t>
      </w:r>
      <w:r>
        <w:rPr>
          <w:b w:val="0"/>
          <w:i/>
        </w:rPr>
        <w:t>Morrison,</w:t>
      </w:r>
      <w:r>
        <w:rPr>
          <w:b w:val="0"/>
          <w:i w:val="0"/>
        </w:rPr>
        <w:t xml:space="preserve"> 561 U.S., at ___, 130 S.Ct., at 2883 (“[K]hi một đạo luật quy định một số phạm vi áp dụng ngoài lãnh thổ, giả định chống áp dụng ngoài lãnh thổ có tác dụng giới hạn điều khoản đó trong phạm vi các điều khoản của nó”); xem thêm </w:t>
      </w:r>
      <w:r>
        <w:rPr>
          <w:b w:val="0"/>
          <w:i/>
        </w:rPr>
        <w:t>Microsoft Corp.,</w:t>
      </w:r>
      <w:r>
        <w:rPr>
          <w:b w:val="0"/>
          <w:i w:val="0"/>
        </w:rPr>
        <w:t xml:space="preserve"> 550 U.S., at 455–456, 127 S.Ct. 1746.</w:t>
      </w:r>
    </w:p>
    <w:p>
      <w:pPr>
        <w:spacing w:after="80"/>
      </w:pPr>
      <w:r>
        <w:rPr>
          <w:b w:val="0"/>
          <w:i w:val="0"/>
        </w:rPr>
        <w:t>* * *</w:t>
      </w:r>
    </w:p>
    <w:p>
      <w:pPr>
        <w:spacing w:after="80"/>
      </w:pPr>
      <w:r>
        <w:rPr>
          <w:b w:val="0"/>
          <w:i w:val="0"/>
        </w:rPr>
        <w:t xml:space="preserve">Do đó, chúng tôi kết luận rằng giả định chống áp dụng ngoài lãnh thổ áp dụng cho các khiếu nại theo ATS, và không có gì trong đạo luật bác bỏ giả định đó. “[K]hông có dấu hiệu rõ ràng nào về phạm vi áp dụng ngoài lãnh thổ ở đây,” </w:t>
      </w:r>
      <w:r>
        <w:rPr>
          <w:b w:val="0"/>
          <w:i/>
        </w:rPr>
        <w:t>Morrison,</w:t>
      </w:r>
      <w:r>
        <w:rPr>
          <w:b w:val="0"/>
          <w:i w:val="0"/>
        </w:rPr>
        <w:t xml:space="preserve"> 561 U.S., at ___, 130 S.Ct., at 2883, và vụ kiện của các bên khởi kiện nhằm tìm kiếm biện pháp khắc phục cho các hành vi vi phạm luật quốc gia xảy ra ngoài Hoa Kỳ bị loại bỏ.</w:t>
      </w:r>
    </w:p>
    <w:p>
      <w:pPr>
        <w:spacing w:after="80"/>
      </w:pPr>
      <w:r>
        <w:rPr>
          <w:b w:val="0"/>
          <w:i w:val="0"/>
        </w:rPr>
        <w:t>IV</w:t>
      </w:r>
    </w:p>
    <w:p>
      <w:pPr>
        <w:spacing w:after="80"/>
      </w:pPr>
      <w:r>
        <w:rPr>
          <w:b w:val="0"/>
          <w:i w:val="0"/>
        </w:rPr>
        <w:t xml:space="preserve">Dựa trên những tình tiết này, tất cả các hành vi liên quan đều diễn ra bên ngoài lãnh thổ Hoa Kỳ. Và ngay cả khi các khiếu nại có liên quan và ảnh hưởng đến lãnh thổ Hoa Kỳ, thì chúng cũng phải có đủ sức mạnh để lật ngược giả định chống lại việc áp dụng ngoài lãnh thổ. Xem </w:t>
      </w:r>
      <w:r>
        <w:rPr>
          <w:b w:val="0"/>
          <w:i/>
        </w:rPr>
        <w:t>Morrison,</w:t>
      </w:r>
      <w:r>
        <w:rPr>
          <w:b w:val="0"/>
          <w:i w:val="0"/>
        </w:rPr>
        <w:t xml:space="preserve"> 561 U.S. 247, 130 S.Ct., tại 2883–2888. Các tập đoàn thường hiện diện ở nhiều quốc gia, và sẽ là quá xa vời nếu nói rằng chỉ cần sự hiện diện của tập đoàn là đủ. Nếu Quốc hội quyết định khác đi, thì cần phải có một đạo luật cụ thể hơn ATS.</w:t>
      </w:r>
    </w:p>
    <w:p>
      <w:pPr>
        <w:spacing w:after="80"/>
      </w:pPr>
      <w:r>
        <w:rPr>
          <w:b w:val="0"/>
          <w:i w:val="0"/>
        </w:rPr>
        <w:t>Phán quyết của Tòa phúc thẩm được giữ nguyên.</w:t>
      </w:r>
    </w:p>
    <w:p>
      <w:pPr>
        <w:spacing w:after="80"/>
      </w:pPr>
      <w:r>
        <w:rPr>
          <w:b w:val="0"/>
          <w:i/>
        </w:rPr>
        <w:t>Tòa tuyên án như vậy.</w:t>
      </w:r>
    </w:p>
    <w:p>
      <w:pPr>
        <w:pStyle w:val="Heading5"/>
      </w:pPr>
      <w:r>
        <w:rPr>
          <w:rFonts w:ascii="Calibri" w:hAnsi="Calibri"/>
          <w:b/>
          <w:i/>
          <w:sz w:val="22"/>
        </w:rPr>
        <w:t>Bình luận và Câu hỏi</w:t>
      </w:r>
    </w:p>
    <w:p>
      <w:pPr>
        <w:spacing w:after="80"/>
      </w:pPr>
      <w:r>
        <w:rPr>
          <w:b w:val="0"/>
          <w:i w:val="0"/>
        </w:rPr>
        <w:t xml:space="preserve">1. Một số người coi phán quyết này là một đòn giáng nặng nề đối với việc bảo vệ nhân quyền quốc tế. </w:t>
      </w:r>
      <w:r>
        <w:rPr>
          <w:b w:val="0"/>
          <w:i/>
        </w:rPr>
        <w:t>Xem</w:t>
      </w:r>
      <w:r>
        <w:rPr>
          <w:b w:val="0"/>
          <w:i w:val="0"/>
        </w:rPr>
        <w:t xml:space="preserve"> Robert C. Bird, Daniel R. Cahoy &amp; Lucien J. Dhooge, </w:t>
      </w:r>
      <w:r>
        <w:rPr>
          <w:b w:val="0"/>
          <w:i/>
        </w:rPr>
        <w:t>Corporate Voluntarism and Liability for Human Rights in a Post-Kiobel World</w:t>
      </w:r>
      <w:r>
        <w:rPr>
          <w:b w:val="0"/>
          <w:i w:val="0"/>
        </w:rPr>
        <w:t xml:space="preserve"> , 102 Ky. L.J. 601 (2013–2014) (“Kiobel đã giáng một đòn vào án lệ nhân quyền, vô hiệu hóa một trong số ít phương tiện khả thi còn lại trên thế giới để các nạn nhân nhân quyền tìm kiếm sự bồi thường thông qua tòa án quốc gia.”). Bạn có đồng ý không?</w:t>
      </w:r>
    </w:p>
    <w:p>
      <w:pPr>
        <w:spacing w:after="80"/>
      </w:pPr>
      <w:r>
        <w:rPr>
          <w:b w:val="0"/>
          <w:i w:val="0"/>
        </w:rPr>
        <w:t>2. Lập luận có thuyết phục không? Tòa đã đưa ra một số ví dụ lịch sử liên quan đến hành vi ở Hoa Kỳ nhưng có một ví dụ thì không, đó là cướp biển. Liệu lời giải thích của Tòa về ví dụ này có thuyết phục trong việc xác định rằng đạo luật không nhằm mục đích áp dụng ngoài lãnh thổ hay không?</w:t>
      </w:r>
    </w:p>
    <w:p>
      <w:pPr>
        <w:spacing w:after="80"/>
      </w:pPr>
      <w:r>
        <w:rPr>
          <w:b w:val="0"/>
          <w:i w:val="0"/>
        </w:rPr>
        <w:t>3. Bốn Thẩm phán (Breyer, Ginsburg, Sotomayor, và Kagan) đồng ý với kết luận của đa số nhưng không đồng ý với lập luận. Trong một ý kiến đồng thuận, do Thẩm phán Breyer viết, ông khẳng định rằng đạo luật chỉ cung cấp “thẩm quyền khi có lợi ích riêng biệt của Hoa Kỳ đang bị đặt vấn đề.” Bởi vì các bị đơn là tập đoàn có “sự hiện diện tối thiểu và gián tiếp tại Hoa Kỳ” (cả hai đều có văn phòng tại New York), Thẩm phán Breyer kết luận rằng vụ kiện không giúp “bảo vệ một lợi ích riêng biệt của Hoa Kỳ.” Tiêu chuẩn này sẽ tạo ra sự khác biệt gì trong việc áp dụng?</w:t>
      </w:r>
    </w:p>
    <w:p>
      <w:pPr>
        <w:spacing w:after="80"/>
      </w:pPr>
      <w:r>
        <w:rPr>
          <w:b w:val="0"/>
          <w:i w:val="0"/>
        </w:rPr>
        <w:t xml:space="preserve">4. Những loại thách thức nào đối với hành vi của tập đoàn có thể tồn tại qua lập luận của phán quyết này? Hành vi liên quan có phải xảy ra ở Hoa Kỳ hay có thể đưa ra khiếu nại cho một số hành vi xảy ra ở nước ngoài? Ví dụ, liệu có đủ để cáo buộc các vi phạm của một công ty con ở quốc gia khác và cáo buộc rằng công ty con đó chịu “sự giám sát chung của tập đoàn” bởi công ty mẹ ở Hoa Kỳ? Để biết câu trả lời của một vòng phúc thẩm, xem </w:t>
      </w:r>
      <w:r>
        <w:rPr>
          <w:b w:val="0"/>
          <w:i/>
        </w:rPr>
        <w:t>Balintulo v. Ford Motor Co.</w:t>
      </w:r>
      <w:r>
        <w:rPr>
          <w:b w:val="0"/>
          <w:i w:val="0"/>
        </w:rPr>
        <w:t xml:space="preserve"> , 796 F.3d 160, 168 (2nd Cir. 2015).</w:t>
      </w:r>
    </w:p>
    <w:p>
      <w:pPr>
        <w:spacing w:after="80"/>
      </w:pPr>
      <w:r>
        <w:rPr>
          <w:b w:val="0"/>
          <w:i w:val="0"/>
        </w:rPr>
        <w:t>—————</w:t>
      </w:r>
    </w:p>
    <w:p>
      <w:pPr>
        <w:spacing w:after="80"/>
      </w:pPr>
      <w:r>
        <w:rPr>
          <w:b w:val="0"/>
          <w:i w:val="0"/>
        </w:rPr>
        <w:t xml:space="preserve">Giả sử các nguyên đơn có thể vượt qua những rào cản do </w:t>
      </w:r>
      <w:r>
        <w:rPr>
          <w:b w:val="0"/>
          <w:i/>
        </w:rPr>
        <w:t>Kiobel</w:t>
      </w:r>
      <w:r>
        <w:rPr>
          <w:b w:val="0"/>
          <w:i w:val="0"/>
        </w:rPr>
        <w:t xml:space="preserve"> tạo ra, họ vẫn phải cáo buộc một hành vi vi phạm luật quốc gia. Bất chấp những lo ngại được bày tỏ trong ý kiến đồng thuận của Thẩm phán Scalia trong </w:t>
      </w:r>
      <w:r>
        <w:rPr>
          <w:b w:val="0"/>
          <w:i/>
        </w:rPr>
        <w:t>Sosa</w:t>
      </w:r>
      <w:r>
        <w:rPr>
          <w:b w:val="0"/>
          <w:i w:val="0"/>
        </w:rPr>
        <w:t xml:space="preserve"> và những lời cảnh báo trong các ý kiến của đa số, các tòa án đã sẵn sàng mở rộng khái niệm luật quốc gia vượt ra ngoài những gì đã có vào năm 1789.</w:t>
      </w:r>
    </w:p>
    <w:p>
      <w:pPr>
        <w:pStyle w:val="Heading4"/>
      </w:pPr>
      <w:r>
        <w:rPr>
          <w:rFonts w:ascii="Calibri" w:hAnsi="Calibri"/>
          <w:b/>
          <w:i w:val="0"/>
          <w:sz w:val="23"/>
        </w:rPr>
        <w:t>Doe v. Nestle USA, Inc.</w:t>
      </w:r>
    </w:p>
    <w:p>
      <w:pPr>
        <w:spacing w:after="80"/>
      </w:pPr>
      <w:r>
        <w:rPr>
          <w:b w:val="0"/>
          <w:i w:val="0"/>
        </w:rPr>
        <w:t>Tòa phúc thẩm Hoa Kỳ. Vòng thứ chín</w:t>
      </w:r>
      <w:r>
        <w:br/>
      </w:r>
      <w:r>
        <w:rPr>
          <w:b w:val="0"/>
          <w:i w:val="0"/>
        </w:rPr>
        <w:t xml:space="preserve"> 766 F.3d 1013 (2014) (đơn xin xét xử lại và xét xử lại toàn thể bị bác bỏ, ngày 6 tháng 5 năm 2015)</w:t>
      </w:r>
    </w:p>
    <w:p>
      <w:pPr>
        <w:spacing w:after="80"/>
      </w:pPr>
      <w:r>
        <w:rPr>
          <w:b w:val="0"/>
          <w:i w:val="0"/>
        </w:rPr>
        <w:t>D.W. NELSON , Thẩm phán cấp cao:</w:t>
      </w:r>
    </w:p>
    <w:p>
      <w:pPr>
        <w:spacing w:after="80"/>
      </w:pPr>
      <w:r>
        <w:rPr>
          <w:b/>
          <w:i w:val="0"/>
        </w:rPr>
        <w:t>I. Bối cảnh</w:t>
      </w:r>
    </w:p>
    <w:p>
      <w:pPr>
        <w:spacing w:after="80"/>
      </w:pPr>
      <w:r>
        <w:rPr>
          <w:b w:val="0"/>
          <w:i w:val="0"/>
        </w:rPr>
        <w:t>Việc sử dụng lao động trẻ em nô lệ ở Bờ Biển Ngà là một thảm kịch nhân đạo. Các nghiên cứu của Tổ chức Lao động Quốc tế, UNICEF, Bộ Ngoại giao, và nhiều tổ chức khác đã xác nhận rằng hàng ngàn trẻ em bị buộc phải làm việc không lương trong nền kinh tế Bờ Biển Ngà. Bên cạnh những hàm ý đạo đức rõ ràng, việc sử dụng rộng rãi chế độ nô lệ trẻ em này góp phần vào đói nghèo ở Bờ Biển Ngà, làm suy thoái phẩm giá của các nạn nhân bằng cách đối xử với họ như hàng hóa, và gây ra chấn thương tinh thần và thể chất lâu dài.</w:t>
      </w:r>
    </w:p>
    <w:p>
      <w:pPr>
        <w:spacing w:after="80"/>
      </w:pPr>
      <w:r>
        <w:rPr>
          <w:b w:val="0"/>
          <w:i w:val="0"/>
        </w:rPr>
        <w:t>Nguyên đơn trong vụ án này là ba nạn nhân của chế độ nô lệ trẻ em. Họ bị buộc phải làm việc trên các đồn điền ca cao ở Bờ Biển Ngà tới mười bốn giờ mỗi ngày, sáu ngày một tuần, chỉ được cho ăn thức ăn thừa, và bị quất roi và đánh đập bởi những kẻ giám sát. Ban đêm họ bị nhốt trong những căn phòng nhỏ và không được phép rời khỏi đồn điền, vì họ biết rằng những đứa trẻ cố gắng bỏ trốn sẽ bị đánh đập hoặc tra tấn. Nguyên đơn John Doe II đã chứng kiến cảnh lính gác rạch bàn chân của những đứa trẻ cố gắng bỏ trốn, và John Doe III biết rằng lính gác buộc những kẻ trốn thoát bất thành phải uống nước tiểu.</w:t>
      </w:r>
    </w:p>
    <w:p>
      <w:pPr>
        <w:spacing w:after="80"/>
      </w:pPr>
      <w:r>
        <w:rPr>
          <w:b w:val="0"/>
          <w:i w:val="0"/>
        </w:rPr>
        <w:t>Dù bị hoen ố bởi những tội ác này, Bờ Biển Ngà vẫn là một phần quan trọng của ngành công nghiệp sô-cô-la quốc tế, sản xuất bảy mươi phần trăm nguồn cung ca cao của thế giới. Các bị đơn trong vụ án này thống trị thị trường ca cao ở Bờ Biển Ngà. Mặc dù bản thân các bị đơn không sở hữu các trang trại ca cao, họ duy trì và bảo vệ nguồn cung ca cao ổn định bằng cách thiết lập các mối quan hệ mua/bán độc quyền với các trang trại ở Bờ Biển Ngà. Các bị đơn phần lớn phụ trách công việc mua bán ca cao, và nhập khẩu phần lớn vụ thu hoạch ca cao của Bờ Biển Ngà vào Hoa Kỳ. Sự tham gia của các bị đơn vào thị trường ca cao mang lại cho họ đòn bẩy kinh tế, và cùng với các công ty đa quốc gia lớn khác, các bị đơn thực sự kiểm soát việc sản xuất ca cao ở Bờ Biển Ngà.</w:t>
      </w:r>
    </w:p>
    <w:p>
      <w:pPr>
        <w:spacing w:after="80"/>
      </w:pPr>
      <w:r>
        <w:rPr>
          <w:b w:val="0"/>
          <w:i w:val="0"/>
        </w:rPr>
        <w:t>Để duy trì mối quan hệ với các trang trại ở Bờ Biển Ngà, các bị đơn cung cấp cả hỗ trợ tài chính lẫn hỗ trợ kỹ thuật canh tác nhằm hỗ trợ nông nghiệp ca cao. Hỗ trợ tài chính bao gồm thanh toán trước cho ca cao và tiền chi tiêu cho nông dân dùng vào mục đích cá nhân. Hỗ trợ kỹ thuật bao gồm thiết bị và đào tạo về kỹ thuật trồng trọt, kỹ thuật lên men, bảo trì trang trại, và các phương thức lao động phù hợp. Hỗ trợ kỹ thuật nhằm mở rộng năng lực của các trang trại và đóng vai trò như một cơ chế kiểm soát chất lượng, và mỗi năm các bị đơn hoặc đại lý của họ đến thăm các trang trại vài lần như một phần trong nỗ lực đào tạo và kiểm soát chất lượng của các bị đơn.</w:t>
      </w:r>
    </w:p>
    <w:p>
      <w:pPr>
        <w:spacing w:after="80"/>
      </w:pPr>
      <w:r>
        <w:rPr>
          <w:b w:val="0"/>
          <w:i w:val="0"/>
        </w:rPr>
        <w:t>Các bị đơn hoàn toàn nhận thức rõ về vấn đề nô lệ trẻ em ở Bờ Biển Ngà. Họ có được hiểu biết này trực tiếp qua vô số chuyến thăm các trang trại ở Bờ Biển Ngà. Ngoài ra, các bị đơn còn biết về vấn đề lao động nô lệ trẻ em trong ngành ca cao ở Bờ Biển Ngà nhờ nhiều báo cáo do các tổ chức trong nước và quốc tế công bố.</w:t>
      </w:r>
    </w:p>
    <w:p>
      <w:pPr>
        <w:spacing w:after="80"/>
      </w:pPr>
      <w:r>
        <w:rPr>
          <w:b w:val="0"/>
          <w:i w:val="0"/>
        </w:rPr>
        <w:t>Bất chấp hiểu biết về chế độ nô lệ trẻ em và quyền kiểm soát thị trường ca cao của mình, các bị đơn hoạt động ở Bờ Biển Ngà “với mục tiêu đơn phương là tìm ra những nguồn ca cao rẻ nhất.” Các bị đơn tiếp tục cung cấp tiền, thiết bị và đào tạo cho nông dân Bờ Biển Ngà, dù biết rằng những khoản cung cấp này sẽ tạo điều kiện cho việc sử dụng lao động trẻ em cưỡng bức. Các bị đơn cũng đã vận động hành lang chống lại các nỗ lực của Quốc hội nhằm hạn chế việc sử dụng lao động nô lệ trẻ em. Năm 2001, Hạ viện đã thông qua một dự luật yêu cầu các nhà nhập khẩu và nhà sản xuất Hoa Kỳ phải chứng nhận và dán nhãn sản phẩm của họ là “không có nô lệ.” Các bị đơn và những người khác trong ngành sô-cô-la đã tập hợp chống lại dự luật, thay vào đó thúc giục áp dụng một cơ chế thực thi tư nhân, tự nguyện. Cuối cùng một hệ thống thực thi tự nguyện đã được áp dụng, một kết quả mà theo các nguyên đơn, “thực chất bảo đảm việc tiếp tục sử dụng nguồn lao động rẻ nhất hiện có để sản xuất [ca cao]—đó là lao động nô lệ trẻ em.”</w:t>
      </w:r>
    </w:p>
    <w:p>
      <w:pPr>
        <w:spacing w:after="80"/>
      </w:pPr>
      <w:r>
        <w:rPr>
          <w:b w:val="0"/>
          <w:i w:val="0"/>
        </w:rPr>
        <w:t>Các nguyên đơn đã đệ trình một vụ kiện tập thể đề xuất tại Tòa án Quận Hoa Kỳ cho Quận Trung tâm California, cáo buộc rằng các bị đơn phải chịu trách nhiệm theo ATS vì đã hỗ trợ và tiếp tay cho chế độ nô lệ trẻ em ở Bờ Biển Ngà. Tòa án quận đã chấp thuận đề nghị bác bỏ đơn kiện của các bị đơn trong một phán quyết chi tiết, kết luận rằng các tập đoàn không thể bị kiện theo ATS, và ngay cả khi có thể, các nguyên đơn đã không nêu được các yếu tố cấu thành yêu cầu khởi kiện về việc hỗ trợ và tiếp tay cho lao động nô lệ. Các nguyên đơn từ chối sửa đổi đơn kiện của mình, và kháng cáo lệnh của tòa án quận.</w:t>
      </w:r>
    </w:p>
    <w:p>
      <w:pPr>
        <w:spacing w:after="80"/>
      </w:pPr>
      <w:r>
        <w:rPr>
          <w:b w:val="0"/>
          <w:i w:val="0"/>
        </w:rPr>
        <w:t>* * *</w:t>
      </w:r>
    </w:p>
    <w:p>
      <w:pPr>
        <w:spacing w:after="80"/>
      </w:pPr>
      <w:r>
        <w:rPr>
          <w:b/>
          <w:i w:val="0"/>
        </w:rPr>
        <w:t>A. Trách nhiệm của tập đoàn theo ATS</w:t>
      </w:r>
    </w:p>
    <w:p>
      <w:pPr>
        <w:spacing w:after="80"/>
      </w:pPr>
      <w:r>
        <w:rPr>
          <w:b w:val="0"/>
          <w:i w:val="0"/>
        </w:rPr>
        <w:t xml:space="preserve">Trọng tâm chính của luật quốc tế, dù không phải là trọng tâm duy nhất, là hành vi của các quốc gia. </w:t>
      </w:r>
      <w:r>
        <w:rPr>
          <w:b w:val="0"/>
          <w:i/>
        </w:rPr>
        <w:t>Kiobel v. Royal Dutch Petroleum Co.,</w:t>
      </w:r>
      <w:r>
        <w:rPr>
          <w:b w:val="0"/>
          <w:i w:val="0"/>
        </w:rPr>
        <w:t xml:space="preserve"> 621 F.3d 111, 165 (2d Cir.2010) (Leval, J., concurring) (“</w:t>
      </w:r>
      <w:r>
        <w:rPr>
          <w:b w:val="0"/>
          <w:i/>
        </w:rPr>
        <w:t>Kiobel I</w:t>
      </w:r>
      <w:r>
        <w:rPr>
          <w:b w:val="0"/>
          <w:i w:val="0"/>
        </w:rPr>
        <w:t xml:space="preserve"> “). Do đó, nhiều điều khoản cấm của luật này chỉ áp dụng cho hành vi của nhà nước, và một vấn đề quan trọng trong tố tụng theo ATS có thể là xác định liệu quy phạm mà nguyên đơn viện dẫn có áp dụng cho cả chủ thể nhà nước lẫn chủ thể tư nhân hay không. Vấn đề này được minh họa qua các phán quyết trái ngược nhau của Vòng án D.C. trong </w:t>
      </w:r>
      <w:r>
        <w:rPr>
          <w:b w:val="0"/>
          <w:i/>
        </w:rPr>
        <w:t>Tel-Oren v. Libyan Arab Republic</w:t>
      </w:r>
      <w:r>
        <w:rPr>
          <w:b w:val="0"/>
          <w:i w:val="0"/>
        </w:rPr>
        <w:t xml:space="preserve"> và Vòng án Thứ hai trong </w:t>
      </w:r>
      <w:r>
        <w:rPr>
          <w:b w:val="0"/>
          <w:i/>
        </w:rPr>
        <w:t>Kadic v. Karadzic.</w:t>
      </w:r>
      <w:r>
        <w:rPr>
          <w:b w:val="0"/>
          <w:i w:val="0"/>
        </w:rPr>
        <w:t xml:space="preserve"> Trong </w:t>
      </w:r>
      <w:r>
        <w:rPr>
          <w:b w:val="0"/>
          <w:i/>
        </w:rPr>
        <w:t>Tel-Oren,</w:t>
      </w:r>
      <w:r>
        <w:rPr>
          <w:b w:val="0"/>
          <w:i w:val="0"/>
        </w:rPr>
        <w:t xml:space="preserve"> Thẩm phán Edwards kết luận rằng yêu cầu khởi kiện theo ATS của các nguyên đơn bị chặn vì không có sự đồng thuận rằng luật quốc tế áp dụng cho hành vi tra tấn do các chủ thể phi nhà nước thực hiện. 726 F.2d 774, 791–95 (D.C.Cir.1984). Ngược lại, trong </w:t>
      </w:r>
      <w:r>
        <w:rPr>
          <w:b w:val="0"/>
          <w:i/>
        </w:rPr>
        <w:t>Kadic,</w:t>
      </w:r>
      <w:r>
        <w:rPr>
          <w:b w:val="0"/>
          <w:i w:val="0"/>
        </w:rPr>
        <w:t xml:space="preserve"> Vòng án Thứ hai phán quyết rằng lệnh cấm diệt chủng của luật quốc tế áp dụng bất kể kẻ thực hiện có hành động thay mặt cho một quốc gia hay không. 70 F.3d 232, 241–42 (2d Cir.1995).</w:t>
      </w:r>
    </w:p>
    <w:p>
      <w:pPr>
        <w:spacing w:after="80"/>
      </w:pPr>
      <w:r>
        <w:rPr>
          <w:b w:val="0"/>
          <w:i w:val="0"/>
        </w:rPr>
        <w:t xml:space="preserve">Sự ám chỉ duy nhất của Tòa án Tối cao về trách nhiệm của tập đoàn xuất hiện trong một chú thích đề cập đến những cuộc thảo luận này trong </w:t>
      </w:r>
      <w:r>
        <w:rPr>
          <w:b w:val="0"/>
          <w:i/>
        </w:rPr>
        <w:t>Tel-Oren</w:t>
      </w:r>
      <w:r>
        <w:rPr>
          <w:b w:val="0"/>
          <w:i w:val="0"/>
        </w:rPr>
        <w:t xml:space="preserve"> và </w:t>
      </w:r>
      <w:r>
        <w:rPr>
          <w:b w:val="0"/>
          <w:i/>
        </w:rPr>
        <w:t>Kadic. Sosa,</w:t>
      </w:r>
      <w:r>
        <w:rPr>
          <w:b w:val="0"/>
          <w:i w:val="0"/>
        </w:rPr>
        <w:t xml:space="preserve"> 542 U.S. at 732 n. 20, 124 S.Ct. 2739. Trong chú thích đó, Tòa án chỉ đạo các tòa án liên bang đang cân nhắc việc công nhận các yêu cầu khởi kiện mới theo ATS phải xem xét “liệu luật quốc tế có mở rộng phạm vi trách nhiệm đối với hành vi vi phạm một quy phạm nhất định cho kẻ bị kiện hay không, nếu bị đơn là </w:t>
      </w:r>
      <w:r>
        <w:rPr>
          <w:b w:val="0"/>
          <w:i/>
        </w:rPr>
        <w:t>một chủ thể tư nhân như một tập đoàn hoặc một cá nhân.</w:t>
      </w:r>
      <w:r>
        <w:rPr>
          <w:b w:val="0"/>
          <w:i w:val="0"/>
        </w:rPr>
        <w:t xml:space="preserve"> ” </w:t>
      </w:r>
      <w:r>
        <w:rPr>
          <w:b w:val="0"/>
          <w:i/>
        </w:rPr>
        <w:t>Id.</w:t>
      </w:r>
      <w:r>
        <w:rPr>
          <w:b w:val="0"/>
          <w:i w:val="0"/>
        </w:rPr>
        <w:t xml:space="preserve"> (nhấn mạnh được thêm vào).</w:t>
      </w:r>
    </w:p>
    <w:p>
      <w:pPr>
        <w:spacing w:after="80"/>
      </w:pPr>
      <w:r>
        <w:rPr>
          <w:b w:val="0"/>
          <w:i w:val="0"/>
        </w:rPr>
        <w:t xml:space="preserve">Vấn đề trách nhiệm của tập đoàn đã được xem xét kỹ lưỡng hơn tại các tòa án vòng, nơi có sự bất đồng về việc liệu và trong những trường hợp nào các tập đoàn có thể phải chịu trách nhiệm cho các yêu cầu khởi kiện theo ATS. </w:t>
      </w:r>
      <w:r>
        <w:rPr>
          <w:b w:val="0"/>
          <w:i/>
        </w:rPr>
        <w:t>Kiobel I,</w:t>
      </w:r>
      <w:r>
        <w:rPr>
          <w:b w:val="0"/>
          <w:i w:val="0"/>
        </w:rPr>
        <w:t xml:space="preserve"> 621 F.3d at 145; </w:t>
      </w:r>
      <w:r>
        <w:rPr>
          <w:b w:val="0"/>
          <w:i/>
        </w:rPr>
        <w:t>Doe v. Exxon Mobil Corp.,</w:t>
      </w:r>
      <w:r>
        <w:rPr>
          <w:b w:val="0"/>
          <w:i w:val="0"/>
        </w:rPr>
        <w:t xml:space="preserve"> 654 F.3d 11, 57 (D.C.Cir.2011), </w:t>
      </w:r>
      <w:r>
        <w:rPr>
          <w:b w:val="0"/>
          <w:i/>
        </w:rPr>
        <w:t>vacated on other grounds by</w:t>
      </w:r>
      <w:r>
        <w:rPr>
          <w:b w:val="0"/>
          <w:i w:val="0"/>
        </w:rPr>
        <w:t xml:space="preserve"> 527 Fed.Appx. 7 (D.C.Cir.2013); </w:t>
      </w:r>
      <w:r>
        <w:rPr>
          <w:b w:val="0"/>
          <w:i/>
        </w:rPr>
        <w:t>Sarei v. Rio Tinto, PLC,</w:t>
      </w:r>
      <w:r>
        <w:rPr>
          <w:b w:val="0"/>
          <w:i w:val="0"/>
        </w:rPr>
        <w:t xml:space="preserve"> 671 F.3d 736, 747 (9th Cir.2011), </w:t>
      </w:r>
      <w:r>
        <w:rPr>
          <w:b w:val="0"/>
          <w:i/>
        </w:rPr>
        <w:t>vacated on other grounds by</w:t>
      </w:r>
      <w:r>
        <w:rPr>
          <w:b w:val="0"/>
          <w:i w:val="0"/>
        </w:rPr>
        <w:t xml:space="preserve"> ___ U.S. ___, 133 S.Ct. 1995, 185 L.Ed.2d 863 (2013); </w:t>
      </w:r>
      <w:r>
        <w:rPr>
          <w:b w:val="0"/>
          <w:i/>
        </w:rPr>
        <w:t>Flomo,</w:t>
      </w:r>
      <w:r>
        <w:rPr>
          <w:b w:val="0"/>
          <w:i w:val="0"/>
        </w:rPr>
        <w:t xml:space="preserve"> 643 F.3d at 1020–21. Ở đây, chúng tôi tái khẳng định phân tích về trách nhiệm của tập đoàn mà hội đồng xét xử đầy đủ (en banc) của vòng chúng tôi đã đưa ra trong </w:t>
      </w:r>
      <w:r>
        <w:rPr>
          <w:b w:val="0"/>
          <w:i/>
        </w:rPr>
        <w:t>Sarei v. Rio Tinto.</w:t>
      </w:r>
    </w:p>
    <w:p>
      <w:pPr>
        <w:spacing w:after="80"/>
      </w:pPr>
      <w:r>
        <w:rPr>
          <w:b w:val="0"/>
          <w:i w:val="0"/>
        </w:rPr>
        <w:t xml:space="preserve">Trong </w:t>
      </w:r>
      <w:r>
        <w:rPr>
          <w:b w:val="0"/>
          <w:i/>
        </w:rPr>
        <w:t>Sarei,</w:t>
      </w:r>
      <w:r>
        <w:rPr>
          <w:b w:val="0"/>
          <w:i w:val="0"/>
        </w:rPr>
        <w:t xml:space="preserve"> các nguyên đơn tìm cách buộc các bị đơn là tập đoàn phải chịu trách nhiệm vì đã hỗ trợ và tiếp tay cho tội diệt chủng và tội ác chiến tranh. Trước tiên chúng tôi bác bỏ lập luận của các bị đơn rằng các tập đoàn không bao giờ có thể bị kiện theo ATS. Thay vì áp dụng một quy tắc miễn trừ hay quy tắc trách nhiệm chung, tòa án trong </w:t>
      </w:r>
      <w:r>
        <w:rPr>
          <w:b w:val="0"/>
          <w:i/>
        </w:rPr>
        <w:t>Sarei</w:t>
      </w:r>
      <w:r>
        <w:rPr>
          <w:b w:val="0"/>
          <w:i w:val="0"/>
        </w:rPr>
        <w:t xml:space="preserve"> phán quyết rằng đối với mỗi yêu cầu khởi kiện theo ATS mà các nguyên đơn viện dẫn, tòa án nên xem xét luật quốc tế và xác định liệu các tập đoàn có phải chịu các quy phạm làm cơ sở cho yêu cầu khởi kiện đó hay không. </w:t>
      </w:r>
      <w:r>
        <w:rPr>
          <w:b w:val="0"/>
          <w:i/>
        </w:rPr>
        <w:t>Id.</w:t>
      </w:r>
      <w:r>
        <w:rPr>
          <w:b w:val="0"/>
          <w:i w:val="0"/>
        </w:rPr>
        <w:t xml:space="preserve"> at 748 (“</w:t>
      </w:r>
      <w:r>
        <w:rPr>
          <w:b w:val="0"/>
          <w:i/>
        </w:rPr>
        <w:t>Sosa</w:t>
      </w:r>
      <w:r>
        <w:rPr>
          <w:b w:val="0"/>
          <w:i w:val="0"/>
        </w:rPr>
        <w:t xml:space="preserve"> đã diễn đạt rõ ràng rằng cuộc điều tra luật quốc tế liên quan chính là phạm vi trách nhiệm của các chủ thể tư nhân đối với hành vi vi phạm ‘quy phạm nhất định’, tức là một cuộc điều tra luật quốc tế riêng cho từng nguyên nhân khởi kiện được viện dẫn.”). Như vậy, chúng tôi đã áp dụng phân tích trách nhiệm của tập đoàn theo từng quy phạm một.</w:t>
      </w:r>
    </w:p>
    <w:p>
      <w:pPr>
        <w:spacing w:after="80"/>
      </w:pPr>
      <w:r>
        <w:rPr>
          <w:b w:val="0"/>
          <w:i w:val="0"/>
        </w:rPr>
        <w:t xml:space="preserve">Sau đó tòa án trong </w:t>
      </w:r>
      <w:r>
        <w:rPr>
          <w:b w:val="0"/>
          <w:i/>
        </w:rPr>
        <w:t>Sarei</w:t>
      </w:r>
      <w:r>
        <w:rPr>
          <w:b w:val="0"/>
          <w:i w:val="0"/>
        </w:rPr>
        <w:t xml:space="preserve"> tiến hành phân tích trách nhiệm của tập đoàn đối với hai quy phạm làm cơ sở cho các yêu cầu khởi kiện của nguyên đơn, quy phạm chống diệt chủng và quy phạm chống tội ác chiến tranh. </w:t>
      </w:r>
      <w:r>
        <w:rPr>
          <w:b w:val="0"/>
          <w:i/>
        </w:rPr>
        <w:t>Id.</w:t>
      </w:r>
      <w:r>
        <w:rPr>
          <w:b w:val="0"/>
          <w:i w:val="0"/>
        </w:rPr>
        <w:t xml:space="preserve"> at 759–61, 764–65. Hội đồng xét xử đầy đủ nhận xét rằng cả hai quy phạm đều áp dụng cho các quốc gia, cá nhân và các nhóm, và rằng việc áp dụng các quy phạm phụ thuộc vào “danh tính cụ thể của </w:t>
      </w:r>
      <w:r>
        <w:rPr>
          <w:b w:val="0"/>
          <w:i/>
        </w:rPr>
        <w:t>nạn nhân</w:t>
      </w:r>
      <w:r>
        <w:rPr>
          <w:b w:val="0"/>
          <w:i w:val="0"/>
        </w:rPr>
        <w:t xml:space="preserve"> chứ không phải danh tính của </w:t>
      </w:r>
      <w:r>
        <w:rPr>
          <w:b w:val="0"/>
          <w:i/>
        </w:rPr>
        <w:t>kẻ thực hiện.</w:t>
      </w:r>
      <w:r>
        <w:rPr>
          <w:b w:val="0"/>
          <w:i w:val="0"/>
        </w:rPr>
        <w:t xml:space="preserve"> ” </w:t>
      </w:r>
      <w:r>
        <w:rPr>
          <w:b w:val="0"/>
          <w:i/>
        </w:rPr>
        <w:t>Id.</w:t>
      </w:r>
      <w:r>
        <w:rPr>
          <w:b w:val="0"/>
          <w:i w:val="0"/>
        </w:rPr>
        <w:t xml:space="preserve"> at 760, 764–65 (nhấn mạnh được thêm vào). Do đó, chúng tôi kết luận rằng các quy phạm này là “phổ quát” hay áp dụng cho “mọi chủ thể,” và vì vậy, áp dụng cho các tập đoàn. </w:t>
      </w:r>
      <w:r>
        <w:rPr>
          <w:b w:val="0"/>
          <w:i/>
        </w:rPr>
        <w:t>Id.</w:t>
      </w:r>
      <w:r>
        <w:rPr>
          <w:b w:val="0"/>
          <w:i w:val="0"/>
        </w:rPr>
        <w:t xml:space="preserve"> at 760, 765. Chúng tôi lập luận rằng việc cho phép một chủ thể “tránh trách nhiệm chỉ bằng cách thành lập pháp nhân” sẽ không nhất quán với tính chất phổ quát của các quy phạm này. </w:t>
      </w:r>
      <w:r>
        <w:rPr>
          <w:b w:val="0"/>
          <w:i/>
        </w:rPr>
        <w:t>See id.</w:t>
      </w:r>
      <w:r>
        <w:rPr>
          <w:b w:val="0"/>
          <w:i w:val="0"/>
        </w:rPr>
        <w:t xml:space="preserve"> at 760 (thảo luận về tội diệt chủng).</w:t>
      </w:r>
    </w:p>
    <w:p>
      <w:pPr>
        <w:spacing w:after="80"/>
      </w:pPr>
      <w:r>
        <w:rPr>
          <w:b w:val="0"/>
          <w:i w:val="0"/>
        </w:rPr>
        <w:t xml:space="preserve">Trong </w:t>
      </w:r>
      <w:r>
        <w:rPr>
          <w:b w:val="0"/>
          <w:i/>
        </w:rPr>
        <w:t>Sarei</w:t>
      </w:r>
      <w:r>
        <w:rPr>
          <w:b w:val="0"/>
          <w:i w:val="0"/>
        </w:rPr>
        <w:t xml:space="preserve"> chúng tôi cũng giải thích rằng một quy phạm có thể tạo cơ sở cho yêu cầu khởi kiện theo ATS chống lại một tập đoàn ngay cả khi không có phán quyết nào từ một tòa án quốc tế thực thi quy phạm đó chống lại một tập đoàn. </w:t>
      </w:r>
      <w:r>
        <w:rPr>
          <w:b w:val="0"/>
          <w:i/>
        </w:rPr>
        <w:t>Id.</w:t>
      </w:r>
      <w:r>
        <w:rPr>
          <w:b w:val="0"/>
          <w:i w:val="0"/>
        </w:rPr>
        <w:t xml:space="preserve"> at 761 (“Chúng ta không thể bị ràng buộc phải chỉ tìm ra trách nhiệm khi các diễn đàn quốc tế đã áp đặt trách nhiệm.”). </w:t>
      </w:r>
      <w:r>
        <w:rPr>
          <w:b w:val="0"/>
          <w:i/>
        </w:rPr>
        <w:t>Contra</w:t>
      </w:r>
      <w:r>
        <w:rPr>
          <w:b w:val="0"/>
          <w:i w:val="0"/>
        </w:rPr>
        <w:t xml:space="preserve"> Kiobel </w:t>
      </w:r>
      <w:r>
        <w:rPr>
          <w:b w:val="0"/>
          <w:i/>
        </w:rPr>
        <w:t>I,</w:t>
      </w:r>
      <w:r>
        <w:rPr>
          <w:b w:val="0"/>
          <w:i w:val="0"/>
        </w:rPr>
        <w:t xml:space="preserve"> 621 F.3d at 131–45. Chúng tôi giải thích rằng việc thiếu các phán quyết buộc các tập đoàn phải chịu trách nhiệm không hàm ý rằng trách nhiệm của tập đoàn là một điều bất khả thi về mặt pháp lý theo luật quốc tế, và cũng lưu ý rằng việc thiếu các phán quyết buộc các tập đoàn phải chịu trách nhiệm có thể được giải thích bằng những cân nhắc chiến lược. </w:t>
      </w:r>
      <w:r>
        <w:rPr>
          <w:b w:val="0"/>
          <w:i/>
        </w:rPr>
        <w:t>Sarei,</w:t>
      </w:r>
      <w:r>
        <w:rPr>
          <w:b w:val="0"/>
          <w:i w:val="0"/>
        </w:rPr>
        <w:t xml:space="preserve"> 671 F.3d at 761 (dẫn Jonathan A. Bush, </w:t>
      </w:r>
      <w:r>
        <w:rPr>
          <w:b w:val="0"/>
          <w:i/>
        </w:rPr>
        <w:t>The Prehistory of Corporations and Conspiracy in International Criminal Law: What Nuremberg Really Said,</w:t>
      </w:r>
      <w:r>
        <w:rPr>
          <w:b w:val="0"/>
          <w:i w:val="0"/>
        </w:rPr>
        <w:t xml:space="preserve"> 109 Colum. L.Rev. 1094, 1149–68 (2009)). Bác bỏ một cách phân tích tập trung vào việc thực thi trong quá khứ, </w:t>
      </w:r>
      <w:r>
        <w:rPr>
          <w:b w:val="0"/>
          <w:i/>
        </w:rPr>
        <w:t>Sarei</w:t>
      </w:r>
      <w:r>
        <w:rPr>
          <w:b w:val="0"/>
          <w:i w:val="0"/>
        </w:rPr>
        <w:t xml:space="preserve"> tái khẳng định rằng trách nhiệm của tập đoàn cuối cùng phụ thuộc vào việc phân tích quy phạm làm cơ sở cho yêu cầu khởi kiện theo ATS. </w:t>
      </w:r>
      <w:r>
        <w:rPr>
          <w:b w:val="0"/>
          <w:i/>
        </w:rPr>
        <w:t>Id.</w:t>
      </w:r>
      <w:r>
        <w:rPr>
          <w:b w:val="0"/>
          <w:i w:val="0"/>
        </w:rPr>
        <w:t xml:space="preserve"> at 760–61 (“Chúng tôi . . . tin rằng cuộc điều tra đúng đắn không phải là liệu có một tiền lệ cụ thể nào phán quyết như vậy hay không, mà là liệu luật quốc tế có mở rộng các điều khoản cấm của mình cho những kẻ thực hiện đang được đề cập hay không.”).</w:t>
      </w:r>
    </w:p>
    <w:p>
      <w:pPr>
        <w:spacing w:after="80"/>
      </w:pPr>
      <w:r>
        <w:rPr>
          <w:b w:val="0"/>
          <w:i w:val="0"/>
        </w:rPr>
        <w:t xml:space="preserve">Như vậy chúng tôi đã thiết lập ba nguyên tắc về trách nhiệm của tập đoàn theo ATS trong </w:t>
      </w:r>
      <w:r>
        <w:rPr>
          <w:b w:val="0"/>
          <w:i/>
        </w:rPr>
        <w:t>Sarei,</w:t>
      </w:r>
      <w:r>
        <w:rPr>
          <w:b w:val="0"/>
          <w:i w:val="0"/>
        </w:rPr>
        <w:t xml:space="preserve"> mà nay chúng tôi tái khẳng định. Thứ nhất, việc phân tích tiến hành theo từng quy phạm một; không có quy tắc tuyệt đối về miễn trừ hay trách nhiệm của tập đoàn. </w:t>
      </w:r>
      <w:r>
        <w:rPr>
          <w:b w:val="0"/>
          <w:i/>
        </w:rPr>
        <w:t>Id.</w:t>
      </w:r>
      <w:r>
        <w:rPr>
          <w:b w:val="0"/>
          <w:i w:val="0"/>
        </w:rPr>
        <w:t xml:space="preserve"> at 747–48. Thứ hai, trách nhiệm của tập đoàn theo một yêu cầu khởi kiện ATS không phụ thuộc vào sự tồn tại của tiền lệ quốc tế thực thi các quy phạm pháp lý chống lại các tập đoàn. </w:t>
      </w:r>
      <w:r>
        <w:rPr>
          <w:b w:val="0"/>
          <w:i/>
        </w:rPr>
        <w:t>Id.</w:t>
      </w:r>
      <w:r>
        <w:rPr>
          <w:b w:val="0"/>
          <w:i w:val="0"/>
        </w:rPr>
        <w:t xml:space="preserve"> at 760–61. Thứ ba, các quy phạm “phổ quát và tuyệt đối,” hay áp dụng cho “mọi chủ thể,” có thể tạo cơ sở cho yêu cầu khởi kiện theo ATS chống lại một tập đoàn. </w:t>
      </w:r>
      <w:r>
        <w:rPr>
          <w:b w:val="0"/>
          <w:i/>
        </w:rPr>
        <w:t>Id.</w:t>
      </w:r>
      <w:r>
        <w:rPr>
          <w:b w:val="0"/>
          <w:i w:val="0"/>
        </w:rPr>
        <w:t xml:space="preserve"> at 760. Để xác định liệu một quy phạm có phổ quát hay không, chúng tôi xem xét, cùng nhiều điều khác, liệu nó có “giới hạn ở các quốc gia” hay không và liệu việc áp dụng nó có phụ thuộc vào danh tính của kẻ thực hiện hay không. </w:t>
      </w:r>
      <w:r>
        <w:rPr>
          <w:b w:val="0"/>
          <w:i/>
        </w:rPr>
        <w:t>Id.</w:t>
      </w:r>
      <w:r>
        <w:rPr>
          <w:b w:val="0"/>
          <w:i w:val="0"/>
        </w:rPr>
        <w:t xml:space="preserve"> at 764–65.</w:t>
      </w:r>
    </w:p>
    <w:p>
      <w:pPr>
        <w:spacing w:after="80"/>
      </w:pPr>
      <w:r>
        <w:rPr>
          <w:b w:val="0"/>
          <w:i w:val="0"/>
        </w:rPr>
        <w:t xml:space="preserve">Chúng tôi kết luận rằng lệnh cấm chế độ nô lệ là phổ quát và có thể được viện dẫn chống lại các bị đơn là tập đoàn trong vụ án này. Các chủ thể tư nhân, phi nhà nước đã phải chịu trách nhiệm tại Nuremberg vì các tội liên quan đến chế độ nô lệ. </w:t>
      </w:r>
      <w:r>
        <w:rPr>
          <w:b w:val="0"/>
          <w:i/>
        </w:rPr>
        <w:t>The Flick Case,</w:t>
      </w:r>
      <w:r>
        <w:rPr>
          <w:b w:val="0"/>
          <w:i w:val="0"/>
        </w:rPr>
        <w:t xml:space="preserve"> 6 Trials of War Criminals (T.W.C.) 1194, 1202. Hơn nữa, các quy chế của Tòa án Hình sự Quốc tế cho Rwanda và Nam Tư cũ được diễn đạt rộng rãi để lên án “những người chịu trách nhiệm” về việc bắt dân thường làm nô lệ. ICTY Statute Art. 5(c), U.N. S/RES/827 (May 25, 1993); ICTR Statute Art. 3(c), U.N. S/RES/955 (Nov. 8, 1994). Lệnh cấm chế độ nô lệ áp dụng cho cả chủ thể nhà nước lẫn chủ thể phi nhà nước, và không có quy tắc nào miễn trừ các hành vi bắt người làm nô lệ được thực hiện thay mặt cho một tập đoàn. Thật vậy, sẽ trái với cả tính chất tuyệt đối của lệnh cấm chế độ nô lệ lẫn mệnh lệnh đạo đức làm cơ sở cho lệnh cấm đó nếu kết luận rằng việc thành lập pháp nhân dẫn đến sự miễn trừ pháp lý cho các hành vi bắt người làm nô lệ. </w:t>
      </w:r>
      <w:r>
        <w:rPr>
          <w:b w:val="0"/>
          <w:i/>
        </w:rPr>
        <w:t>Kiobel I,</w:t>
      </w:r>
      <w:r>
        <w:rPr>
          <w:b w:val="0"/>
          <w:i w:val="0"/>
        </w:rPr>
        <w:t xml:space="preserve"> 621 F.3d at 155 (Leval, J., concurring) (“Cách giải thích luật quốc tế của đa số, vốn dành cho các tập đoàn một tấm vé miễn phí để hành động trái với các quy phạm của luật quốc tế, xung đột với các mục tiêu nhân đạo của bộ luật đó.”).</w:t>
      </w:r>
    </w:p>
    <w:p>
      <w:pPr>
        <w:spacing w:after="80"/>
      </w:pPr>
      <w:r>
        <w:rPr>
          <w:b w:val="0"/>
          <w:i w:val="0"/>
        </w:rPr>
        <w:t xml:space="preserve">Một điểm làm rõ cuối cùng là cần thiết về vai trò của luật trong nước và luật quốc tế. Mặc dù luật quốc tế kiểm soát câu hỏi ngưỡng về việc liệu một chuẩn mực pháp lý quốc tế có cung cấp cơ sở cho một khiếu nại theo ATS chống lại một công ty hay không, vẫn còn một số vấn đề về trách nhiệm pháp lý của công ty phải được điều chỉnh bởi luật trong nước. Sự phân công lao động này được quy định bởi các nguyên tắc pháp lý quốc tế, bởi vì luật quốc tế định nghĩa các chuẩn mực và xác định phạm vi của chúng, nhưng giao cho luật trong nước nhiệm vụ xác định các hậu quả dân sự của bất kỳ hành vi vi phạm nào đối với các chuẩn mực này. </w:t>
      </w:r>
      <w:r>
        <w:rPr>
          <w:b w:val="0"/>
          <w:i/>
        </w:rPr>
        <w:t>Id.</w:t>
      </w:r>
      <w:r>
        <w:rPr>
          <w:b w:val="0"/>
          <w:i w:val="0"/>
        </w:rPr>
        <w:t xml:space="preserve"> at 172 (Leval, J., concurring); </w:t>
      </w:r>
      <w:r>
        <w:rPr>
          <w:b w:val="0"/>
          <w:i/>
        </w:rPr>
        <w:t>Exxon,</w:t>
      </w:r>
      <w:r>
        <w:rPr>
          <w:b w:val="0"/>
          <w:i w:val="0"/>
        </w:rPr>
        <w:t xml:space="preserve"> 654 F.3d at 42–43; </w:t>
      </w:r>
      <w:r>
        <w:rPr>
          <w:b w:val="0"/>
          <w:i/>
        </w:rPr>
        <w:t>Flomo,</w:t>
      </w:r>
      <w:r>
        <w:rPr>
          <w:b w:val="0"/>
          <w:i w:val="0"/>
        </w:rPr>
        <w:t xml:space="preserve"> 643 F.3d at 1020. Do đó, khi các câu hỏi đặc thù của tranh tụng về lỗi dân sự (tort litigation) hoặc trách nhiệm dân sự phát sinh trong tranh tụng ATS—chẳng hạn như tính toán thiệt hại, trách nhiệm liên đới và riêng rẽ (joint and several liability), và quan hệ nhân quả gần (proximate causation)—thì những vấn đề này phải được điều chỉnh bởi luật trong nước. Nhiều câu hỏi xoay quanh trách nhiệm pháp lý của công ty thuộc loại này, bao gồm, quan trọng nhất, vấn đề khi nào hành động của một cá nhân có thể được quy cho một công ty vì mục đích trách nhiệm về lỗi dân sự. Do đó, việc xác định khi nào một công ty có thể bị quy trách nhiệm đòi hỏi tòa án phải áp dụng luật quốc tế tập quán (customary international law) để xác định bản chất và phạm vi của chuẩn mực làm cơ sở cho khiếu nại của nguyên đơn, và luật lỗi dân sự trong nước để xác định liệu việc bồi thường từ công ty có được phép hay không.</w:t>
      </w:r>
    </w:p>
    <w:p>
      <w:pPr>
        <w:spacing w:after="80"/>
      </w:pPr>
      <w:r>
        <w:rPr>
          <w:b w:val="0"/>
          <w:i w:val="0"/>
        </w:rPr>
        <w:t>Phán quyết của chúng tôi rằng chuẩn mực chống chế độ nô lệ là phổ quát và do đó có thể được viện dẫn chống lại các bị đơn chỉ giải quyết các vấn đề pháp lý quốc tế liên quan đến trách nhiệm pháp lý của công ty trong vụ án này. Chúng tôi không giải quyết các câu hỏi khác của luật trong nước liên quan đến trách nhiệm pháp lý của công ty, và để chúng cho tòa án cấp quận (district court) giải quyết ở giai đoạn sơ thẩm đầu tiên.</w:t>
      </w:r>
    </w:p>
    <w:p>
      <w:pPr>
        <w:spacing w:after="80"/>
      </w:pPr>
      <w:r>
        <w:rPr>
          <w:b/>
          <w:i w:val="0"/>
        </w:rPr>
        <w:t>B. Trách nhiệm hỗ trợ và xúi giục (Aiding and Abetting Liability)</w:t>
      </w:r>
    </w:p>
    <w:p>
      <w:pPr>
        <w:spacing w:after="80"/>
      </w:pPr>
      <w:r>
        <w:rPr>
          <w:b w:val="0"/>
          <w:i w:val="0"/>
        </w:rPr>
        <w:t xml:space="preserve">Tiếp theo, chúng tôi xem xét liệu đơn khiếu nại của nguyên đơn có nêu các yếu tố của một khiếu nại về hành vi hỗ trợ và xúi giục chế độ nô lệ hay không. Luật quốc tế tập quán—không phải luật trong nước—cung cấp tiêu chuẩn pháp lý cho các khiếu nại ATS về hỗ trợ và xúi giục. </w:t>
      </w:r>
      <w:r>
        <w:rPr>
          <w:b w:val="0"/>
          <w:i/>
        </w:rPr>
        <w:t>Sarei,</w:t>
      </w:r>
      <w:r>
        <w:rPr>
          <w:b w:val="0"/>
          <w:i w:val="0"/>
        </w:rPr>
        <w:t xml:space="preserve"> 671 F.3d at 765–66. Khi lựa chọn giữa các tiêu chuẩn pháp lý cạnh tranh nhau, chúng tôi xem xét tiêu chuẩn nào phản ánh tốt nhất sự đồng thuận của các nền dân chủ phát triển đầy đủ trên thế giới. </w:t>
      </w:r>
      <w:r>
        <w:rPr>
          <w:b w:val="0"/>
          <w:i/>
        </w:rPr>
        <w:t>See Sosa,</w:t>
      </w:r>
      <w:r>
        <w:rPr>
          <w:b w:val="0"/>
          <w:i w:val="0"/>
        </w:rPr>
        <w:t xml:space="preserve"> 542 U.S. at 732, 124 S.Ct. 2739 (hướng dẫn các tòa án liên bang áp dụng các chuẩn mực pháp lý trong tranh tụng ATS được các “quốc gia văn minh” chấp nhận); </w:t>
      </w:r>
      <w:r>
        <w:rPr>
          <w:b w:val="0"/>
          <w:i/>
        </w:rPr>
        <w:t>Khulumani,</w:t>
      </w:r>
      <w:r>
        <w:rPr>
          <w:b w:val="0"/>
          <w:i w:val="0"/>
        </w:rPr>
        <w:t xml:space="preserve"> 504 F.3d at 276 (Katzmann, J., concurring) (tham khảo tiêu chuẩn pháp lý về hỗ trợ và xúi giục của Quy chế Rome một phần do nó được chấp nhận rộng rãi trong “hầu hết các nền dân chủ trưởng thành trên thế giới”).</w:t>
      </w:r>
    </w:p>
    <w:p>
      <w:pPr>
        <w:spacing w:after="80"/>
      </w:pPr>
      <w:r>
        <w:rPr>
          <w:b w:val="0"/>
          <w:i w:val="0"/>
        </w:rPr>
        <w:t xml:space="preserve">1. </w:t>
      </w:r>
      <w:r>
        <w:rPr>
          <w:b w:val="0"/>
          <w:i/>
        </w:rPr>
        <w:t>Mens Rea</w:t>
      </w:r>
    </w:p>
    <w:p>
      <w:pPr>
        <w:spacing w:after="80"/>
      </w:pPr>
      <w:r>
        <w:rPr>
          <w:b w:val="0"/>
          <w:i w:val="0"/>
        </w:rPr>
        <w:t xml:space="preserve">Nguyên đơn lập luận rằng </w:t>
      </w:r>
      <w:r>
        <w:rPr>
          <w:b w:val="0"/>
          <w:i/>
        </w:rPr>
        <w:t>mens rea</w:t>
      </w:r>
      <w:r>
        <w:rPr>
          <w:b w:val="0"/>
          <w:i w:val="0"/>
        </w:rPr>
        <w:t xml:space="preserve"> cần thiết cho hành vi hỗ trợ và xúi giục là sự hiểu biết (knowledge), cụ thể là, hiểu biết rằng hành vi của người hỗ trợ và xúi giục sẽ tạo điều kiện cho việc thực hiện tội phạm cơ sở. Tiêu chuẩn hiểu biết này bắt nguồn từ các tòa án Nuremberg, và được minh họa rõ ràng bởi </w:t>
      </w:r>
      <w:r>
        <w:rPr>
          <w:b w:val="0"/>
          <w:i/>
        </w:rPr>
        <w:t>Zyklon B Case,</w:t>
      </w:r>
      <w:r>
        <w:rPr>
          <w:b w:val="0"/>
          <w:i w:val="0"/>
        </w:rPr>
        <w:t xml:space="preserve"> 1 Law Reports Of Trials Of War Criminals 93 (1946). Ở đó, các bị đơn đã cung cấp khí độc cho Đức Quốc xã với hiểu biết rằng nó sẽ được sử dụng để giết hại những người vô tội, và bị kết tội hỗ trợ và xúi giục tội ác chiến tranh. </w:t>
      </w:r>
      <w:r>
        <w:rPr>
          <w:b w:val="0"/>
          <w:i/>
        </w:rPr>
        <w:t>Id.</w:t>
      </w:r>
      <w:r>
        <w:rPr>
          <w:b w:val="0"/>
          <w:i w:val="0"/>
        </w:rPr>
        <w:t xml:space="preserve"> at 101. Một tiêu chuẩn hiểu biết tương tự được áp dụng trong </w:t>
      </w:r>
      <w:r>
        <w:rPr>
          <w:b w:val="0"/>
          <w:i/>
        </w:rPr>
        <w:t>The Flick Case,</w:t>
      </w:r>
      <w:r>
        <w:rPr>
          <w:b w:val="0"/>
          <w:i w:val="0"/>
        </w:rPr>
        <w:t xml:space="preserve"> nơi một bị đơn bị kết tội hỗ trợ và xúi giục tội ác chiến tranh vì đã quyên tiền cho thủ lĩnh của SS, với hiểu biết rằng nó sẽ được sử dụng để hỗ trợ một tổ chức tội phạm. 6 T.W.C. 1216–17, 1220–21; </w:t>
      </w:r>
      <w:r>
        <w:rPr>
          <w:b w:val="0"/>
          <w:i/>
        </w:rPr>
        <w:t>see also The Ministries Case,</w:t>
      </w:r>
      <w:r>
        <w:rPr>
          <w:b w:val="0"/>
          <w:i w:val="0"/>
        </w:rPr>
        <w:t xml:space="preserve"> 14 T.W.C. 622 (kết luận rằng hiểu biết của bị đơn về mục đích sử dụng dự kiến của một khoản vay là đủ để thỏa mãn yêu cầu </w:t>
      </w:r>
      <w:r>
        <w:rPr>
          <w:b w:val="0"/>
          <w:i/>
        </w:rPr>
        <w:t>mens rea</w:t>
      </w:r>
      <w:r>
        <w:rPr>
          <w:b w:val="0"/>
          <w:i w:val="0"/>
        </w:rPr>
        <w:t xml:space="preserve">, nhưng từ chối tìm rằng bị đơn đã thỏa mãn yêu cầu </w:t>
      </w:r>
      <w:r>
        <w:rPr>
          <w:b w:val="0"/>
          <w:i/>
        </w:rPr>
        <w:t>actus reus</w:t>
      </w:r>
      <w:r>
        <w:rPr>
          <w:b w:val="0"/>
          <w:i w:val="0"/>
        </w:rPr>
        <w:t>).</w:t>
      </w:r>
    </w:p>
    <w:p>
      <w:pPr>
        <w:spacing w:after="80"/>
      </w:pPr>
      <w:r>
        <w:rPr>
          <w:b w:val="0"/>
          <w:i w:val="0"/>
        </w:rPr>
        <w:t xml:space="preserve">Như nguyên đơn lập luận, tiêu chuẩn hiểu biết này cũng đã được các tòa án hình sự quốc tế đương đại chấp nhận. Các Tòa án Hình sự Quốc tế cho Rwanda và Nam Tư cũ liên tục áp dụng tiêu chuẩn hiểu biết. Trong </w:t>
      </w:r>
      <w:r>
        <w:rPr>
          <w:b w:val="0"/>
          <w:i/>
        </w:rPr>
        <w:t>Prosecutor v. Blagojevic,</w:t>
      </w:r>
      <w:r>
        <w:rPr>
          <w:b w:val="0"/>
          <w:i w:val="0"/>
        </w:rPr>
        <w:t xml:space="preserve"> chẳng hạn, tòa án tuyên bố rằng “[y]ếu tố tinh thần cần thiết của hành vi hỗ trợ và xúi giục là hiểu biết rằng các hành vi được thực hiện hỗ trợ việc thực hiện tội phạm cụ thể của thủ phạm chính.” No. IT-02-60-A, ¶127 (ICTY, May 9, 2007) (“</w:t>
      </w:r>
      <w:r>
        <w:rPr>
          <w:b w:val="0"/>
          <w:i/>
        </w:rPr>
        <w:t>Blagojevic</w:t>
      </w:r>
      <w:r>
        <w:rPr>
          <w:b w:val="0"/>
          <w:i w:val="0"/>
        </w:rPr>
        <w:t xml:space="preserve"> “); </w:t>
      </w:r>
      <w:r>
        <w:rPr>
          <w:b w:val="0"/>
          <w:i/>
        </w:rPr>
        <w:t>see also Prosecutor v. Kayishema,</w:t>
      </w:r>
      <w:r>
        <w:rPr>
          <w:b w:val="0"/>
          <w:i w:val="0"/>
        </w:rPr>
        <w:t xml:space="preserve"> No. ICTR-95-1-T, ¶205 (ICTR, May 21, 1999); </w:t>
      </w:r>
      <w:r>
        <w:rPr>
          <w:b w:val="0"/>
          <w:i/>
        </w:rPr>
        <w:t>Khulumani,</w:t>
      </w:r>
      <w:r>
        <w:rPr>
          <w:b w:val="0"/>
          <w:i w:val="0"/>
        </w:rPr>
        <w:t xml:space="preserve"> 504 F.3d at 277–79 (Katzmann, J., concurring) (nhận xét rằng các quyết định của ICTY và ICTR áp dụng tiêu chuẩn hiểu biết); </w:t>
      </w:r>
      <w:r>
        <w:rPr>
          <w:b w:val="0"/>
          <w:i/>
        </w:rPr>
        <w:t>Exxon,</w:t>
      </w:r>
      <w:r>
        <w:rPr>
          <w:b w:val="0"/>
          <w:i w:val="0"/>
        </w:rPr>
        <w:t xml:space="preserve"> 654 F.3d at 33–34 (tương tự). Ngoài ra, sau khi tiến hành một cuộc xem xét sâu rộng về luật quốc tế tập quán, Phòng Kháng cáo của Tòa án Đặc biệt cho Sierra Leone gần đây đã khẳng định tiêu chuẩn hiểu biết này, kết luận rằng “hiểu biết của bị cáo về hậu quả của hành vi hoặc ứng xử của mình—nghĩa là, ‘sự tham gia có hiểu biết’ của bị cáo vào các tội phạm—là một tiêu chuẩn </w:t>
      </w:r>
      <w:r>
        <w:rPr>
          <w:b w:val="0"/>
          <w:i/>
        </w:rPr>
        <w:t>mens rea</w:t>
      </w:r>
      <w:r>
        <w:rPr>
          <w:b w:val="0"/>
          <w:i w:val="0"/>
        </w:rPr>
        <w:t xml:space="preserve"> đáng bị khiển trách cho trách nhiệm hình sự cá nhân.” </w:t>
      </w:r>
      <w:r>
        <w:rPr>
          <w:b w:val="0"/>
          <w:i/>
        </w:rPr>
        <w:t>Taylor,</w:t>
      </w:r>
      <w:r>
        <w:rPr>
          <w:b w:val="0"/>
          <w:i w:val="0"/>
        </w:rPr>
        <w:t xml:space="preserve"> ¶483.</w:t>
      </w:r>
    </w:p>
    <w:p>
      <w:pPr>
        <w:spacing w:after="80"/>
      </w:pPr>
      <w:r>
        <w:rPr>
          <w:b w:val="0"/>
          <w:i w:val="0"/>
        </w:rPr>
        <w:t xml:space="preserve">Tuy nhiên, hai trong số các vòng tòa án chị em của chúng tôi đã kết luận rằng hiểu biết là không đủ và rằng một bị đơn ATS về hỗ trợ và xúi giục phải hành động với </w:t>
      </w:r>
      <w:r>
        <w:rPr>
          <w:b w:val="0"/>
          <w:i/>
        </w:rPr>
        <w:t>mục đích</w:t>
      </w:r>
      <w:r>
        <w:rPr>
          <w:b w:val="0"/>
          <w:i w:val="0"/>
        </w:rPr>
        <w:t xml:space="preserve"> tạo điều kiện cho hành vi phạm tội, dựa trên Quy chế Rome của Tòa án Hình sự Quốc tế, 37 I.L.M. 999 (1998) (“Quy chế Rome”). </w:t>
      </w:r>
      <w:r>
        <w:rPr>
          <w:b w:val="0"/>
          <w:i/>
        </w:rPr>
        <w:t>See Aziz v. Alcolac, Inc.,</w:t>
      </w:r>
      <w:r>
        <w:rPr>
          <w:b w:val="0"/>
          <w:i w:val="0"/>
        </w:rPr>
        <w:t xml:space="preserve"> 658 F.3d 388, 399–400 (4th Cir.2011); </w:t>
      </w:r>
      <w:r>
        <w:rPr>
          <w:b w:val="0"/>
          <w:i/>
        </w:rPr>
        <w:t>Presbyterian Church of Sudan v. Talisman Energy, Inc.,</w:t>
      </w:r>
      <w:r>
        <w:rPr>
          <w:b w:val="0"/>
          <w:i w:val="0"/>
        </w:rPr>
        <w:t xml:space="preserve"> 582 F.3d 244, 259 (2d Cir.2009). Các vòng tòa án này đã giải thích Quy chế Rome để cấm việc sử dụng tiêu chuẩn hiểu biết bởi vì nó sử dụng thuật ngữ “mục đích” để định nghĩa trách nhiệm hỗ trợ và xúi giục:</w:t>
      </w:r>
    </w:p>
    <w:p>
      <w:pPr>
        <w:spacing w:after="80"/>
      </w:pPr>
      <w:r>
        <w:rPr>
          <w:b w:val="0"/>
          <w:i w:val="0"/>
        </w:rPr>
        <w:t xml:space="preserve">[M]ột người phải chịu trách nhiệm hình sự và có thể bị trừng phạt vì một tội phạm thuộc thẩm quyền của Tòa án nếu người đó . . . [v]ì </w:t>
      </w:r>
      <w:r>
        <w:rPr>
          <w:b w:val="0"/>
          <w:i/>
        </w:rPr>
        <w:t>mục đích</w:t>
      </w:r>
      <w:r>
        <w:rPr>
          <w:b w:val="0"/>
          <w:i w:val="0"/>
        </w:rPr>
        <w:t xml:space="preserve"> tạo điều kiện cho việc thực hiện một tội phạm như vậy, hỗ trợ, xúi giục, hoặc bằng cách khác giúp sức trong việc thực hiện tội phạm đó. . . .</w:t>
      </w:r>
    </w:p>
    <w:p>
      <w:pPr>
        <w:spacing w:after="80"/>
      </w:pPr>
      <w:r>
        <w:rPr>
          <w:b w:val="0"/>
          <w:i w:val="0"/>
        </w:rPr>
        <w:t xml:space="preserve">Quy chế Rome, art. 25(3)(c) (nhấn mạnh được thêm). Lấy văn bản này theo giá trị bề mặt của nó, như Vòng tòa án Thứ hai và Thứ tư đã làm, có vẻ như Quy chế Rome bác bỏ một tiêu chuẩn hiểu biết và yêu cầu </w:t>
      </w:r>
      <w:r>
        <w:rPr>
          <w:b w:val="0"/>
          <w:i/>
        </w:rPr>
        <w:t>mens rea</w:t>
      </w:r>
      <w:r>
        <w:rPr>
          <w:b w:val="0"/>
          <w:i w:val="0"/>
        </w:rPr>
        <w:t xml:space="preserve"> cao hơn là mục đích, cho thấy rằng một tiêu chuẩn hiểu biết thiếu sự chấp nhận phổ quát mà </w:t>
      </w:r>
      <w:r>
        <w:rPr>
          <w:b w:val="0"/>
          <w:i/>
        </w:rPr>
        <w:t>Sosa</w:t>
      </w:r>
      <w:r>
        <w:rPr>
          <w:b w:val="0"/>
          <w:i w:val="0"/>
        </w:rPr>
        <w:t xml:space="preserve"> đòi hỏi.</w:t>
      </w:r>
    </w:p>
    <w:p>
      <w:pPr>
        <w:spacing w:after="80"/>
      </w:pPr>
      <w:r>
        <w:rPr>
          <w:b w:val="0"/>
          <w:i w:val="0"/>
        </w:rPr>
        <w:t>Ở đây, chúng tôi không cần phải quyết định liệu một tiêu chuẩn mục đích hay hiểu biết áp dụng cho các khiếu nại ATS về hỗ trợ và xúi giục. Chúng tôi kết luận rằng các cáo buộc của nguyên đơn thỏa mãn tiêu chuẩn mục đích nghiêm ngặt hơn, và do đó nêu một khiếu nại về hỗ trợ và xúi giục chế độ nô lệ. Tất cả các cơ quan có thẩm quyền quốc tế đều đồng ý rằng “</w:t>
      </w:r>
      <w:r>
        <w:rPr>
          <w:b w:val="0"/>
          <w:i/>
        </w:rPr>
        <w:t>ít nhất</w:t>
      </w:r>
      <w:r>
        <w:rPr>
          <w:b w:val="0"/>
          <w:i w:val="0"/>
        </w:rPr>
        <w:t xml:space="preserve"> hành động có mục đích . . . cấu thành hành vi hỗ trợ và xúi giục [.]” </w:t>
      </w:r>
      <w:r>
        <w:rPr>
          <w:b w:val="0"/>
          <w:i/>
        </w:rPr>
        <w:t>Sarei,</w:t>
      </w:r>
      <w:r>
        <w:rPr>
          <w:b w:val="0"/>
          <w:i w:val="0"/>
        </w:rPr>
        <w:t xml:space="preserve"> 671 F.3d at 765–66 (từ chối xác định liệu </w:t>
      </w:r>
      <w:r>
        <w:rPr>
          <w:b w:val="0"/>
          <w:i/>
        </w:rPr>
        <w:t>mens rea</w:t>
      </w:r>
      <w:r>
        <w:rPr>
          <w:b w:val="0"/>
          <w:i w:val="0"/>
        </w:rPr>
        <w:t xml:space="preserve"> cần thiết cho một khiếu nại về hỗ trợ và xúi giục là hiểu biết hay mục đích).</w:t>
      </w:r>
    </w:p>
    <w:p>
      <w:pPr>
        <w:spacing w:after="80"/>
      </w:pPr>
      <w:r>
        <w:rPr>
          <w:b w:val="0"/>
          <w:i w:val="0"/>
        </w:rPr>
        <w:t>Đọc các cáo buộc theo cách có lợi nhất cho nguyên đơn, người ta được dẫn đến suy luận rằng các bị đơn đặt doanh thu tăng thêm lên trên phúc lợi cơ bản của con người, và có ý định theo đuổi tất cả các lựa chọn sẵn có để giảm chi phí mua ca cao của họ. Được thúc đẩy bởi mục tiêu giảm chi phí bằng mọi cách có thể, các bị đơn được cho là đã hỗ trợ việc sử dụng chế độ nô lệ trẻ em, hình thức lao động rẻ nhất hiện có. Những cáo buộc này giải thích cách việc sử dụng chế độ nô lệ trẻ em mang lại lợi ích cho các bị đơn và thúc đẩy các mục tiêu hoạt động của họ ở Bờ Biển Ngà, và do đó, các cáo buộc hỗ trợ suy luận rằng các bị đơn đã hành động với mục đích tạo điều kiện cho chế độ nô lệ trẻ em.</w:t>
      </w:r>
    </w:p>
    <w:p>
      <w:pPr>
        <w:spacing w:after="80"/>
      </w:pPr>
      <w:r>
        <w:rPr>
          <w:b w:val="0"/>
          <w:i w:val="0"/>
        </w:rPr>
        <w:t xml:space="preserve">Kế hoạch được cho là của các bị đơn nhằm hưởng lợi từ việc sử dụng lao động nô lệ trẻ em phân biệt rõ ràng vụ án này với các quyết định ATS khác nơi tiêu chuẩn mục đích không được thỏa mãn. </w:t>
      </w:r>
      <w:r>
        <w:rPr>
          <w:b w:val="0"/>
          <w:i/>
        </w:rPr>
        <w:t>See Talisman,</w:t>
      </w:r>
      <w:r>
        <w:rPr>
          <w:b w:val="0"/>
          <w:i w:val="0"/>
        </w:rPr>
        <w:t xml:space="preserve"> 582 F.3d at 262–64; </w:t>
      </w:r>
      <w:r>
        <w:rPr>
          <w:b w:val="0"/>
          <w:i/>
        </w:rPr>
        <w:t>Aziz,</w:t>
      </w:r>
      <w:r>
        <w:rPr>
          <w:b w:val="0"/>
          <w:i w:val="0"/>
        </w:rPr>
        <w:t xml:space="preserve"> 658 F.3d at 390–91, 401. Theo các cáo buộc ở đây, các bị đơn không chỉ thu lợi bằng cách làm ăn với những kẻ vi phạm nhân quyền đã biết. Thay vào đó, họ được cho là đã tìm cách đạt được các mục tiêu của riêng mình bằng cách hỗ trợ các vi phạm luật quốc tế. Ngược lại, trong </w:t>
      </w:r>
      <w:r>
        <w:rPr>
          <w:b w:val="0"/>
          <w:i/>
        </w:rPr>
        <w:t>Talisman,</w:t>
      </w:r>
      <w:r>
        <w:rPr>
          <w:b w:val="0"/>
          <w:i w:val="0"/>
        </w:rPr>
        <w:t xml:space="preserve"> bị đơn không hề thu lợi từ những hành động tàn bạo nhân quyền cơ sở do quân đội Sudan thực hiện, và trên thực tế, những hành động tàn bạo đó đi ngược lại các mục tiêu của bị đơn trong khu vực, và thậm chí buộc bị đơn phải từ bỏ hoạt động của mình. </w:t>
      </w:r>
      <w:r>
        <w:rPr>
          <w:b w:val="0"/>
          <w:i/>
        </w:rPr>
        <w:t>Talisman,</w:t>
      </w:r>
      <w:r>
        <w:rPr>
          <w:b w:val="0"/>
          <w:i w:val="0"/>
        </w:rPr>
        <w:t xml:space="preserve"> 582 F.3d at 262. Tương tự, trong </w:t>
      </w:r>
      <w:r>
        <w:rPr>
          <w:b w:val="0"/>
          <w:i/>
        </w:rPr>
        <w:t>Aziz,</w:t>
      </w:r>
      <w:r>
        <w:rPr>
          <w:b w:val="0"/>
          <w:i w:val="0"/>
        </w:rPr>
        <w:t xml:space="preserve"> nguyên đơn cáo buộc rằng các bị đơn đã bán hóa chất với hiểu biết rằng chúng sẽ được sử dụng để giết hại người Kurd ở miền bắc Iraq, nhưng không cáo buộc rằng các bị đơn có bất cứ điều gì để đạt được từ việc sử dụng vũ khí hóa học. </w:t>
      </w:r>
      <w:r>
        <w:rPr>
          <w:b w:val="0"/>
          <w:i/>
        </w:rPr>
        <w:t>Aziz,</w:t>
      </w:r>
      <w:r>
        <w:rPr>
          <w:b w:val="0"/>
          <w:i w:val="0"/>
        </w:rPr>
        <w:t xml:space="preserve"> 658 F.3d at 394, 401. Do đó, trong </w:t>
      </w:r>
      <w:r>
        <w:rPr>
          <w:b w:val="0"/>
          <w:i/>
        </w:rPr>
        <w:t>Talisman</w:t>
      </w:r>
      <w:r>
        <w:rPr>
          <w:b w:val="0"/>
          <w:i w:val="0"/>
        </w:rPr>
        <w:t xml:space="preserve"> và </w:t>
      </w:r>
      <w:r>
        <w:rPr>
          <w:b w:val="0"/>
          <w:i/>
        </w:rPr>
        <w:t>Aziz,</w:t>
      </w:r>
      <w:r>
        <w:rPr>
          <w:b w:val="0"/>
          <w:i w:val="0"/>
        </w:rPr>
        <w:t xml:space="preserve"> tiêu chuẩn mục đích không được thỏa mãn bởi vì các bị đơn không có gì để đạt được từ các vi phạm luật quốc tế, và trong </w:t>
      </w:r>
      <w:r>
        <w:rPr>
          <w:b w:val="0"/>
          <w:i/>
        </w:rPr>
        <w:t>Talisman,</w:t>
      </w:r>
      <w:r>
        <w:rPr>
          <w:b w:val="0"/>
          <w:i w:val="0"/>
        </w:rPr>
        <w:t xml:space="preserve"> các vi phạm thực sự đi ngược lại lợi ích của các bị đơn. Ở đây, tuy nhiên, đơn khiếu nại cáo buộc rằng các bị đơn thu được lợi ích trực tiếp từ việc thực hiện hành vi vi phạm luật quốc tế, điều này củng cố cáo buộc rằng các bị đơn đã hành động với mục đích hỗ trợ chế độ nô lệ trẻ em.</w:t>
      </w:r>
    </w:p>
    <w:p>
      <w:pPr>
        <w:spacing w:after="80"/>
      </w:pPr>
      <w:r>
        <w:rPr>
          <w:b w:val="0"/>
          <w:i w:val="0"/>
        </w:rPr>
        <w:t>Sự kiểm soát của các bị đơn đối với thị trường ca cao Bờ Biển Ngà càng hỗ trợ thêm cho cáo buộc rằng các bị đơn đã hành động với mục đích tạo điều kiện cho chế độ nô lệ. Theo đơn khiếu nại, các bị đơn có đủ kiểm soát đối với thị trường ca cao Ivorian đến mức họ có thể đã ngăn chặn hoặc hạn chế việc sử dụng lao động nô lệ trẻ em bởi các nhà cung cấp của họ. Tuy nhiên, các bị đơn đã không sử dụng quyền kiểm soát của mình để ngăn chặn việc sử dụng chế độ nô lệ trẻ em, mà thay vào đó cung cấp sự hỗ trợ tạo điều kiện cho nó. Xem xét cùng với cáo buộc rằng các bị đơn được hưởng lợi từ việc sử dụng chế độ nô lệ trẻ em, việc các bị đơn không ngăn chặn hoặc hạn chế chế độ nô lệ trẻ em hỗ trợ suy luận rằng họ có ý định duy trì hệ thống đó. Các bị đơn có phương tiện để ngăn chặn hoặc hạn chế việc sử dụng chế độ nô lệ trẻ em, và nếu họ muốn chấm dứt lao động nô lệ, họ có thể đã sử dụng đòn bẩy của mình trên thị trường ca cao để ngăn chặn nó. Việc họ được cho là đã không làm như vậy, cùng với lợi ích cắt giảm chi phí mà họ được cho là nhận được từ việc sử dụng nô lệ trẻ em, hỗ trợ mạnh mẽ cho suy luận rằng các bị đơn đã hành động có mục đích.</w:t>
      </w:r>
    </w:p>
    <w:p>
      <w:pPr>
        <w:spacing w:after="80"/>
      </w:pPr>
      <w:r>
        <w:rPr>
          <w:b w:val="0"/>
          <w:i w:val="0"/>
        </w:rPr>
        <w:t>Các nỗ lực vận động hành lang được cho là của các bị đơn cũng củng cố suy luận về mục đích. Theo đơn khiếu nại, các bị đơn đã tham gia vào các nỗ lực vận động hành lang được thiết kế để đánh bại luật liên bang sẽ yêu cầu các nhà nhập khẩu và nhà sản xuất sô-cô-la chứng nhận và dán nhãn sô-cô-la của họ là “không có nô lệ”. Như một giải pháp thay thế cho luật được đề xuất, các bị đơn, cùng với những người khác từ ngành công nghiệp sô-cô-la, đã hỗ trợ một cơ chế tự nguyện mà qua đó ngành công nghiệp sô-cô-la sẽ tự giám sát. Đơn khiếu nại cũng cáo buộc rằng khi hệ thống thực thi tự nguyện cuối cùng được đưa vào thực tiễn thay vì luật pháp, nó “trên thực tế đã đảm bảo việc tiếp tục sử dụng lao động rẻ nhất hiện có để sản xuất [ca cao]—đó là lao động nô lệ trẻ em.”</w:t>
      </w:r>
    </w:p>
    <w:p>
      <w:pPr>
        <w:spacing w:after="80"/>
      </w:pPr>
      <w:r>
        <w:rPr>
          <w:b w:val="0"/>
          <w:i w:val="0"/>
        </w:rPr>
        <w:t xml:space="preserve">Bất chấp những cáo buộc chi tiết này, ý kiến bất đồng cho rằng đơn khiếu nại nên bị bác bỏ là không hợp lý theo </w:t>
      </w:r>
      <w:r>
        <w:rPr>
          <w:b w:val="0"/>
          <w:i/>
        </w:rPr>
        <w:t>Ashcroft v. Iqbal,</w:t>
      </w:r>
      <w:r>
        <w:rPr>
          <w:b w:val="0"/>
          <w:i w:val="0"/>
        </w:rPr>
        <w:t xml:space="preserve"> 556 U.S. 662, 129 S.Ct. 1937, 173 L.Ed.2d 868 (2009). Tuy nhiên, cáo buộc về mục đích không phải là một khẳng định trống rỗng và kết luận suông không gắn với các sự kiện làm cơ sở cho các khiếu nại của nguyên đơn. Thay vào đó, đơn khiếu nại liên kết cụ thể mục đích được cho là của các bị đơn với các mục tiêu kinh tế của các bị đơn ở Bờ Biển Ngà, sự kiểm soát của họ đối với thị trường ca cao, và các nỗ lực vận động hành lang của họ. Các cáo buộc thực tế liên quan đến các mục tiêu và hoạt động kinh doanh của các bị đơn làm phát sinh một suy luận hợp lý rằng các bị đơn đã hành động có mục đích, và điều đó là đủ để thỏa mãn </w:t>
      </w:r>
      <w:r>
        <w:rPr>
          <w:b w:val="0"/>
          <w:i/>
        </w:rPr>
        <w:t>Iqbal. Id.</w:t>
      </w:r>
      <w:r>
        <w:rPr>
          <w:b w:val="0"/>
          <w:i w:val="0"/>
        </w:rPr>
        <w:t xml:space="preserve"> at 678–79, 129 S.Ct. 1937; </w:t>
      </w:r>
      <w:r>
        <w:rPr>
          <w:b w:val="0"/>
          <w:i/>
        </w:rPr>
        <w:t>Moss v. U.S. Secret Serv.,</w:t>
      </w:r>
      <w:r>
        <w:rPr>
          <w:b w:val="0"/>
          <w:i w:val="0"/>
        </w:rPr>
        <w:t xml:space="preserve"> 572 F.3d 962, 969 (9th Cir.2009) (“Tóm lại, để một đơn khiếu nại vượt qua một đề nghị bác bỏ, ‘nội dung thực tế’ không mang tính kết luận suông, và các suy luận hợp lý từ nội dung đó, phải gợi ý một cách hợp lý về một khiếu nại cho phép nguyên đơn được bồi thường.”).</w:t>
      </w:r>
    </w:p>
    <w:p>
      <w:pPr>
        <w:spacing w:after="80"/>
      </w:pPr>
      <w:r>
        <w:rPr>
          <w:b w:val="0"/>
          <w:i w:val="0"/>
        </w:rPr>
        <w:t>Chúng tôi cũng không đồng tình với quan điểm của ý kiến bất đồng rằng các nguyên đơn đã thừa nhận rằng những cáo buộc của họ không đáp ứng được tiêu chuẩn mục đích. Các nguyên đơn đã duy trì xuyên suốt quá trình kháng cáo này rằng tiêu chuẩn mục đích đã được thỏa mãn. Họ chỉ thừa nhận rằng các bị đơn không có động cơ chủ quan nhằm gây hại cho trẻ em. Thật vậy, đơn kiện thể hiện rõ ràng rằng động cơ của các bị đơn là tìm kiếm những nguồn ca cao giá rẻ; không có cáo buộc nào cho rằng các bị đơn ủng hộ chế độ nô lệ trẻ em vì có hứng thú gây hại cho trẻ em ở Tây Phi.</w:t>
      </w:r>
    </w:p>
    <w:p>
      <w:pPr>
        <w:spacing w:after="80"/>
      </w:pPr>
      <w:r>
        <w:rPr>
          <w:b w:val="0"/>
          <w:i w:val="0"/>
        </w:rPr>
        <w:t>Điều này không có nghĩa là tiêu chuẩn mục đích được thỏa mãn chỉ vì các bị đơn có ý định thu lợi bằng cách kinh doanh tại Bờ Biển Ngà. Kinh doanh với những kẻ sở hữu nô lệ trẻ em, dù về mặt đạo đức có thể đáng lên án đến đâu, tự nó không chứng minh được một mục đích ủng hộ chế độ nô lệ trẻ em. Tuy nhiên, ở đây, các bị đơn được cho là đã có ý định ủng hộ việc sử dụng chế độ nô lệ trẻ em như một phương tiện để giảm chi phí sản xuất của mình. Khi làm như vậy, các bị đơn theo đuổi một mục tiêu chính đáng là lợi nhuận, thông qua những phương tiện không chính đáng là cố ý ủng hộ chế độ nô lệ trẻ em.</w:t>
      </w:r>
    </w:p>
    <w:p>
      <w:pPr>
        <w:spacing w:after="80"/>
      </w:pPr>
      <w:r>
        <w:rPr>
          <w:b w:val="0"/>
          <w:i w:val="0"/>
        </w:rPr>
        <w:t xml:space="preserve">Do đó, những cáo buộc cho thấy rằng việc tập trung thiển cận vào lợi nhuận hơn là phúc lợi con người đã thúc đẩy các bị đơn hành động với mục đích thu được ca cao rẻ nhất có thể, ngay cả khi điều đó có nghĩa là tạo điều kiện cho chế độ nô lệ trẻ em. Những cáo buộc này đủ để thỏa mãn </w:t>
      </w:r>
      <w:r>
        <w:rPr>
          <w:b w:val="0"/>
          <w:i/>
        </w:rPr>
        <w:t>mens rea</w:t>
      </w:r>
      <w:r>
        <w:rPr>
          <w:b w:val="0"/>
          <w:i w:val="0"/>
        </w:rPr>
        <w:t xml:space="preserve"> (ý chí phạm tội) mà một khiếu nại về tiếp tay và xúi giục đòi hỏi, theo tiêu chuẩn hiểu biết hoặc tiêu chuẩn mục đích.</w:t>
      </w:r>
    </w:p>
    <w:p>
      <w:pPr>
        <w:spacing w:after="80"/>
      </w:pPr>
      <w:r>
        <w:rPr>
          <w:b w:val="0"/>
          <w:i w:val="0"/>
        </w:rPr>
        <w:t xml:space="preserve">2. </w:t>
      </w:r>
      <w:r>
        <w:rPr>
          <w:b w:val="0"/>
          <w:i/>
        </w:rPr>
        <w:t>Actus Reus</w:t>
      </w:r>
      <w:r>
        <w:rPr>
          <w:b w:val="0"/>
          <w:i w:val="0"/>
        </w:rPr>
        <w:t xml:space="preserve"> (hành vi phạm tội)</w:t>
      </w:r>
    </w:p>
    <w:p>
      <w:pPr>
        <w:spacing w:after="80"/>
      </w:pPr>
      <w:r>
        <w:rPr>
          <w:b w:val="0"/>
          <w:i w:val="0"/>
        </w:rPr>
        <w:t xml:space="preserve">Tiếp theo, chúng tôi xem xét liệu các nguyên đơn có cáo buộc được các yếu tố </w:t>
      </w:r>
      <w:r>
        <w:rPr>
          <w:b w:val="0"/>
          <w:i/>
        </w:rPr>
        <w:t>actus reus</w:t>
      </w:r>
      <w:r>
        <w:rPr>
          <w:b w:val="0"/>
          <w:i w:val="0"/>
        </w:rPr>
        <w:t xml:space="preserve"> của một khiếu nại về tiếp tay và xúi giục hay không. </w:t>
      </w:r>
      <w:r>
        <w:rPr>
          <w:b w:val="0"/>
          <w:i/>
        </w:rPr>
        <w:t>Actus reus</w:t>
      </w:r>
      <w:r>
        <w:rPr>
          <w:b w:val="0"/>
          <w:i w:val="0"/>
        </w:rPr>
        <w:t xml:space="preserve"> của việc tiếp tay và xúi giục là việc cung cấp sự hỗ trợ hoặc các hình thức ủng hộ khác cho việc thực hiện một tội ác. </w:t>
      </w:r>
      <w:r>
        <w:rPr>
          <w:b w:val="0"/>
          <w:i/>
        </w:rPr>
        <w:t>Blagojevic,</w:t>
      </w:r>
      <w:r>
        <w:rPr>
          <w:b w:val="0"/>
          <w:i w:val="0"/>
        </w:rPr>
        <w:t xml:space="preserve"> ¶127; </w:t>
      </w:r>
      <w:r>
        <w:rPr>
          <w:b w:val="0"/>
          <w:i/>
        </w:rPr>
        <w:t>Taylor,</w:t>
      </w:r>
      <w:r>
        <w:rPr>
          <w:b w:val="0"/>
          <w:i w:val="0"/>
        </w:rPr>
        <w:t xml:space="preserve"> ¶362; Quy chế Rome, điều 25(3)(c). Như cả hai bên đều đồng ý, luật quốc tế còn yêu cầu thêm rằng sự hỗ trợ được đưa ra phải mang tính đáng kể. </w:t>
      </w:r>
      <w:r>
        <w:rPr>
          <w:b w:val="0"/>
          <w:i/>
        </w:rPr>
        <w:t>Blagojevic,</w:t>
      </w:r>
      <w:r>
        <w:rPr>
          <w:b w:val="0"/>
          <w:i w:val="0"/>
        </w:rPr>
        <w:t xml:space="preserve"> ¶127; </w:t>
      </w:r>
      <w:r>
        <w:rPr>
          <w:b w:val="0"/>
          <w:i/>
        </w:rPr>
        <w:t>Taylor,</w:t>
      </w:r>
      <w:r>
        <w:rPr>
          <w:b w:val="0"/>
          <w:i w:val="0"/>
        </w:rPr>
        <w:t xml:space="preserve"> ¶362. Tuy nhiên, các bên tranh chấp liệu luật quốc tế có áp đặt thêm yêu cầu rằng sự hỗ trợ phải được hướng cụ thể tới việc thực hiện tội ác hay không.</w:t>
      </w:r>
    </w:p>
    <w:p>
      <w:pPr>
        <w:spacing w:after="80"/>
      </w:pPr>
      <w:r>
        <w:rPr>
          <w:b w:val="0"/>
          <w:i w:val="0"/>
        </w:rPr>
        <w:t xml:space="preserve">Yêu cầu về "hướng cụ thể" (specific direction) dường như bắt nguồn từ các phán quyết do Tòa án Hình sự Quốc tế về Nam Tư cũ đưa ra. </w:t>
      </w:r>
      <w:r>
        <w:rPr>
          <w:b w:val="0"/>
          <w:i/>
        </w:rPr>
        <w:t>Xem Công tố viên v. Tadic,</w:t>
      </w:r>
      <w:r>
        <w:rPr>
          <w:b w:val="0"/>
          <w:i w:val="0"/>
        </w:rPr>
        <w:t xml:space="preserve"> Số vụ án IT-94-1-A (ICTY ngày 15 tháng 7 năm 1999); </w:t>
      </w:r>
      <w:r>
        <w:rPr>
          <w:b w:val="0"/>
          <w:i/>
        </w:rPr>
        <w:t>Công tố viên v. Perisic,</w:t>
      </w:r>
      <w:r>
        <w:rPr>
          <w:b w:val="0"/>
          <w:i w:val="0"/>
        </w:rPr>
        <w:t xml:space="preserve"> Số vụ án IT-04-81-A, (ICTY ngày 28 tháng 2 năm 2013) ("</w:t>
      </w:r>
      <w:r>
        <w:rPr>
          <w:b w:val="0"/>
          <w:i/>
        </w:rPr>
        <w:t>Perisic</w:t>
      </w:r>
      <w:r>
        <w:rPr>
          <w:b w:val="0"/>
          <w:i w:val="0"/>
        </w:rPr>
        <w:t xml:space="preserve">"). Trong </w:t>
      </w:r>
      <w:r>
        <w:rPr>
          <w:b w:val="0"/>
          <w:i/>
        </w:rPr>
        <w:t>Tadic,</w:t>
      </w:r>
      <w:r>
        <w:rPr>
          <w:b w:val="0"/>
          <w:i w:val="0"/>
        </w:rPr>
        <w:t xml:space="preserve"> Phòng Kháng cáo đã sử dụng cụm từ "hướng cụ thể" để phân biệt trách nhiệm do doanh nghiệp tội phạm chung với trách nhiệm do tiếp tay và xúi giục. </w:t>
      </w:r>
      <w:r>
        <w:rPr>
          <w:b w:val="0"/>
          <w:i/>
        </w:rPr>
        <w:t>Tadic,</w:t>
      </w:r>
      <w:r>
        <w:rPr>
          <w:b w:val="0"/>
          <w:i w:val="0"/>
        </w:rPr>
        <w:t xml:space="preserve"> ¶¶227–29. Trong khi trách nhiệm do doanh nghiệp tội phạm chung chỉ đòi hỏi một cá nhân thực hiện hành vi "theo một cách nào đó" hỗ trợ việc thực hiện tội ác, Phòng Kháng cáo tuyên bố rằng trách nhiệm do tiếp tay và xúi giục đòi hỏi một cá nhân thực hiện hành vi được "hướng cụ thể" tới việc thực hiện tội ác. </w:t>
      </w:r>
      <w:r>
        <w:rPr>
          <w:b w:val="0"/>
          <w:i/>
        </w:rPr>
        <w:t>Sđd.</w:t>
      </w:r>
      <w:r>
        <w:rPr>
          <w:b w:val="0"/>
          <w:i w:val="0"/>
        </w:rPr>
        <w:t xml:space="preserve"> ¶229(ii). Trong </w:t>
      </w:r>
      <w:r>
        <w:rPr>
          <w:b w:val="0"/>
          <w:i/>
        </w:rPr>
        <w:t>Perisic,</w:t>
      </w:r>
      <w:r>
        <w:rPr>
          <w:b w:val="0"/>
          <w:i w:val="0"/>
        </w:rPr>
        <w:t xml:space="preserve"> một hội đồng sau đó của Phòng Kháng cáo đã làm rõ rằng yêu cầu về hướng cụ thể liên quan đến "mối liên kết" giữa sự hỗ trợ được cung cấp và tội ác chính, và đòi hỏi rằng "sự hỗ trợ phải được hướng 'cụ thể'—thay vì 'theo một cách nào đó'—tới các tội ác liên quan." </w:t>
      </w:r>
      <w:r>
        <w:rPr>
          <w:b w:val="0"/>
          <w:i/>
        </w:rPr>
        <w:t>Perisic</w:t>
      </w:r>
      <w:r>
        <w:rPr>
          <w:b w:val="0"/>
          <w:i w:val="0"/>
        </w:rPr>
        <w:t xml:space="preserve">, ¶27, 37 (trích dẫn </w:t>
      </w:r>
      <w:r>
        <w:rPr>
          <w:b w:val="0"/>
          <w:i/>
        </w:rPr>
        <w:t>Tadic,</w:t>
      </w:r>
      <w:r>
        <w:rPr>
          <w:b w:val="0"/>
          <w:i w:val="0"/>
        </w:rPr>
        <w:t xml:space="preserve"> ¶229).</w:t>
      </w:r>
    </w:p>
    <w:p>
      <w:pPr>
        <w:spacing w:after="80"/>
      </w:pPr>
      <w:r>
        <w:rPr>
          <w:b w:val="0"/>
          <w:i w:val="0"/>
        </w:rPr>
        <w:t xml:space="preserve">Một số hội đồng của Phòng Kháng cáo và các tòa án quốc tế khác đã bác bỏ một cách rõ ràng yêu cầu về hướng cụ thể. </w:t>
      </w:r>
      <w:r>
        <w:rPr>
          <w:b w:val="0"/>
          <w:i/>
        </w:rPr>
        <w:t>Công tố viên v. Mrksic,</w:t>
      </w:r>
      <w:r>
        <w:rPr>
          <w:b w:val="0"/>
          <w:i w:val="0"/>
        </w:rPr>
        <w:t xml:space="preserve"> Số vụ án IT-95-13/1-A, ¶159 (ICTY ngày 5 tháng 5 năm 2009) ("[P]hòng Kháng cáo đã xác nhận rằng 'hướng cụ thể' không phải là một thành tố thiết yếu của </w:t>
      </w:r>
      <w:r>
        <w:rPr>
          <w:b w:val="0"/>
          <w:i/>
        </w:rPr>
        <w:t>actus reus</w:t>
      </w:r>
      <w:r>
        <w:rPr>
          <w:b w:val="0"/>
          <w:i w:val="0"/>
        </w:rPr>
        <w:t xml:space="preserve"> của việc tiếp tay và xúi giục."); </w:t>
      </w:r>
      <w:r>
        <w:rPr>
          <w:b w:val="0"/>
          <w:i/>
        </w:rPr>
        <w:t>Blagojevic,</w:t>
      </w:r>
      <w:r>
        <w:rPr>
          <w:b w:val="0"/>
          <w:i w:val="0"/>
        </w:rPr>
        <w:t xml:space="preserve"> ¶189 ("[H]ướng cụ thể không phải lúc nào cũng được đưa vào như một yếu tố của </w:t>
      </w:r>
      <w:r>
        <w:rPr>
          <w:b w:val="0"/>
          <w:i/>
        </w:rPr>
        <w:t>actus reus</w:t>
      </w:r>
      <w:r>
        <w:rPr>
          <w:b w:val="0"/>
          <w:i w:val="0"/>
        </w:rPr>
        <w:t xml:space="preserve"> của việc tiếp tay và xúi giục."); </w:t>
      </w:r>
      <w:r>
        <w:rPr>
          <w:b w:val="0"/>
          <w:i/>
        </w:rPr>
        <w:t>Taylor,</w:t>
      </w:r>
      <w:r>
        <w:rPr>
          <w:b w:val="0"/>
          <w:i w:val="0"/>
        </w:rPr>
        <w:t xml:space="preserve"> ¶481. Tuy nhiên, bên dưới sự tranh cãi này, có sự đồng thuận rộng rãi về mặt thực chất đối với </w:t>
      </w:r>
      <w:r>
        <w:rPr>
          <w:b w:val="0"/>
          <w:i/>
        </w:rPr>
        <w:t>actus reus</w:t>
      </w:r>
      <w:r>
        <w:rPr>
          <w:b w:val="0"/>
          <w:i w:val="0"/>
        </w:rPr>
        <w:t xml:space="preserve"> của việc tiếp tay và xúi giục. Như Phòng Kháng cáo của Tòa án Đặc biệt vì Sierra Leone mới đây đã khẳng định, "[a]ctus reus của trách nhiệm do tiếp tay và xúi giục được xác lập bởi sự hỗ trợ có ảnh hưởng đáng kể tới các tội ác, chứ không phải bởi cách thức cụ thể mà sự hỗ trợ đó được cung cấp." </w:t>
      </w:r>
      <w:r>
        <w:rPr>
          <w:b w:val="0"/>
          <w:i/>
        </w:rPr>
        <w:t>Taylor,</w:t>
      </w:r>
      <w:r>
        <w:rPr>
          <w:b w:val="0"/>
          <w:i w:val="0"/>
        </w:rPr>
        <w:t xml:space="preserve"> ¶475. Điều dường như đã nổi lên là có ít sự tập trung hơn vào hướng cụ thể và nhấn mạnh nhiều hơn vào sự tồn tại của một mối liên kết nhân quả giữa các bị đơn và việc thực hiện tội ác. Tuy nhiên, chúng tôi từ chối áp dụng một tiêu chuẩn </w:t>
      </w:r>
      <w:r>
        <w:rPr>
          <w:b w:val="0"/>
          <w:i/>
        </w:rPr>
        <w:t>actus reus</w:t>
      </w:r>
      <w:r>
        <w:rPr>
          <w:b w:val="0"/>
          <w:i w:val="0"/>
        </w:rPr>
        <w:t xml:space="preserve"> cho trách nhiệm do tiếp tay và xúi giục theo ATS. Thay vào đó, chúng tôi chuyển vụ án về tòa án cấp quận với chỉ thị cho phép các nguyên đơn sửa đổi đơn kiện của họ dựa trên </w:t>
      </w:r>
      <w:r>
        <w:rPr>
          <w:b w:val="0"/>
          <w:i/>
        </w:rPr>
        <w:t>Perisic</w:t>
      </w:r>
      <w:r>
        <w:rPr>
          <w:b w:val="0"/>
          <w:i w:val="0"/>
        </w:rPr>
        <w:t xml:space="preserve"> và </w:t>
      </w:r>
      <w:r>
        <w:rPr>
          <w:b w:val="0"/>
          <w:i/>
        </w:rPr>
        <w:t>Taylor,</w:t>
      </w:r>
      <w:r>
        <w:rPr>
          <w:b w:val="0"/>
          <w:i w:val="0"/>
        </w:rPr>
        <w:t xml:space="preserve"> cả hai đều được quyết định sau khi đơn kiện trong vụ án này bị bác bỏ và đơn kháng cáo này đã được nộp.</w:t>
      </w:r>
    </w:p>
    <w:p>
      <w:pPr>
        <w:spacing w:after="80"/>
      </w:pPr>
      <w:r>
        <w:rPr>
          <w:b/>
          <w:i w:val="0"/>
        </w:rPr>
        <w:t>C. Các khiếu nại ATS có tính lãnh thổ ngoài</w:t>
      </w:r>
    </w:p>
    <w:p>
      <w:pPr>
        <w:spacing w:after="80"/>
      </w:pPr>
      <w:r>
        <w:rPr>
          <w:b w:val="0"/>
          <w:i w:val="0"/>
        </w:rPr>
        <w:t xml:space="preserve">Lập luận cuối cùng của các bị đơn cho rằng khiếu nại ATS của các nguyên đơn tìm cách áp dụng luật liên bang ra ngoài lãnh thổ, điều bị cấm bởi phán quyết gần đây của Tòa án Tối cao trong </w:t>
      </w:r>
      <w:r>
        <w:rPr>
          <w:b w:val="0"/>
          <w:i/>
        </w:rPr>
        <w:t>Kiobel II,</w:t>
      </w:r>
      <w:r>
        <w:rPr>
          <w:b w:val="0"/>
          <w:i w:val="0"/>
        </w:rPr>
        <w:t xml:space="preserve"> 133 S.Ct. tại 1669. Chúng tôi từ chối giải quyết vấn đề lãnh thổ ngoài, và thay vào đó chuyển vụ án về để cho phép các nguyên đơn sửa đổi đơn kiện của họ dựa trên </w:t>
      </w:r>
      <w:r>
        <w:rPr>
          <w:b w:val="0"/>
          <w:i/>
        </w:rPr>
        <w:t>Kiobel II.</w:t>
      </w:r>
    </w:p>
    <w:p>
      <w:pPr>
        <w:spacing w:after="80"/>
      </w:pPr>
      <w:r>
        <w:rPr>
          <w:b w:val="0"/>
          <w:i w:val="0"/>
        </w:rPr>
        <w:t>* * *</w:t>
      </w:r>
    </w:p>
    <w:p>
      <w:pPr>
        <w:spacing w:after="80"/>
      </w:pPr>
      <w:r>
        <w:rPr>
          <w:b w:val="0"/>
          <w:i w:val="0"/>
        </w:rPr>
        <w:t xml:space="preserve">Thay vì cố gắng áp dụng tiêu chuẩn "đụng chạm và liên quan" (touch and concern) mơ hồ dựa trên hồ sơ hiện có trước chúng tôi, chúng tôi kết luận rằng các nguyên đơn nên có cơ hội sửa đổi đơn kiện của họ dựa trên </w:t>
      </w:r>
      <w:r>
        <w:rPr>
          <w:b w:val="0"/>
          <w:i/>
        </w:rPr>
        <w:t>Kiobel II.</w:t>
      </w:r>
      <w:r>
        <w:rPr>
          <w:b w:val="0"/>
          <w:i w:val="0"/>
        </w:rPr>
        <w:t xml:space="preserve"> Thông lệ phổ biến là cho phép các nguyên đơn sửa đổi các văn bản tố tụng của họ để thích ứng với những thay đổi trong luật, trừ khi rõ ràng rằng việc sửa đổi sẽ vô ích. </w:t>
      </w:r>
      <w:r>
        <w:rPr>
          <w:b w:val="0"/>
          <w:i/>
        </w:rPr>
        <w:t>Moss,</w:t>
      </w:r>
      <w:r>
        <w:rPr>
          <w:b w:val="0"/>
          <w:i w:val="0"/>
        </w:rPr>
        <w:t xml:space="preserve"> 572 F.3d tại 972 ("Sau khi khởi kiện vụ án hiện tại mà không có lợi ích từ những tuyên bố mới nhất của Tòa án về văn bản tố tụng, các Nguyên đơn xứng đáng có cơ hội bổ sung đơn kiện của họ . . ."). Ở đây, các nguyên đơn tìm cách sửa đổi đơn kiện của họ để cáo buộc rằng một số hoạt động làm cơ sở cho khiếu nại ATS của họ đã diễn ra tại Hoa Kỳ. Dựa trên hồ sơ trước chúng tôi, chúng tôi không thể kết luận rằng việc sửa đổi sẽ vô ích, bởi vì không giống như các khiếu nại đang tranh chấp trong </w:t>
      </w:r>
      <w:r>
        <w:rPr>
          <w:b w:val="0"/>
          <w:i/>
        </w:rPr>
        <w:t>Kiobel II,</w:t>
      </w:r>
      <w:r>
        <w:rPr>
          <w:b w:val="0"/>
          <w:i w:val="0"/>
        </w:rPr>
        <w:t xml:space="preserve"> các nguyên đơn cho rằng một phần hành vi làm cơ sở cho các khiếu nại của họ đã xảy ra trong lãnh thổ Hoa Kỳ. </w:t>
      </w:r>
      <w:r>
        <w:rPr>
          <w:b w:val="0"/>
          <w:i/>
        </w:rPr>
        <w:t>Xem</w:t>
      </w:r>
      <w:r>
        <w:rPr>
          <w:b w:val="0"/>
          <w:i w:val="0"/>
        </w:rPr>
        <w:t xml:space="preserve"> Kiobel </w:t>
      </w:r>
      <w:r>
        <w:rPr>
          <w:b w:val="0"/>
          <w:i/>
        </w:rPr>
        <w:t>III,</w:t>
      </w:r>
      <w:r>
        <w:rPr>
          <w:b w:val="0"/>
          <w:i w:val="0"/>
        </w:rPr>
        <w:t xml:space="preserve"> 133 S.Ct. tại 1669. Hơn nữa, sẽ là thiếu khôn ngoan nếu cố gắng áp dụng và tinh chỉnh tiêu chuẩn "đụng chạm và liên quan" khi các văn bản tố tụng trước chúng tôi không có nỗ lực nào để giải thích phần nào của hành vi làm cơ sở cho các khiếu nại của nguyên đơn đã diễn ra trong lãnh thổ Hoa Kỳ.</w:t>
      </w:r>
    </w:p>
    <w:p>
      <w:pPr>
        <w:spacing w:after="80"/>
      </w:pPr>
      <w:r>
        <w:rPr>
          <w:b w:val="0"/>
          <w:i w:val="0"/>
        </w:rPr>
        <w:t xml:space="preserve">Do đó, chúng tôi từ chối xác định, vào lúc này, liệu khiếu nại ATS của các nguyên đơn có bị cấm bởi phán quyết của Tòa án Tối cao trong </w:t>
      </w:r>
      <w:r>
        <w:rPr>
          <w:b w:val="0"/>
          <w:i/>
        </w:rPr>
        <w:t>Kiobel II</w:t>
      </w:r>
      <w:r>
        <w:rPr>
          <w:b w:val="0"/>
          <w:i w:val="0"/>
        </w:rPr>
        <w:t xml:space="preserve"> hay không, và chuyển vụ án này về để cho phép các nguyên đơn sửa đổi đơn kiện của họ.</w:t>
      </w:r>
    </w:p>
    <w:p>
      <w:pPr>
        <w:spacing w:after="80"/>
      </w:pPr>
      <w:r>
        <w:rPr>
          <w:b/>
          <w:i w:val="0"/>
        </w:rPr>
        <w:t>IV. Kết luận</w:t>
      </w:r>
    </w:p>
    <w:p>
      <w:pPr>
        <w:spacing w:after="80"/>
      </w:pPr>
      <w:r>
        <w:rPr>
          <w:b w:val="0"/>
          <w:i w:val="0"/>
        </w:rPr>
        <w:t>Lệnh của tòa án cấp quận bị ĐẢO NGƯỢC, và chúng tôi HỦY BỎ để tiến hành các thủ tục tiếp theo phù hợp với ý kiến này.</w:t>
      </w:r>
    </w:p>
    <w:p>
      <w:pPr>
        <w:spacing w:after="80"/>
      </w:pPr>
      <w:r>
        <w:rPr>
          <w:b w:val="0"/>
          <w:i w:val="0"/>
        </w:rPr>
        <w:t>ĐÃ RA LỆNH NHƯ VẬY.</w:t>
      </w:r>
    </w:p>
    <w:p>
      <w:pPr>
        <w:pStyle w:val="Heading5"/>
      </w:pPr>
      <w:r>
        <w:rPr>
          <w:rFonts w:ascii="Calibri" w:hAnsi="Calibri"/>
          <w:b/>
          <w:i/>
          <w:sz w:val="22"/>
        </w:rPr>
        <w:t>Bình luận và Câu hỏi</w:t>
      </w:r>
    </w:p>
    <w:p>
      <w:pPr>
        <w:spacing w:after="80"/>
      </w:pPr>
      <w:r>
        <w:rPr>
          <w:b w:val="0"/>
          <w:i w:val="0"/>
        </w:rPr>
        <w:t>1. Tòa án không xác định liệu tiêu chuẩn nên là sự hiểu biết (knowledge) hay hành động (action) với mục đích tạo điều kiện thuận lợi cho hành vi phạm tội, bởi vì cả hai đều được cáo buộc đầy đủ. Tác động của việc áp dụng tiêu chuẩn hiểu biết thay vì tiêu chuẩn hành động sẽ như thế nào? Những "hành động" nào được cáo buộc là đã đáp ứng tiêu chuẩn trong vụ án này?</w:t>
      </w:r>
    </w:p>
    <w:p>
      <w:pPr>
        <w:spacing w:after="80"/>
      </w:pPr>
      <w:r>
        <w:rPr>
          <w:b w:val="0"/>
          <w:i w:val="0"/>
        </w:rPr>
        <w:t>2. Tòa án không giải quyết việc Kiobel có thể ảnh hưởng đến phán quyết như thế nào. Hãy suy đoán. Điều gì có khả năng sẽ xảy ra khi tòa án xét xử áp dụng phân tích trong vụ án đó?</w:t>
      </w:r>
    </w:p>
    <w:p>
      <w:pPr>
        <w:spacing w:after="80"/>
      </w:pPr>
      <w:r>
        <w:rPr>
          <w:b w:val="0"/>
          <w:i w:val="0"/>
        </w:rPr>
        <w:t>3. Phán quyết đã được đưa ra bỏ phiếu bởi các thẩm phán tại Tòa án Phúc thẩm Vòng 9 (9th Circuit) để xem xét lại toàn thể (en banc). Yêu cầu này không nhận được sự ủng hộ của đa số các thẩm phán đang hoạt động và do đó, không được xét xử toàn thể. Tuy nhiên, một ý kiến bất đồng (dissent) đối với việc từ chối xét xử toàn thể đã được đưa ra và có tám thẩm phán tham gia. Họ mở đầu như sau:</w:t>
      </w:r>
    </w:p>
    <w:p>
      <w:pPr>
        <w:spacing w:after="80"/>
      </w:pPr>
      <w:r>
        <w:rPr>
          <w:b w:val="0"/>
          <w:i w:val="0"/>
        </w:rPr>
        <w:t xml:space="preserve">Thật đáng tiếc, đa số trong hội đồng xét xử ở đây đã thay thế sự phân tích pháp lý bằng lòng thương cảm. Tôi hoàn toàn đồng ý rằng các nguyên đơn xứng đáng được thương cảm. Họ được cáo buộc là những cựu nô lệ trẻ em gốc Mali, bị cưỡng bức khỏi nhà và buộc phải làm nô lệ trên các đồn điền ca cao ở Bờ Biển Ngà (Ivory Coast). Nhưng họ không khởi kiện những kẻ buôn nô lệ đã bắt cóc họ, cũng không kiện những chủ đồn điền đã ngược đãi họ. Thay vào đó, đa số trong hội đồng xét xử kết luận rằng các công ty bị đơn, những bên tham gia vào hoạt động buôn bán ca cao ở Bờ Biển Ngà, đã làm như vậy với </w:t>
      </w:r>
      <w:r>
        <w:rPr>
          <w:b w:val="0"/>
          <w:i/>
        </w:rPr>
        <w:t>mục đích</w:t>
      </w:r>
      <w:r>
        <w:rPr>
          <w:b w:val="0"/>
          <w:i w:val="0"/>
        </w:rPr>
        <w:t xml:space="preserve"> là các nguyên đơn bị bắt làm nô lệ, do đó đã hỗ trợ và tiếp tay cho những kẻ buôn nô lệ và chủ đồn điền. Theo tiêu chí này, những người mua vàng của Liên Xô cũng có mục đích tạo điều kiện thuận lợi cho chế độ nô lệ trong các trại gulag.</w:t>
      </w:r>
    </w:p>
    <w:p>
      <w:pPr>
        <w:spacing w:after="80"/>
      </w:pPr>
      <w:r>
        <w:rPr>
          <w:b w:val="0"/>
          <w:i w:val="0"/>
        </w:rPr>
        <w:t xml:space="preserve">788 F.3d 946 (9th Cir. 2015). Dựa trên phân tích trong </w:t>
      </w:r>
      <w:r>
        <w:rPr>
          <w:b w:val="0"/>
          <w:i/>
        </w:rPr>
        <w:t>Kiobel</w:t>
      </w:r>
      <w:r>
        <w:rPr>
          <w:b w:val="0"/>
          <w:i w:val="0"/>
        </w:rPr>
        <w:t>, liệu phân tích này có đúng không?</w:t>
      </w:r>
    </w:p>
    <w:p>
      <w:pPr>
        <w:spacing w:after="80"/>
      </w:pPr>
      <w:r>
        <w:rPr>
          <w:b w:val="0"/>
          <w:i w:val="0"/>
        </w:rPr>
        <w:t>Đa số lưu ý rằng yêu cầu này "dựa trên sự tồn tại của một quy phạm luật tục quốc tế (customary international law) cấm thí nghiệm y khoa trên người không tự nguyện đồng ý" và kết luận rằng quy phạm đó tồn tại. Tòa án xác định sự tồn tại của một quy phạm luật tục quốc tế như thế nào?</w:t>
      </w:r>
    </w:p>
    <w:p>
      <w:pPr>
        <w:spacing w:after="80"/>
      </w:pPr>
      <w:r>
        <w:rPr>
          <w:b w:val="0"/>
          <w:i w:val="0"/>
        </w:rPr>
        <w:t xml:space="preserve">4. Hầu hết các vụ án theo ATS đều liên quan đến cáo buộc về một loại hành vi nhà nước (state action) nào đó. </w:t>
      </w:r>
      <w:r>
        <w:rPr>
          <w:b w:val="0"/>
          <w:i/>
        </w:rPr>
        <w:t>Xem Kadic v. Karadzic</w:t>
      </w:r>
      <w:r>
        <w:rPr>
          <w:b w:val="0"/>
          <w:i w:val="0"/>
        </w:rPr>
        <w:t>, 70 F.3d 232, 243 (2d Cir. 1995) ("Tra tấn và hành quyết không qua xét xử—khi không được thực hiện trong khuôn khổ diệt chủng hoặc tội ác chiến tranh—chỉ bị luật quốc tế cấm khi được thực hiện bởi quan chức nhà nước hoặc dưới danh nghĩa pháp luật."). Tòa án đã giải quyết vấn đề đó như thế nào trong vụ án này? Trong phạm vi các hành vi có thể được khởi kiện khi không có hành vi nhà nước, điều đó có thể có tác động gì đến các vụ án theo ATS?</w:t>
      </w:r>
    </w:p>
    <w:p>
      <w:pPr>
        <w:spacing w:after="80"/>
      </w:pPr>
      <w:r>
        <w:rPr>
          <w:b w:val="0"/>
          <w:i w:val="0"/>
        </w:rPr>
        <w:t>—————</w:t>
      </w:r>
    </w:p>
    <w:p>
      <w:pPr>
        <w:spacing w:after="80"/>
      </w:pPr>
      <w:r>
        <w:rPr>
          <w:b w:val="0"/>
          <w:i w:val="0"/>
        </w:rPr>
        <w:t xml:space="preserve">Một đạo luật khác đã được sử dụng để giám sát hành vi quốc tế của các công ty là Đạo luật Chống Khủng bố năm 1991 (Antiterrorism Act of 1991). </w:t>
      </w:r>
      <w:r>
        <w:rPr>
          <w:b w:val="0"/>
          <w:i/>
        </w:rPr>
        <w:t>Xem</w:t>
      </w:r>
      <w:r>
        <w:rPr>
          <w:b w:val="0"/>
          <w:i w:val="0"/>
        </w:rPr>
        <w:t xml:space="preserve"> 18 U.S.C.S. § 2331. Đạo luật này quy định một nguyên nhân khởi kiện dân sự rõ ràng thay mặt cho bất kỳ "công dân Hoa Kỳ nào bị thương tổn về thân thể, tài sản hoặc công việc kinh doanh do một hành vi khủng bố quốc tế." 18 U.S.C.S. § 2333. Các quy định của Đạo luật này đôi khi đã được sử dụng để chống lại các công ty.</w:t>
      </w:r>
    </w:p>
    <w:p>
      <w:pPr>
        <w:pStyle w:val="Heading4"/>
      </w:pPr>
      <w:r>
        <w:rPr>
          <w:rFonts w:ascii="Calibri" w:hAnsi="Calibri"/>
          <w:b/>
          <w:i w:val="0"/>
          <w:sz w:val="23"/>
        </w:rPr>
        <w:t>In re Chiquita Brands International</w:t>
      </w:r>
    </w:p>
    <w:p>
      <w:pPr>
        <w:spacing w:after="80"/>
      </w:pPr>
      <w:r>
        <w:rPr>
          <w:b w:val="0"/>
          <w:i w:val="0"/>
        </w:rPr>
        <w:t>Tòa án Quận Hoa Kỳ, Quận Nam Florida</w:t>
      </w:r>
      <w:r>
        <w:br/>
      </w:r>
      <w:r>
        <w:rPr>
          <w:b w:val="0"/>
          <w:i w:val="0"/>
        </w:rPr>
        <w:t xml:space="preserve"> 690 F. Supp. 2d 1296 (2010)</w:t>
      </w:r>
    </w:p>
    <w:p>
      <w:pPr>
        <w:spacing w:after="80"/>
      </w:pPr>
      <w:r>
        <w:rPr>
          <w:b w:val="0"/>
          <w:i w:val="0"/>
        </w:rPr>
        <w:t>MARRA, THẨM PHÁN QUẬN:</w:t>
      </w:r>
    </w:p>
    <w:p>
      <w:pPr>
        <w:spacing w:after="80"/>
      </w:pPr>
      <w:r>
        <w:rPr>
          <w:b w:val="0"/>
          <w:i w:val="0"/>
        </w:rPr>
        <w:t>FARC, được thành lập năm 1964 bởi Đảng Cộng sản Colombia với tư cách là "cánh quân sự" của đảng này, là nhóm nổi dậy lớn nhất Colombia và đã thực hiện hàng nghìn vụ bắt cóc đòi tiền chuộc ở Colombia, thường nhắm vào thường dân vô tội. Compl. PP 173, 174, 176, 180. FARC là một liên minh gồm các chiến binh cộng sản và các nhóm tự vệ nông dân. FARC bao gồm 15.000 đến 18.000 thành viên, được tổ chức thành khoảng 64 "frentes" hay mặt trận, và hoạt động chủ yếu ở những vùng thưa dân cư ở Colombia. Compl. P 174. FARC tuyên bố đại diện cho người nghèo nông thôn chống lại tầng lớp giàu có của Colombia, và phản đối ảnh hưởng của Hoa Kỳ tại Colombia, việc tư nhân hóa tài nguyên thiên nhiên, và các tập đoàn đa quốc gia. Compl. P 175.</w:t>
      </w:r>
    </w:p>
    <w:p>
      <w:pPr>
        <w:spacing w:after="80"/>
      </w:pPr>
      <w:r>
        <w:rPr>
          <w:b w:val="0"/>
          <w:i w:val="0"/>
        </w:rPr>
        <w:t>FARC duy trì hoạt động của mình thông qua bắt cóc, tống tiền, buôn bán ma túy và "thuế chiến tranh" mà chúng thu từ cư dân, doanh nghiệp và chủ đất. Compl. PP 177–78. Ngoài việc bắt cóc hai mươi ba người Mỹ chỉ riêng trong giai đoạn từ 1994 đến 1997, FARC còn thực hiện nhiều vụ giết người, bao gồm giết người Mỹ. Compl. PP 180–82. Trong giai đoạn liên quan đến vụ án này, FARC có ảnh hưởng đáng kể đối với, kiểm soát, hoặc đang chiến đấu với các tổ chức khủng bố khác để giành quyền kiểm soát các công đoàn lao động ở các vùng trồng chuối của Colombia. Compl. PP 179, 198.</w:t>
      </w:r>
    </w:p>
    <w:p>
      <w:pPr>
        <w:spacing w:after="80"/>
      </w:pPr>
      <w:r>
        <w:rPr>
          <w:b w:val="0"/>
          <w:i w:val="0"/>
        </w:rPr>
        <w:t>Vào ngày 8 tháng 10 năm 1997, Ngoại trưởng Hoa Kỳ đã chỉ định FARC là Tổ chức Khủng bố Nước ngoài ("FTO"), một chỉ định vẫn còn hiệu lực cho đến ngày nay. Chỉ định này một phần dựa trên kết luận của Bộ Ngoại giao Hoa Kỳ rằng FARC đã thực hiện "các vụ đánh bom, giết người, bắt cóc, tống tiền, không tặc, cũng như các hành động quân sự khủng bố và thông thường nhắm vào các mục tiêu chính trị, quân sự và kinh tế của Colombia." Compl. P 185. Đồng thời, Liên minh Châu Âu và chính phủ Colombia cũng chỉ định FARC là một tổ chức khủng bố. Compl. P 183–85.</w:t>
      </w:r>
    </w:p>
    <w:p>
      <w:pPr>
        <w:spacing w:after="80"/>
      </w:pPr>
      <w:r>
        <w:rPr>
          <w:b w:val="0"/>
          <w:i w:val="0"/>
        </w:rPr>
        <w:t>* * *</w:t>
      </w:r>
    </w:p>
    <w:p>
      <w:pPr>
        <w:spacing w:after="80"/>
      </w:pPr>
      <w:r>
        <w:rPr>
          <w:b w:val="0"/>
          <w:i/>
        </w:rPr>
        <w:t>Các khoản thanh toán và cung cấp của Chiquita cho FARC: 1989–1997</w:t>
      </w:r>
    </w:p>
    <w:p>
      <w:pPr>
        <w:spacing w:after="80"/>
      </w:pPr>
      <w:r>
        <w:rPr>
          <w:b w:val="0"/>
          <w:i w:val="0"/>
        </w:rPr>
        <w:t>Chiquita là một tập đoàn đa quốc gia được thành lập tại New Jersey và đặt trụ sở chính tại Cincinnati, Ohio. Compl. P 44. Chiquita sản xuất, tiếp thị và phân phối chuối cùng các loại nông sản tươi khác. Compl. P 46. Chiquita là một trong những nhà sản xuất chuối lớn nhất thế giới và là nhà cung cấp chuối chính trên khắp Bắc Mỹ và châu Âu. Compl. P 46. Công ty có hoạt động trên toàn thế giới, bao gồm tại Colombia, nơi công ty hoạt động thông qua công ty con sở hữu hoàn toàn là C.I. Bannanos de Exportacion, S.A. (“Banadex”) cho đến khoảng tháng 5 năm 2004. Compl. P 44. Trong mọi thời điểm liên quan đến vụ việc này, Banadex là công ty con do Chiquita kiểm soát, là đại lý và/hoặc là bản thể thay thế (alter ego) của Chiquita. Compl. P 45. Trong mọi thời điểm liên quan, Chiquita có hơn 200 trang trại tại Colombia chuyên sản xuất chuối. Compl. P 48.</w:t>
      </w:r>
    </w:p>
    <w:p>
      <w:pPr>
        <w:spacing w:after="80"/>
      </w:pPr>
      <w:r>
        <w:rPr>
          <w:b w:val="0"/>
          <w:i w:val="0"/>
        </w:rPr>
        <w:t>Từ năm 1989 đến ít nhất là năm 1997, Chiquita đã biết rõ và cố ý thực hiện nhiều khoản thanh toán bí mật với số lượng lớn và đáng kể cho FARC, đồng thời cũng cung cấp cho FARC vũ khí, đạn dược và các vật tư khác thông qua các nhà thầu vận tải của mình. Chiquita làm như vậy trong khi biết rõ, hoặc cố tình làm ngơ, sự thật rằng FARC là một tổ chức khủng bố bạo lực. Compl. P 191. Các khoản thanh toán của Chiquita cho FARC, khởi đầu là tiền mặt theo yêu cầu của FARC, đã leo thang thành các khoản thanh toán đều đặn hàng tháng dao động từ $20,000.00 đến $100,000.00. Theo thời gian, các khoản thanh toán được cố định theo một tỷ lệ phần trăm tổng doanh thu của Banadex, với mức chiếm tới mười phần trăm được chuyển cho FARC. Compl. P 192.</w:t>
      </w:r>
    </w:p>
    <w:p>
      <w:pPr>
        <w:spacing w:after="80"/>
      </w:pPr>
      <w:r>
        <w:rPr>
          <w:b w:val="0"/>
          <w:i w:val="0"/>
        </w:rPr>
        <w:t>Chiquita đã nỗ lực rất nhiều để che giấu mối quan hệ của mình với FARC. Compl. PP 191–96. Các khoản thanh toán thường được giao bởi một cựu phi công quân đội Mỹ được biết đến với tên “Kaiser”, người giữ vị trí quản lý tại Chiquita ở Colombia. Compl. P 193. Để che giấu các khoản thanh toán, Chiquita đưa các tên giả và nhân viên không có thật vào bảng lương của mình, cung cấp tiền vào các ngày trả lương địa phương cho các chỉ huy FARC khu vực. Compl. P 194. Chiquita cũng hỗ trợ và/hoặc tư vấn cho các phần tử khủng bố FARC về cách thành lập các tổ chức bình phong, giúp Chiquita tiếp tục chuyển tiền cho FARC và đánh lạc hướng cơ quan thực thi pháp luật, cơ quan quản lý, kiểm toán viên và bất kỳ ai khác [*21] có thể kiểm tra sổ sách và hồ sơ của Chiquita và Banadex. Compl. P 195. Chiquita cũng soạn thảo các hợp đồng hư cấu với các tổ chức hoạt động hợp pháp hoặc, cách khác, định giá quá cao các hợp đồng hiện có mà công ty duy trì với các tổ chức đó. Việc này được thực hiện với mục đích rõ ràng là che giấu các khoản thanh toán bí mật của mình cho FARC. Compl. P 194–96.</w:t>
      </w:r>
    </w:p>
    <w:p>
      <w:pPr>
        <w:spacing w:after="80"/>
      </w:pPr>
      <w:r>
        <w:rPr>
          <w:b w:val="0"/>
          <w:i w:val="0"/>
        </w:rPr>
        <w:t>Chiquita cũng làm việc với các công đoàn do FARC kiểm soát, chẳng hạn như Sintrabanano, như một phương tiện khác để chuyển tiền cho FARC. Compl. P 197. Chiquita cũng hợp tác với FARC và hỗ trợ FARC trong việc lật đổ nhiều công đoàn địa phương, và giành quyền kiểm soát các công đoàn địa phương từ các tổ chức khủng bố khác. Compl. PP 198. Khi làm như vậy, Chiquita đã dự liệu và nỗ lực để đạt được lợi thế cạnh tranh so với các nhà trồng chuối khác phải đối mặt với các công đoàn ít dễ dãi hơn. Compl. P 198. FARC cũng giúp Chiquita bằng cách quấy rối các đối thủ cạnh tranh của công ty trong khu vực. Compl. P 199. Ngoài ra, Chiquita đã tuồn vũ khí cho FARC (và hỗ trợ FARC vận chuyển vũ khí) thông qua các nhà thầu vận tải địa phương của Chiquita. Compl. P 202.</w:t>
      </w:r>
    </w:p>
    <w:p>
      <w:pPr>
        <w:spacing w:after="80"/>
      </w:pPr>
      <w:r>
        <w:rPr>
          <w:b w:val="0"/>
          <w:i/>
        </w:rPr>
        <w:t>Việc Chiquita nhận tội ngày 19 tháng 3 năm 2007</w:t>
      </w:r>
    </w:p>
    <w:p>
      <w:pPr>
        <w:spacing w:after="80"/>
      </w:pPr>
      <w:r>
        <w:rPr>
          <w:b w:val="0"/>
          <w:i w:val="0"/>
        </w:rPr>
        <w:t>Vào ngày 19 tháng 3 năm 2007, Chiquita đã nhận tội vi phạm luật chống khủng bố của Hoa Kỳ bằng việc tài trợ cho một tổ chức khủng bố khác của Colombia, AUC. Khi làm như vậy, Chiquita thừa nhận rằng công ty cũng đã thực hiện các khoản thanh toán cho FARC trong nhiều năm. Compl. PP 201, 205. Chiquita thừa nhận đã sử dụng nhiều thủ đoạn tương tự như những cáo buộc nêu trên như một phương tiện để ngụy trang và che giấu các khoản thanh toán cho AUC. Sau đó, vào năm 2007, như một phần của bản án áp đặt đối với công ty theo lời nhận tội, Chiquita đồng ý trả khoản tiền phạt 25 triệu đô la cho chính phủ Hoa Kỳ. . . .</w:t>
      </w:r>
    </w:p>
    <w:p>
      <w:pPr>
        <w:spacing w:after="80"/>
      </w:pPr>
      <w:r>
        <w:rPr>
          <w:b w:val="0"/>
          <w:i w:val="0"/>
        </w:rPr>
        <w:t>* * *</w:t>
      </w:r>
    </w:p>
    <w:p>
      <w:pPr>
        <w:spacing w:after="80"/>
      </w:pPr>
      <w:r>
        <w:rPr>
          <w:b w:val="0"/>
          <w:i/>
        </w:rPr>
        <w:t>Các cáo buộc của Nguyên đơn về khiếu kiện dân sự theo ATA</w:t>
      </w:r>
    </w:p>
    <w:p>
      <w:pPr>
        <w:spacing w:after="80"/>
      </w:pPr>
      <w:r>
        <w:rPr>
          <w:b w:val="0"/>
          <w:i w:val="0"/>
        </w:rPr>
        <w:t>Được ban hành như một phần của Đạo luật Chống Khủng bố năm 1991 (“ATA”), 18 U.S.C. § 2333 quy định quyền khởi kiện cho các công dân Hoa Kỳ bị tổn hại về thân thể, tài sản hoặc hoạt động kinh doanh do một hành vi khủng bố quốc tế. Điều luật này quy định, ở phần liên quan, như sau:</w:t>
      </w:r>
    </w:p>
    <w:p>
      <w:pPr>
        <w:spacing w:after="80"/>
      </w:pPr>
      <w:r>
        <w:rPr>
          <w:b w:val="0"/>
          <w:i w:val="0"/>
        </w:rPr>
        <w:t>(a) Hành động và thẩm quyền.—Bất kỳ công dân nào của Hoa Kỳ bị tổn hại về thân thể, tài sản hoặc hoạt động kinh doanh do một hành vi khủng bố quốc tế, hoặc di sản, người sống sót hoặc người thừa kế của người đó, đều có thể khởi kiện vì điều đó tại bất kỳ tòa án quận thích hợp nào của Hoa Kỳ và sẽ được bồi thường gấp ba lần thiệt hại mà người đó phải gánh chịu cùng chi phí của vụ kiện, bao gồm phí luật sư. 18 U.S.C. § 2333(a).</w:t>
      </w:r>
    </w:p>
    <w:p>
      <w:pPr>
        <w:spacing w:after="80"/>
      </w:pPr>
      <w:r>
        <w:rPr>
          <w:b w:val="0"/>
          <w:i/>
        </w:rPr>
        <w:t>Hành vi khủng bố quốc tế</w:t>
      </w:r>
    </w:p>
    <w:p>
      <w:pPr>
        <w:spacing w:after="80"/>
      </w:pPr>
      <w:r>
        <w:rPr>
          <w:b w:val="0"/>
          <w:i w:val="0"/>
        </w:rPr>
        <w:t>Chiquita lập luận rằng các cáo buộc của Nguyên đơn là không đủ vì họ không trình bày được “một hành vi khủng bố quốc tế”, như yêu cầu của 18 U.S.C. § 2333(a). Tòa án bác bỏ lập luận của Chiquita.</w:t>
      </w:r>
    </w:p>
    <w:p>
      <w:pPr>
        <w:spacing w:after="80"/>
      </w:pPr>
      <w:r>
        <w:rPr>
          <w:b w:val="0"/>
          <w:i w:val="0"/>
        </w:rPr>
        <w:t>Mục 2333(a) quy định rằng bất kỳ công dân nào của Hoa Kỳ bị tổn hại “do một hành vi khủng bố quốc tế” đều có thể khởi kiện đòi bồi thường thiệt hại. Trái với lập luận của Chiquita, Nguyên đơn không cần phải cáo buộc rằng Chiquita đã thực hiện hành vi khủng bố. Mặc dù cuối cùng trách nhiệm pháp lý của Chiquita sẽ phụ thuộc vào việc liệu hành vi bị cáo buộc của công ty trong việc hỗ trợ FARC có thể được cho là đã gây ra thương tích cho Nguyên đơn hay không, nhưng không thể tranh cãi rằng Nguyên đơn đã trình bày đầy đủ rằng họ bị tổn hại bởi các hành vi khủng bố quốc tế. Xem Linde v. Arab Bank, PLC, 384 F.Supp.2d 571, 581 (E.D.N.Y. 2005).</w:t>
      </w:r>
    </w:p>
    <w:p>
      <w:pPr>
        <w:spacing w:after="80"/>
      </w:pPr>
      <w:r>
        <w:rPr>
          <w:b w:val="0"/>
          <w:i w:val="0"/>
        </w:rPr>
        <w:t>Mục 2331(1) của ATA định nghĩa “khủng bố quốc tế” là các hoạt động:</w:t>
      </w:r>
    </w:p>
    <w:p>
      <w:pPr>
        <w:spacing w:after="80"/>
      </w:pPr>
      <w:r>
        <w:rPr>
          <w:b w:val="0"/>
          <w:i w:val="0"/>
        </w:rPr>
        <w:t>(A) liên quan đến các hành vi bạo lực hoặc các hành vi gây nguy hiểm đến tính mạng con người mà là hành vi vi phạm luật hình sự của Hoa Kỳ hoặc của bất kỳ Tiểu bang nào, hoặc sẽ là hành vi vi phạm hình sự nếu được thực hiện trong phạm vi thẩm quyền của Hoa Kỳ hoặc của bất kỳ Tiểu bang nào;</w:t>
      </w:r>
    </w:p>
    <w:p>
      <w:pPr>
        <w:spacing w:after="80"/>
      </w:pPr>
      <w:r>
        <w:rPr>
          <w:b w:val="0"/>
          <w:i w:val="0"/>
        </w:rPr>
        <w:t>(B) dường như nhằm mục đích—</w:t>
      </w:r>
    </w:p>
    <w:p>
      <w:pPr>
        <w:spacing w:after="80"/>
      </w:pPr>
      <w:r>
        <w:rPr>
          <w:b w:val="0"/>
          <w:i w:val="0"/>
        </w:rPr>
        <w:t>(i) đe dọa hoặc ép buộc dân thường;</w:t>
      </w:r>
    </w:p>
    <w:p>
      <w:pPr>
        <w:spacing w:after="80"/>
      </w:pPr>
      <w:r>
        <w:rPr>
          <w:b w:val="0"/>
          <w:i w:val="0"/>
        </w:rPr>
        <w:t>(ii) gây ảnh hưởng đến chính sách của một chính phủ bằng cách đe dọa hoặc ép buộc; hoặc</w:t>
      </w:r>
    </w:p>
    <w:p>
      <w:pPr>
        <w:spacing w:after="80"/>
      </w:pPr>
      <w:r>
        <w:rPr>
          <w:b w:val="0"/>
          <w:i w:val="0"/>
        </w:rPr>
        <w:t>(iii) tác động đến hoạt động của một chính phủ bằng cách hủy diệt hàng loạt, ám sát hoặc bắt cóc; và</w:t>
      </w:r>
    </w:p>
    <w:p>
      <w:pPr>
        <w:spacing w:after="80"/>
      </w:pPr>
      <w:r>
        <w:rPr>
          <w:b w:val="0"/>
          <w:i w:val="0"/>
        </w:rPr>
        <w:t>(C) xảy ra chủ yếu bên ngoài phạm vi lãnh thổ tài phán của Hoa Kỳ, hoặc vượt qua biên giới quốc gia về phương tiện thực hiện, về những người mà chúng dường như nhằm đe dọa hoặc ép buộc, hoặc về địa điểm mà thủ phạm hoạt động hoặc tìm nơi tị nạn.</w:t>
      </w:r>
    </w:p>
    <w:p>
      <w:pPr>
        <w:spacing w:after="80"/>
      </w:pPr>
      <w:r>
        <w:rPr>
          <w:b w:val="0"/>
          <w:i w:val="0"/>
        </w:rPr>
        <w:t>Nguyên đơn cáo buộc rằng FARC đã được Bộ trưởng Ngoại giao Hoa Kỳ chỉ định vào năm 1997 là Tổ chức Khủng bố Nước ngoài ("FTO") theo 8 U.S. C. § 1189 và hiện vẫn là một FTO được chỉ định. Comp. P 183–84. Khi Bộ trưởng Ngoại giao ban hành chỉ định FTO cho FARC, Bộ Ngoại giao Hoa Kỳ kết luận rằng FARC đã thực hiện "'các vụ đánh bom, giết người, bắt cóc, tống tiền, cướp máy bay, cũng như các hành động khủng bố và quân sự thông thường nhằm vào các mục tiêu chính trị, quân sự và kinh tế của Colombia.'" Comp. P 185. Nguyên đơn cáo buộc rằng FARC phản đối ảnh hưởng của Hoa Kỳ tại Colombia. Comp. P 175. Nguyên đơn cũng cáo buộc rằng FARC phải chịu trách nhiệm cho hầu hết các vụ bắt cóc đòi tiền chuộc ở Colombia, nhắm vào các chủ đất giàu có, khách du lịch nước ngoài, các quan chức quốc tế và trong nước nổi bật cùng dân thường. Comp. P 176. Nguyên đơn cho rằng FARC có lịch sử bắt cóc người Mỹ, cụ thể là đã bắt cóc hai mươi ba người Mỹ trong khoảng thời gian từ 1994 đến 1997. Comp. P 181. Nguyên đơn còn khẳng định rằng tất cả năm nhà truyền giáo người Mỹ trong vụ án này đều bị FARC bắt cóc, giam giữ làm con tin và cuối cùng bị sát hại, điều này đã được Văn phòng Công tố Quốc gia Colombia xác nhận vào năm 2007. Comp. P 49–148, 171. Các cáo buộc của nguyên đơn đủ để nêu ra các hành vi tiền đề của khủng bố quốc tế theo mục 2331(1) của ATA.</w:t>
      </w:r>
    </w:p>
    <w:p>
      <w:pPr>
        <w:spacing w:after="80"/>
      </w:pPr>
      <w:r>
        <w:rPr>
          <w:b w:val="0"/>
          <w:i w:val="0"/>
        </w:rPr>
        <w:t>* * *</w:t>
      </w:r>
    </w:p>
    <w:p>
      <w:pPr>
        <w:spacing w:after="80"/>
      </w:pPr>
      <w:r>
        <w:rPr>
          <w:b w:val="0"/>
          <w:i w:val="0"/>
        </w:rPr>
        <w:t>Restatement (Second) of Torts § 876(b) quy định rằng, "[đ]ối với thiệt hại gây ra cho người thứ ba từ hành vi sai trái của người khác, một người phải chịu trách nhiệm nếu người đó . . . biết rằng hành vi của người kia cấu thành sự vi phạm nghĩa vụ và cung cấp sự hỗ trợ hoặc khuyến khích đáng kể cho người kia để hành xử như vậy." Tòa án Phúc thẩm Hoa Kỳ cho Khu vực Đặc trách Columbia đã trình bày phạm vi trách nhiệm dân sự về hỗ trợ và xúi giục trong Halberstam v. Welch, 705 F.2d 472, 227 U.S. App. D.C. 167 (D.C. Cir. 1983). Tòa án Tối cao Hoa Kỳ đã mô tả Halberstam là một "ý kiến toàn diện về chủ đề này." Xem Central Bank, 511 U.S. at 181. Để hỗ trợ cho yêu cầu dân sự về hỗ trợ và xúi giục, Nguyên đơn phải chứng minh:</w:t>
      </w:r>
    </w:p>
    <w:p>
      <w:pPr>
        <w:spacing w:after="80"/>
      </w:pPr>
      <w:r>
        <w:rPr>
          <w:b w:val="0"/>
          <w:i w:val="0"/>
        </w:rPr>
        <w:t>(1) bên mà bị đơn hỗ trợ phải thực hiện một hành vi sai trái gây ra thương tích; (2) bị đơn phải nhận thức chung về vai trò của mình như một phần của hoạt động bất hợp pháp hoặc sai trái tổng thể tại thời điểm cung cấp sự hỗ trợ; (3) bị đơn phải cố ý và hỗ trợ đáng kể cho hành vi vi phạm chính. Halberstam, 705 F.2d at 477; Cox v. Administrator U.S. Steel &amp; Carnegie, 17 F.3d 1386 (11th Cir. 1994). Xem thêm Burnett v. Al Baraka Inv. &amp; Dev. Corp., 274 F.Supp.2d 86, 105 (D.D.C.2003) (xác định nguyên đơn đã cáo buộc đủ về hỗ trợ và xúi giục theo ATA khi đơn kiện nêu rằng bị đơn cố ý cung cấp tiền trực tiếp cho tổ chức khủng bố để thúc đẩy các hoạt động khủng bố).</w:t>
      </w:r>
    </w:p>
    <w:p>
      <w:pPr>
        <w:spacing w:after="80"/>
      </w:pPr>
      <w:r>
        <w:rPr>
          <w:b w:val="0"/>
          <w:i w:val="0"/>
        </w:rPr>
        <w:t>Ngoài ra, Vòng Phúc thẩm thứ Mười Một đã phán quyết trong Schneberger v. Wheeler, 859 F.2d 1477 (11th Cir. 1988) rằng sự hiểu biết về hành vi vi phạm và về vai trò của chính mình trong hành vi vi phạm là cần thiết để thỏa mãn tiêu chuẩn cho người hỗ trợ và xúi giục. Id. at 1480. "Sự hiểu biết này có thể được suy ra từ bằng chứng gián tiếp." Id. Cụ thể, "nếu phương thức hoặc giao dịch không điển hình hoặc thiếu biện minh kinh doanh, có thể suy ra sự hiểu biết cần thiết cho trách nhiệm hỗ trợ và xúi giục." Woodward v. Metro Bank of Dallas, 522 F.2d 84, 97 (5th Cir. 1975)</w:t>
      </w:r>
    </w:p>
    <w:p>
      <w:pPr>
        <w:spacing w:after="80"/>
      </w:pPr>
      <w:r>
        <w:rPr>
          <w:b w:val="0"/>
          <w:i w:val="0"/>
        </w:rPr>
        <w:t>Ở đây, các cáo buộc của Nguyên đơn hỗ trợ cho trách nhiệm hỗ trợ và xúi giục. Đơn kiện Sửa đổi cáo buộc rằng các công cụ tiền tệ và vũ khí do Chiquita cung cấp cho FARC đã hỗ trợ đáng kể cho khủng bố quốc tế. Đơn kiện Sửa đổi của Nguyên đơn mô tả các hành vi sai trái do FARC thực hiện, nhận thức chung của Chiquita về vai trò của mình như một phần của hoạt động bất hợp pháp tổng thể, và sự hỗ trợ cố ý và đáng kể của Chiquita cho các hành vi vi phạm chính. Những cáo buộc này hoàn toàn nằm trong dòng chính của trách nhiệm hỗ trợ và xúi giục. Xem Halberstam, 705 F.2d at 477. Hơn nữa, Nguyên đơn đưa ra các cáo buộc chi tiết về "các thực hành không điển hình" mà từ đó có thể suy ra sự hiểu biết cần thiết cho trách nhiệm hỗ trợ và xúi giục theo Woodward, 522 F.2d at 97. Những cáo buộc này bao gồm việc Chiquita thực hiện các khoản thanh toán lén lút, bí mật, bao gồm các khoản tiền mặt lớn được một nhân viên cấp cao của Chiquita đích thân vận chuyển và thực hiện thường xuyên; làm giả tên và nhân viên không tồn tại trên bảng lương của Chiquita để cung cấp tiền cho các chỉ huy FARC khu vực vào các ngày trả lương địa phương; hỗ trợ tạo ra các tổ chức bình phong giả và công ty ma để chuyển tiền; tạo các hợp đồng hư cấu với các tổ chức hợp pháp hoặc định giá quá cao các hợp đồng hiện có để che giấu các khoản thanh toán bí mật trong sổ sách kế toán; hợp tác với các công đoàn do FARC kiểm soát, bao gồm Sintrabanano, để chuyển tiền cho FARC, tuồn vũ khí cho FARC và hỗ trợ vận chuyển vũ khí thông qua các nhà thầu vận tải địa phương của Chiquita; thanh toán cho AUC thông qua các trung gian được gọi là "convivirs"; ghi các mục sai và gây nhầm lẫn trên sổ sách và hồ sơ của mình; và nộp các tài liệu sai và/hoặc gây nhầm lẫn cho chính phủ Colombia và Hoa Kỳ. Xem Compl. PP 193–198, 202–206, 208, 212. Nguyên đơn đã cáo buộc đủ về trách nhiệm hỗ trợ và xúi giục.</w:t>
      </w:r>
    </w:p>
    <w:p>
      <w:pPr>
        <w:pStyle w:val="Heading5"/>
      </w:pPr>
      <w:r>
        <w:rPr>
          <w:rFonts w:ascii="Calibri" w:hAnsi="Calibri"/>
          <w:b/>
          <w:i/>
          <w:sz w:val="22"/>
        </w:rPr>
        <w:t>Bình luận và Câu hỏi</w:t>
      </w:r>
    </w:p>
    <w:p>
      <w:pPr>
        <w:spacing w:after="80"/>
      </w:pPr>
      <w:r>
        <w:rPr>
          <w:b w:val="0"/>
          <w:i w:val="0"/>
        </w:rPr>
        <w:t xml:space="preserve">1. Chiquita thực tế không thực hiện bất kỳ hành vi khủng bố nào. Thay vào đó, các yêu cầu phát sinh từ sự hỗ trợ bị cáo buộc mà Chiquita cung cấp cho một tổ chức được Bộ Ngoại giao chỉ định là Tổ chức Khủng bố Nước ngoài. Tóm lại, nguyên nhân khởi kiện là về hỗ trợ và xúi giục. Tiêu chuẩn được áp dụng trong vụ án này so với tiêu chuẩn được tòa án áp dụng trong </w:t>
      </w:r>
      <w:r>
        <w:rPr>
          <w:b w:val="0"/>
          <w:i/>
        </w:rPr>
        <w:t>Talisman</w:t>
      </w:r>
      <w:r>
        <w:rPr>
          <w:b w:val="0"/>
          <w:i w:val="0"/>
        </w:rPr>
        <w:t xml:space="preserve"> theo Đạo luật về các Hành vi Sai trái ở Nước ngoài như thế nào?</w:t>
      </w:r>
    </w:p>
    <w:p>
      <w:pPr>
        <w:spacing w:after="80"/>
      </w:pPr>
      <w:r>
        <w:rPr>
          <w:b w:val="0"/>
          <w:i w:val="0"/>
        </w:rPr>
        <w:t xml:space="preserve">2. Trong một vụ án hình sự phát sinh từ các khoản thanh toán, Chiquita đã đồng ý nhận tội một tội danh Tham gia Giao dịch với một Kẻ Khủng bố Toàn cầu được Chỉ định Đặc biệt, 50 U.S.C.S. § 1705(b). Công ty đồng ý trả tiền phạt 25 triệu đô la và chịu quản chế doanh nghiệp trong năm năm. </w:t>
      </w:r>
      <w:r>
        <w:rPr>
          <w:b w:val="0"/>
          <w:i/>
        </w:rPr>
        <w:t>Xem</w:t>
      </w:r>
      <w:r>
        <w:rPr>
          <w:b w:val="0"/>
          <w:i w:val="0"/>
        </w:rPr>
        <w:t xml:space="preserve"> Sarah A. Altschuller &amp; Amy Lehr, </w:t>
      </w:r>
      <w:r>
        <w:rPr>
          <w:b w:val="0"/>
          <w:i/>
        </w:rPr>
        <w:t>Trách nhiệm Xã hội Doanh nghiệp</w:t>
      </w:r>
      <w:r>
        <w:rPr>
          <w:b w:val="0"/>
          <w:i w:val="0"/>
        </w:rPr>
        <w:t xml:space="preserve"> , 43 Int'l Law. 577, 582 n.31 (2009). Là một phần của thỏa thuận, Chiquita đồng ý duy trì một "văn phòng tuân thủ và đạo đức thường trực" và đảm bảo rằng người đứng đầu văn phòng báo cáo "trực tiếp cho Giám đốc Điều hành và Hội đồng Quản trị" ít nhất mỗi năm một lần.</w:t>
      </w:r>
    </w:p>
    <w:p>
      <w:pPr>
        <w:spacing w:after="80"/>
      </w:pPr>
      <w:r>
        <w:rPr>
          <w:b w:val="0"/>
          <w:i w:val="0"/>
        </w:rPr>
        <w:t>3. Tại sao Chiquita lại thanh toán cho FARC? Trong vụ án hình sự, Công ty được đại diện bởi, trong số những người khác, Eric Holder, người sau này trở thành tổng chưởng lý dưới thời Barak Obama. Trong phản hồi đối với Bản Ghi nhớ Tuyên án do Chính phủ Hoa Kỳ nộp, Chiquita đã nói điều này về các hành động của mình.</w:t>
      </w:r>
    </w:p>
    <w:p>
      <w:pPr>
        <w:spacing w:after="80"/>
      </w:pPr>
      <w:r>
        <w:rPr>
          <w:b w:val="0"/>
          <w:i w:val="0"/>
        </w:rPr>
        <w:t>Chiquita . . . đã trả tiền cho A.U.C. để ngăn nhân viên Colombia của mình bị bắt cóc, bị thương hoặc bị sát hại. Các mối đe dọa mà Chiquita phải đối mặt là rất thực tế, một điểm mà chính phủ không—và không thể—phản đối. Khi Chiquita biết được vào năm 2003 (chứ không phải sớm hơn như chính phủ ngụ ý) rằng chính phủ Hoa Kỳ đã chỉ định A.U.C. là một tổ chức khủng bố nước ngoài, qua đó khiến các khoản thanh toán trở thành bất hợp pháp theo luật Hoa Kỳ, Chiquita đã tự nguyện tiết lộ tình thế tiến thoái lưỡng nan không thể chịu đựng của mình cho Bộ Tư pháp và tìm kiếm sự hướng dẫn của họ—sự hướng dẫn mà, bất chấp việc chính phủ thừa nhận tính chất "phức tạp" của tình huống sống còn mà Chiquita phải đối mặt, đã không bao giờ được cung cấp.</w:t>
      </w:r>
    </w:p>
    <w:p>
      <w:pPr>
        <w:spacing w:after="80"/>
      </w:pPr>
      <w:r>
        <w:rPr>
          <w:b w:val="0"/>
          <w:i w:val="0"/>
        </w:rPr>
        <w:t xml:space="preserve">Phản hồi của Bị đơn đối với Bản ghi nhớ tuyên án của Chính phủ, </w:t>
      </w:r>
      <w:r>
        <w:rPr>
          <w:b w:val="0"/>
          <w:i/>
        </w:rPr>
        <w:t>United States v. Chiquita Brands International, Inc.</w:t>
      </w:r>
      <w:r>
        <w:rPr>
          <w:b w:val="0"/>
          <w:i w:val="0"/>
        </w:rPr>
        <w:t xml:space="preserve"> , Crim. No. 07-055, ngày 14 tháng 9 năm 2007. Bạn nghĩ gì về lời giải thích này?</w:t>
      </w:r>
    </w:p>
    <w:p>
      <w:pPr>
        <w:spacing w:after="80"/>
      </w:pPr>
      <w:r>
        <w:rPr>
          <w:b w:val="0"/>
          <w:i w:val="0"/>
        </w:rPr>
        <w:t xml:space="preserve">4. Các khoản thanh toán thực hiện trực tiếp cho các tổ chức khủng bố có khả năng sẽ rất hiếm. Tuy nhiên, những tổ chức này có thể cố gắng tiếp cận trực tiếp hoặc gián tiếp hệ thống tài chính toàn cầu, tạo ra nguy cơ tiềm ẩn cho các tổ chức tài chính. Mục 2333B cấm "hỗ trợ vật chất" cho các tổ chức khủng bố nhưng yêu cầu phải biết rằng tổ chức đó đang cung cấp sự hỗ trợ. Cần những gì để chứng minh sự hiểu biết? Để có chút hiểu biết sâu sắc về vấn đề này, xem </w:t>
      </w:r>
      <w:r>
        <w:rPr>
          <w:b w:val="0"/>
          <w:i/>
        </w:rPr>
        <w:t>Weiss v. National Westminster Bank PLC</w:t>
      </w:r>
      <w:r>
        <w:rPr>
          <w:b w:val="0"/>
          <w:i w:val="0"/>
        </w:rPr>
        <w:t xml:space="preserve"> , 768 F.3d 301 (2nd Cir. 2014) (các cáo buộc rằng tổ chức tài chính đã cung cấp "hỗ trợ vật chất" cho tổ chức gây quỹ cho một tổ chức khủng bố). Giả sử có sự hiểu biết, liệu việc một tổ chức tài chính cung cấp các dịch vụ ngân hàng thông thường có đủ không?</w:t>
      </w:r>
    </w:p>
    <w:p>
      <w:pPr>
        <w:pStyle w:val="Heading3"/>
      </w:pPr>
      <w:r>
        <w:rPr>
          <w:rFonts w:ascii="Calibri" w:hAnsi="Calibri"/>
          <w:b/>
          <w:i w:val="0"/>
          <w:sz w:val="26"/>
        </w:rPr>
        <w:t>C. Trách nhiệm xã hội của doanh nghiệp và Thực thi tư nhân theo Luật Chứng khoán Liên bang</w:t>
      </w:r>
    </w:p>
    <w:p>
      <w:pPr>
        <w:spacing w:after="80"/>
      </w:pPr>
      <w:r>
        <w:rPr>
          <w:b w:val="0"/>
          <w:i w:val="0"/>
        </w:rPr>
        <w:t>Các tập đoàn có thể tiết lộ rằng họ tham gia vào hành vi có trách nhiệm với xã hội. Điều gì xảy ra nếu những hoạt động này bị xuyên tạc?</w:t>
      </w:r>
    </w:p>
    <w:p>
      <w:pPr>
        <w:pStyle w:val="Heading4"/>
      </w:pPr>
      <w:r>
        <w:rPr>
          <w:rFonts w:ascii="Calibri" w:hAnsi="Calibri"/>
          <w:b/>
          <w:i w:val="0"/>
          <w:sz w:val="23"/>
        </w:rPr>
        <w:t xml:space="preserve">Miriam A. Cherry, </w:t>
      </w:r>
      <w:r>
        <w:rPr>
          <w:rFonts w:ascii="Calibri" w:hAnsi="Calibri"/>
          <w:b/>
          <w:i/>
          <w:sz w:val="23"/>
        </w:rPr>
        <w:t>Luật pháp và Kinh tế học của</w:t>
      </w:r>
      <w:r>
        <w:br/>
      </w:r>
      <w:r>
        <w:rPr>
          <w:rFonts w:ascii="Calibri" w:hAnsi="Calibri"/>
          <w:b/>
          <w:i/>
          <w:sz w:val="23"/>
        </w:rPr>
        <w:t xml:space="preserve"> Trách nhiệm xã hội của doanh nghiệp và Tẩy xanh</w:t>
      </w:r>
    </w:p>
    <w:p>
      <w:pPr>
        <w:spacing w:after="80"/>
      </w:pPr>
      <w:r>
        <w:rPr>
          <w:b w:val="0"/>
          <w:i w:val="0"/>
        </w:rPr>
        <w:t>14 U.C. Davis Bus. L.J. 281 (2014)</w:t>
      </w:r>
    </w:p>
    <w:p>
      <w:pPr>
        <w:spacing w:after="80"/>
      </w:pPr>
      <w:r>
        <w:rPr>
          <w:b w:val="0"/>
          <w:i w:val="0"/>
        </w:rPr>
        <w:t>Một trong những thách thức quan trọng nhất đối với việc đạt được trách nhiệm xã hội của doanh nghiệp (CSR) trong kinh doanh ngày nay là mối đe dọa từ tẩy xanh (greenwashing). Khi công nghệ xanh ngày càng trở nên phổ biến, và người tiêu dùng yêu cầu hoặc, trong một số trường hợp, thậm chí đòi hỏi các sản phẩm và dịch vụ xanh, nhiều doanh nghiệp đã được khuyến khích về mặt tài chính để cải thiện danh tiếng xã hội và môi trường của mình. Một công ty có thể nâng cao danh tiếng của mình một cách chính đáng, bằng cách đầu tư vào các thực hành bền vững hoặc tham gia vào trách nhiệm xã hội của doanh nghiệp với sự nhấn mạnh vào ba yếu tố cốt lõi—con người, lợi nhuận, hành tinh. Tuy nhiên, một số công ty đã phản ứng với xu hướng mới hướng tới CSR này bằng cách nuôi dưỡng hình ảnh xanh mà không chứng minh cam kết thực sự thay đổi hoặc đầu tư số tiền (đôi khi khá đáng kể) mà sự thay đổi đó sẽ đòi hỏi. Như vậy, tẩy xanh cuối cùng có thể làm suy yếu uy tín của ngay cả những nỗ lực CSR thiện chí nhất và được thực hiện tốt nhất.</w:t>
      </w:r>
    </w:p>
    <w:p>
      <w:pPr>
        <w:spacing w:after="80"/>
      </w:pPr>
      <w:r>
        <w:rPr>
          <w:b w:val="0"/>
          <w:i w:val="0"/>
        </w:rPr>
        <w:t>Tẩy xanh xảy ra khi một tập đoàn tăng doanh số bán hàng hoặc nâng cao hình ảnh thương hiệu của mình thông qua các luận điệu môi trường hoặc quảng cáo, nhưng trên thực tế không thực hiện đúng các tuyên bố môi trường này. Trong một bài viết trước đó, đồng tác giả của tôi là Judd Sneirson và tôi đã phân tích thảm họa tràn dầu BP năm 2011 như một nghiên cứu tình huống về tẩy xanh trong lĩnh vực năng lượng. Trong khi BP tích lũy một hồ sơ đầy rẫy các vi phạm về an toàn và môi trường, đồng thời công ty đã triển khai một chiến dịch quảng cáo rất thành công, khắc họa mình là thân thiện với môi trường, hoặc ít nhất là không tệ như các công ty dầu khí khác, và tự tôn mình là nhà vô địch của năng lượng thay thế và các mục tiêu môi trường. Sự mất kết nối giữa huyền thoại và thực tế này khiến chúng tôi đặt câu hỏi liệu luật pháp có thể hiệu quả hơn trong việc thiết lập một nguyên nhân khởi kiện cho người tiêu dùng và nhà đầu tư đã bị dẫn dắt sai lầm bởi những tuyên bố đáng ngờ về tẩy xanh hoặc CSR giả. Các hình thức khác của cái mà Judd Sneirson và tôi gọi là "CSR giả" liên quan đến các tuyên bố về trách nhiệm xã hội của doanh nghiệp đối với người lao động hoặc đầu tư vào cộng đồng địa phương mà theo các tiêu chuẩn chứng cứ khách quan không đạt được thực tế.</w:t>
      </w:r>
    </w:p>
    <w:p>
      <w:pPr>
        <w:spacing w:after="80"/>
      </w:pPr>
      <w:r>
        <w:rPr>
          <w:b w:val="0"/>
          <w:i w:val="0"/>
        </w:rPr>
        <w:t>Như hiện được cấu trúc tại Hoa Kỳ, CSR là một nỗ lực tự nguyện chủ yếu dựa vào sự liên kết giữa ý thức môi trường và danh tiếng lâu dài của công ty với giá trị cổ đông, lương tâm của các nhà quản lý và giám đốc doanh nghiệp, và thiện chí của người tiêu dùng và nhà đầu tư đối với một tầm nhìn thân thiện với hành tinh và con người. Trong khi lý tưởng nhất, các khía cạnh của ba yếu tố cốt lõi sẽ liên kết với nhau, thực tế đôi khi phức tạp hơn nhiều. Hơn nữa, thách thức mà tẩy xanh đặt ra cho CSR đánh vào chính cốt lõi của nó và thực sự, có thể đe dọa làm suy yếu sự tồn tại của nó. Vì CSR phụ thuộc vào sự ủng hộ của người tiêu dùng và nhà đầu tư, nếu những nhóm này nghi ngờ họ đang bị lừa dối, họ sẽ có xu hướng bác bỏ tất cả các tuyên bố như vậy về CSR và chủ nghĩa môi trường của doanh nghiệp, bất kể những tuyên bố đó có chính xác hay không. Sự bác bỏ và hoài nghi như vậy có thể gây bất lợi nghiêm trọng cho nỗ lực CSR.</w:t>
      </w:r>
    </w:p>
    <w:p>
      <w:pPr>
        <w:pStyle w:val="Heading4"/>
      </w:pPr>
      <w:r>
        <w:rPr>
          <w:rFonts w:ascii="Calibri" w:hAnsi="Calibri"/>
          <w:b/>
          <w:i w:val="0"/>
          <w:sz w:val="23"/>
        </w:rPr>
        <w:t>In re Ford Motor Co. Secur. Litigation</w:t>
      </w:r>
    </w:p>
    <w:p>
      <w:pPr>
        <w:spacing w:after="80"/>
      </w:pPr>
      <w:r>
        <w:rPr>
          <w:b w:val="0"/>
          <w:i w:val="0"/>
        </w:rPr>
        <w:t>Tòa án Phúc thẩm Hoa Kỳ, Vòng thứ sáu</w:t>
      </w:r>
      <w:r>
        <w:br/>
      </w:r>
      <w:r>
        <w:rPr>
          <w:b w:val="0"/>
          <w:i w:val="0"/>
        </w:rPr>
        <w:t xml:space="preserve"> 381 F.3d 563 (2004)</w:t>
      </w:r>
    </w:p>
    <w:p>
      <w:pPr>
        <w:spacing w:after="80"/>
      </w:pPr>
      <w:r>
        <w:rPr>
          <w:b w:val="0"/>
          <w:i w:val="0"/>
        </w:rPr>
        <w:t>KENNEDY , THẨM PHÁN VÒNG :</w:t>
      </w:r>
    </w:p>
    <w:p>
      <w:pPr>
        <w:spacing w:after="80"/>
      </w:pPr>
      <w:r>
        <w:rPr>
          <w:b w:val="0"/>
          <w:i w:val="0"/>
        </w:rPr>
        <w:t xml:space="preserve">Nguyên đơn cáo buộc, không phải rằng Ford có nghĩa vụ độc lập để tiết lộ sự nguy hiểm của những chiếc Explorer được trang bị ATX hoặc khả năng mất mát dự phòng liên quan đến nó, mà là Ford đã đưa ra những xuyên tạc hoặc tuyên bố gây hiểu lầm nếu không tiết lộ thông tin trọng yếu như vậy. Trong đơn khiếu nại của họ, nguyên đơn cáo buộc rằng Ford đã đưa ra nhiều tuyên bố về việc Ford đã trải qua cải thiện thu nhập và Explorer đã lập nhiều kỷ lục bán hàng khác nhau gây hiểu lầm vì Ford biết rằng lợi nhuận và doanh số đó là do việc bán một sản phẩm bị lỗi và rằng việc tiết lộ công khai cuối cùng về lỗi này sẽ ảnh hưởng tiêu cực đến tình trạng tài chính của Ford. Tuy nhiên, chúng tôi đã phán quyết rằng "[v]iệc tiết lộ dữ liệu lịch sử chính xác không trở nên gây hiểu lầm ngay cả khi . . . [công ty có thể dự đoán] kết quả kém thuận lợi hơn . . . trong tương lai." </w:t>
      </w:r>
      <w:r>
        <w:rPr>
          <w:b w:val="0"/>
          <w:i/>
        </w:rPr>
        <w:t>In re Sofamor Danek Group,</w:t>
      </w:r>
      <w:r>
        <w:rPr>
          <w:b w:val="0"/>
          <w:i w:val="0"/>
        </w:rPr>
        <w:t xml:space="preserve"> 123 F.3d 394, 401 n. 3 (6th Cir.1997). Vì nguyên đơn không cáo buộc tính không chính xác lịch sử của các tuyên bố tài chính và thu nhập của Ford, những tuyên bố như vậy không phải là xuyên tạc.</w:t>
      </w:r>
    </w:p>
    <w:p>
      <w:pPr>
        <w:spacing w:after="80"/>
      </w:pPr>
      <w:r>
        <w:rPr>
          <w:b w:val="0"/>
          <w:i w:val="0"/>
        </w:rPr>
        <w:t xml:space="preserve">Một xuyên tạc hoặc thiếu sót là trọng yếu chỉ khi có khả năng đáng kể rằng "một nhà đầu tư hợp lý sẽ coi xuyên tạc hoặc thiếu sót đó là 'đã thay đổi đáng kể toàn bộ hỗn hợp thông tin được cung cấp.'" </w:t>
      </w:r>
      <w:r>
        <w:rPr>
          <w:b w:val="0"/>
          <w:i/>
        </w:rPr>
        <w:t>In re Sofamor,</w:t>
      </w:r>
      <w:r>
        <w:rPr>
          <w:b w:val="0"/>
          <w:i w:val="0"/>
        </w:rPr>
        <w:t xml:space="preserve"> 123 F.3d tại 400 (trích dẫn </w:t>
      </w:r>
      <w:r>
        <w:rPr>
          <w:b w:val="0"/>
          <w:i/>
        </w:rPr>
        <w:t>Basic, Inc.,</w:t>
      </w:r>
      <w:r>
        <w:rPr>
          <w:b w:val="0"/>
          <w:i w:val="0"/>
        </w:rPr>
        <w:t xml:space="preserve"> 485 U.S. tại 232, 108 S.Ct. 978). Chúng tôi có thể đúng đắn bác bỏ một đơn khiếu nại với lý do rằng các xuyên tạc hoặc thiếu sót bị cáo buộc là không trọng yếu chỉ khi "chúng rõ ràng không quan trọng đến mức đối với một nhà đầu tư hợp lý đến nỗi những tâm trí hợp lý không thể bất đồng về câu hỏi về tính không quan trọng của chúng." </w:t>
      </w:r>
      <w:r>
        <w:rPr>
          <w:b w:val="0"/>
          <w:i/>
        </w:rPr>
        <w:t>Helwig,</w:t>
      </w:r>
      <w:r>
        <w:rPr>
          <w:b w:val="0"/>
          <w:i w:val="0"/>
        </w:rPr>
        <w:t xml:space="preserve"> 251 F.3d tại 563 (dấu ngoặc kép nội bộ, trích dẫn và nhấn mạnh bị lược bỏ). "Các tuyên bố không trọng yếu bao gồm các tuyên bố mơ hồ, nhẹ nhàng, khoa trương hoặc cường điệu rõ ràng" mà một nhà đầu tư hợp lý sẽ không dựa vào. </w:t>
      </w:r>
      <w:r>
        <w:rPr>
          <w:b w:val="0"/>
          <w:i/>
        </w:rPr>
        <w:t>In re K-tel Int'l, Inc. Sec. Litig.,</w:t>
      </w:r>
      <w:r>
        <w:rPr>
          <w:b w:val="0"/>
          <w:i w:val="0"/>
        </w:rPr>
        <w:t xml:space="preserve"> 300 F.3d 881, 897 (8th Cir.2002). Các tuyên bố là "chỉ khoa trương" hoặc "lạc quan của doanh nghiệp" có thể là hướng tới tương lai hoặc "các tuyên bố lạc quan tổng quát không có khả năng xác minh khách quan." </w:t>
      </w:r>
      <w:r>
        <w:rPr>
          <w:b w:val="0"/>
          <w:i/>
        </w:rPr>
        <w:t>Grossman v. Novell, Inc.</w:t>
      </w:r>
      <w:r>
        <w:rPr>
          <w:b w:val="0"/>
          <w:i w:val="0"/>
        </w:rPr>
        <w:t xml:space="preserve"> 120 F.3d 1112,1119 (10th Cir.1997). Trong đơn khiếu nại của họ, nguyên đơn cáo buộc rằng Ford đã đưa ra nhiều tuyên bố gây hiểu lầm về cam kết của mình đối với chất lượng, an toàn và quyền công dân doanh nghiệp, chẳng hạn như: 1) "[T]ại Ford chất lượng là trên hết."; 2) "Chúng tôi hướng tới trở thành nhà lãnh đạo về chất lượng"; 3) "Ford có chất lượng tốt nhất từ trước đến nay"; 4) Ford đang "thực hiện các hành động toàn diện để cải thiện . . . [chất lượng của mình]."; 5) Ford đã đặt "chất lượng lên ưu tiên hàng đầu"; 6) "Ford là nhà lãnh đạo toàn cầu về an toàn ô tô"; 7) Ford đã đặt "chất lượng lên ưu tiên hàng đầu"; 8) Ford đang "thiết kế an toàn vào . . . [xe hơi và xe tải của mình]" vì họ muốn "khách hàng cảm thấy an toàn và bảo đảm trong xe của họ mọi lúc"; 9) Ford "muốn làm cho cuộc sống của khách hàng . . . an toàn hơn"; 10) Ford đã "cống hiến . . . [bản thân mình] để tìm ra những cách thậm chí tốt hơn để cung cấp . . . xe an toàn hơn cho người tiêu dùng"; 11) Ford "muốn trở thành những nhà lãnh đạo rõ ràng về quyền công dân doanh nghiệp"; 12) "tài sản lớn nhất của Ford là sự tin tưởng và tín nhiệm . . . [mà nó] đã giành được từ . . . [các] khách hàng của mình"; 13) Ford "sẽ dẫn đầu về trách nhiệm xã hội của doanh nghiệp." Những tuyên bố như vậy hoặc chỉ là sự khoa trương của doanh nghiệp hoặc cường điệu mà một nhà đầu tư hợp lý sẽ không coi là thay đổi đáng kể ý chính của thông tin có sẵn, và do đó, không trọng yếu, ngay cả khi chúng gây hiểu lầm. Tất cả các công ty đại chúng đều ca ngợi sản phẩm và mục tiêu của họ. Các tòa án khắp nơi "đã thể hiện sự sẵn lòng tìm ra không trọng yếu như một vấn đề pháp lý một loại khẳng định hồng hào thường được nghe từ các nhà quản lý doanh nghiệp và quen thuộc đến tê liệt đối với thị trường—những tuyên bố lạc quan lỏng lẻo mơ hồ đến mức, thiếu cụ thể đến mức, hoặc rõ ràng cấu thành ý kiến của người nói đến mức không nhà đầu tư hợp lý nào có thể thấy chúng quan trọng đối với toàn bộ hỗn hợp thông tin có sẵn.". . . .</w:t>
      </w:r>
    </w:p>
    <w:p>
      <w:pPr>
        <w:pStyle w:val="Heading5"/>
      </w:pPr>
      <w:r>
        <w:rPr>
          <w:rFonts w:ascii="Calibri" w:hAnsi="Calibri"/>
          <w:b/>
          <w:i/>
          <w:sz w:val="22"/>
        </w:rPr>
        <w:t>Bình luận và Câu hỏi</w:t>
      </w:r>
    </w:p>
    <w:p>
      <w:pPr>
        <w:spacing w:after="80"/>
      </w:pPr>
      <w:r>
        <w:rPr>
          <w:b w:val="0"/>
          <w:i w:val="0"/>
        </w:rPr>
        <w:t>1. Bạn nghĩ gì về phân tích của tòa án rằng tuyên bố Ford "sẽ dẫn đầu về trách nhiệm xã hội của doanh nghiệp" không thể khởi kiện như là khoa trương? Phân tích này có cung cấp hiểu biết sâu sắc về những khó khăn trong việc đưa ra nguyên nhân khởi kiện về tiết lộ sai liên quan đến trách nhiệm xã hội của doanh nghiệp theo luật chứng khoán liên bang không?</w:t>
      </w:r>
    </w:p>
    <w:p>
      <w:pPr>
        <w:spacing w:after="80"/>
      </w:pPr>
      <w:r>
        <w:rPr>
          <w:b w:val="0"/>
          <w:i w:val="0"/>
        </w:rPr>
        <w:t xml:space="preserve">2. Ngược lại, tòa án trong vụ </w:t>
      </w:r>
      <w:r>
        <w:rPr>
          <w:b w:val="0"/>
          <w:i/>
        </w:rPr>
        <w:t>In re Massey Energy Co. Secur. Litigation</w:t>
      </w:r>
      <w:r>
        <w:rPr>
          <w:b w:val="0"/>
          <w:i w:val="0"/>
        </w:rPr>
        <w:t xml:space="preserve"> , 883 F. Supp. 2d 597, 617 (W. Va. 2013), đã xem xét tính trọng yếu của các tuyên bố thể hiện cam kết về an toàn khai thác mỏ (rằng an toàn là "ưu tiên hàng đầu mỗi ngày" và rằng công ty là "người dẫn đầu ngành" về an toàn). Các bị đơn khẳng định rằng những tuyên bố "liên quan đến cam kết của mình đối với các giá trị doanh nghiệp, hoặc tuyên bố của mình về vị trí dẫn đầu ngành trong an toàn và tuân thủ" chỉ là lời nói suông (puffery) và do đó không thể bị kiện. Tuy nhiên, tòa án nhận thấy rằng "tính đúng hay sai trong các tuyên bố của Bị đơn có thể được xác định." Những tuyên bố cam kết về an toàn "gắn bó chặt chẽ" với "năng suất và thành công" của công ty.</w:t>
      </w:r>
    </w:p>
    <w:p>
      <w:pPr>
        <w:spacing w:after="80"/>
      </w:pPr>
      <w:r>
        <w:rPr>
          <w:b w:val="0"/>
          <w:i w:val="0"/>
        </w:rPr>
        <w:t xml:space="preserve">3. Khi nào một khiếu nại về tẩy xanh (greenwashing) có thể bị kiện theo các quy định chống gian lận của luật chứng khoán liên bang? Những hành động này có phù hợp cho cổ đông không? Liệu chúng có tốt hơn nếu được các nhóm lợi ích khác như người tiêu dùng đưa ra không? Xanh không phải là màu duy nhất có thể gặp vấn đề. Còn "tẩy xanh dương (bluewashing)" thì sao? </w:t>
      </w:r>
      <w:r>
        <w:rPr>
          <w:b w:val="0"/>
          <w:i/>
        </w:rPr>
        <w:t>Xem</w:t>
      </w:r>
      <w:r>
        <w:rPr>
          <w:b w:val="0"/>
          <w:i w:val="0"/>
        </w:rPr>
        <w:t xml:space="preserve"> Robert C. Bird, Daniel R. Cahoy &amp; Lucien J. Dhooge, </w:t>
      </w:r>
      <w:r>
        <w:rPr>
          <w:b w:val="0"/>
          <w:i/>
        </w:rPr>
        <w:t>Corporate Voluntarism and Liability for Human Rights in a Pot-Kiobel World</w:t>
      </w:r>
      <w:r>
        <w:rPr>
          <w:b w:val="0"/>
          <w:i w:val="0"/>
        </w:rPr>
        <w:t xml:space="preserve"> , 102 Ky. L.J. 601 (2013–2014) (lưu ý rằng các báo cáo sai sự thật liên quan đến nhân quyền có thể được mô tả là "tẩy xanh dương" "để chỉ ra nỗ lực của một công ty nhằm khoác lên mình lá cờ của các nguyên tắc Liên Hợp Quốc.").</w:t>
      </w:r>
    </w:p>
    <w:p>
      <w:pPr>
        <w:spacing w:after="80"/>
      </w:pPr>
      <w:r>
        <w:rPr>
          <w:b w:val="0"/>
          <w:i w:val="0"/>
        </w:rPr>
        <w:t xml:space="preserve">4. Tác động lên các vụ kiện gian lận của bất kỳ sự gia tăng nào trong việc công bố thông tin bắt buộc liên quan đến trách nhiệm xã hội doanh nghiệp sẽ là gì? Ví dụ, Dodd-Frank yêu cầu công bố thông tin về an toàn khai thác mỏ. </w:t>
      </w:r>
      <w:r>
        <w:rPr>
          <w:b w:val="0"/>
          <w:i/>
        </w:rPr>
        <w:t>Xem</w:t>
      </w:r>
      <w:r>
        <w:rPr>
          <w:b w:val="0"/>
          <w:i w:val="0"/>
        </w:rPr>
        <w:t xml:space="preserve"> Mục 1503 của Dodd-Frank. California đã thông qua Đạo luật Minh bạch trong Chuỗi Cung ứng (Transparency in Supply Chains Act) yêu cầu "một số công ty nhất định phải báo cáo về các hành động cụ thể của mình để xóa bỏ chế độ nô lệ và buôn bán người trong chuỗi cung ứng của họ."</w:t>
      </w:r>
    </w:p>
    <w:p>
      <w:pPr>
        <w:spacing w:after="80"/>
      </w:pPr>
      <w:r>
        <w:rPr>
          <w:b w:val="0"/>
          <w:i w:val="0"/>
        </w:rPr>
        <w:t>1 . Bản quyền © 2008 The Journal of Corporation Law. Được tái bản với sự cho phép.</w:t>
      </w:r>
    </w:p>
    <w:p>
      <w:pPr>
        <w:spacing w:after="80"/>
      </w:pPr>
      <w:r>
        <w:rPr>
          <w:b w:val="0"/>
          <w:i w:val="0"/>
        </w:rPr>
        <w:t>2 . Bản quyền © 2009 Columbia Law Review. Được tái bản với sự cho phép.</w:t>
      </w:r>
    </w:p>
    <w:p>
      <w:pPr>
        <w:spacing w:after="80"/>
      </w:pPr>
      <w:r>
        <w:rPr>
          <w:b w:val="0"/>
          <w:i w:val="0"/>
        </w:rPr>
        <w:t xml:space="preserve">3 . Được tái bản với sự cho phép © của </w:t>
      </w:r>
      <w:r>
        <w:rPr>
          <w:b w:val="0"/>
          <w:i/>
        </w:rPr>
        <w:t>Notre Dame Law Review</w:t>
      </w:r>
      <w:r>
        <w:rPr>
          <w:b w:val="0"/>
          <w:i w:val="0"/>
        </w:rPr>
        <w:t xml:space="preserve"> , Đại học Notre Dame. Nhà xuất bản chịu trách nhiệm cho bất kỳ lỗi nào xảy ra trong việc tái bản hoặc biên tập.</w:t>
      </w:r>
    </w:p>
    <w:p>
      <w:pPr>
        <w:spacing w:after="80"/>
      </w:pPr>
      <w:r>
        <w:rPr>
          <w:b w:val="0"/>
          <w:i w:val="0"/>
        </w:rPr>
        <w:t>4 . Bản quyền © 2008 Emory Law Journal. Được tái bản với sự cho phép của Emory Law Journal và các tác giả.</w:t>
      </w:r>
    </w:p>
    <w:p>
      <w:pPr>
        <w:spacing w:after="80"/>
      </w:pPr>
      <w:r>
        <w:rPr>
          <w:b w:val="0"/>
          <w:i w:val="0"/>
        </w:rPr>
        <w:t xml:space="preserve">5 . Được tái bản với sự cho phép từ </w:t>
      </w:r>
      <w:r>
        <w:rPr>
          <w:b w:val="0"/>
          <w:i/>
        </w:rPr>
        <w:t>Michigan Law Review</w:t>
      </w:r>
      <w:r>
        <w:rPr>
          <w:b w:val="0"/>
          <w:i w:val="0"/>
        </w:rPr>
        <w:t xml:space="preserve"> , tháng 4 năm 2009, Vol. 107, No. 6. Bản quyền © 2009 bởi Antony Page.</w:t>
      </w:r>
    </w:p>
    <w:p>
      <w:pPr>
        <w:spacing w:after="80"/>
      </w:pPr>
      <w:r>
        <w:rPr>
          <w:b w:val="0"/>
          <w:i w:val="0"/>
        </w:rPr>
        <w:t>6 . Bản quyền © 2008. Được tái bản với sự cho phép của tác giả.</w:t>
      </w:r>
    </w:p>
    <w:p>
      <w:pPr>
        <w:spacing w:after="80"/>
      </w:pPr>
      <w:r>
        <w:rPr>
          <w:b w:val="0"/>
          <w:i w:val="0"/>
        </w:rPr>
        <w:t xml:space="preserve">7 . "Report on Other Constituencies Statutes: Potential for Confusion," bởi Ủy ban về Luật Doanh nghiệp, 1990, </w:t>
      </w:r>
      <w:r>
        <w:rPr>
          <w:b w:val="0"/>
          <w:i/>
        </w:rPr>
        <w:t>Business Lawyer,</w:t>
      </w:r>
      <w:r>
        <w:rPr>
          <w:b w:val="0"/>
          <w:i w:val="0"/>
        </w:rPr>
        <w:t xml:space="preserve"> 45:4. © Bản quyền 1990 bởi Hiệp hội Luật sư Hoa Kỳ. Được tái bản với sự cho phép. Thông tin này hoặc bất kỳ phần nào của nó không được sao chép hoặc phổ biến dưới bất kỳ hình thức nào hoặc bằng bất kỳ phương tiện nào hoặc lưu trữ trong cơ sở dữ liệu điện tử hoặc hệ thống truy xuất mà không có sự đồng ý bằng văn bản rõ ràng của Hiệp hội Luật sư Hoa Kỳ.</w:t>
      </w:r>
    </w:p>
    <w:p>
      <w:pPr>
        <w:spacing w:after="80"/>
      </w:pPr>
      <w:r>
        <w:rPr>
          <w:b w:val="0"/>
          <w:i w:val="0"/>
        </w:rPr>
        <w:t>8 . Bản quyền © 2005 Vermont Law Review. Được tái bản với sự cho phép.</w:t>
      </w:r>
    </w:p>
    <w:p>
      <w:pPr>
        <w:spacing w:after="80"/>
      </w:pPr>
      <w:r>
        <w:rPr>
          <w:b w:val="0"/>
          <w:i w:val="0"/>
        </w:rPr>
        <w:t>9 . Bản quyền © 2008 Yale Law &amp; Policy Review. Được tái bản với sự cho phép.</w:t>
      </w:r>
    </w:p>
    <w:p>
      <w:pPr>
        <w:spacing w:after="80"/>
      </w:pPr>
      <w:r>
        <w:rPr>
          <w:b w:val="0"/>
          <w:i w:val="0"/>
        </w:rPr>
        <w:t>10 . Bản quyền © 2006 Syracuse Journal of International Law &amp; Commerce. Được tái bản với sự cho phép.</w:t>
      </w:r>
    </w:p>
    <w:p>
      <w:pPr>
        <w:spacing w:after="80"/>
      </w:pPr>
      <w:r>
        <w:rPr>
          <w:b w:val="0"/>
          <w:i w:val="0"/>
        </w:rPr>
        <w:t xml:space="preserve">11 . Tác phẩm này, bản quyền 2014 bởi Miriam A. Cherry, ban đầu được xuất bản trên </w:t>
      </w:r>
      <w:r>
        <w:rPr>
          <w:b w:val="0"/>
          <w:i/>
        </w:rPr>
        <w:t>UC Davis Business Law Journal</w:t>
      </w:r>
      <w:r>
        <w:rPr>
          <w:b w:val="0"/>
          <w:i w:val="0"/>
        </w:rPr>
        <w:t xml:space="preserve"> , vol. 14, pp. 281–303, bản quyền 2014 bởi The Regents of the University of California. Bảo lưu mọi quyền. Được tái bản với sự cho phép.</w:t>
      </w:r>
    </w:p>
    <w:p>
      <w:pPr>
        <w:pStyle w:val="Heading1"/>
      </w:pPr>
      <w:r>
        <w:rPr>
          <w:rFonts w:ascii="Calibri" w:hAnsi="Calibri"/>
          <w:b/>
          <w:i w:val="0"/>
          <w:sz w:val="40"/>
        </w:rPr>
        <w:t>Chương 12</w:t>
      </w:r>
    </w:p>
    <w:p>
      <w:pPr>
        <w:pStyle w:val="Heading1"/>
      </w:pPr>
      <w:r>
        <w:rPr>
          <w:rFonts w:ascii="Calibri" w:hAnsi="Calibri"/>
          <w:b/>
          <w:i w:val="0"/>
          <w:sz w:val="40"/>
        </w:rPr>
        <w:t>Quản trị Doanh nghiệp So sánh</w:t>
      </w:r>
    </w:p>
    <w:p>
      <w:pPr>
        <w:spacing w:after="80"/>
      </w:pPr>
      <w:r>
        <w:rPr>
          <w:b w:val="0"/>
          <w:i w:val="0"/>
        </w:rPr>
        <w:t>Luật so sánh đôi khi được định nghĩa là một phương pháp “nhìn vào các vấn đề pháp lý, các thiết chế pháp lý và toàn bộ các hệ thống pháp luật” nhằm “thu nhận những hiểu biết” mà nếu chỉ tập trung vào một hệ thống duy nhất thì không thể có được. Rudolph B. Schlesinger, et al., COMPARATIVE LAW 1 (5th ed. 1988). Quản trị doanh nghiệp so sánh cũng tương tự như vậy, có thể mang lại hiểu biết đáng kể.</w:t>
      </w:r>
    </w:p>
    <w:p>
      <w:pPr>
        <w:spacing w:after="80"/>
      </w:pPr>
      <w:r>
        <w:rPr>
          <w:b w:val="0"/>
          <w:i w:val="0"/>
        </w:rPr>
        <w:t>Ở một mức độ nào đó, chủ đề này có thể được tiếp cận bằng cách xem xét vô số biến thể chắc chắn nảy sinh giữa các quốc gia khác nhau. Tuy nhiên, một số khác biệt này có thể được xem xét theo cách mang tính hệ thống hơn, bao gồm so sánh theo địa lý, theo hệ thống pháp luật (dù là dân luật hay thông luật), hoặc theo các giai đoạn phát triển. Nhưng dù thường là những điểm khởi đầu thuận tiện, các phạm trù rộng lớn này tự chúng đã là những khái quát hóa quá mức, thường che khuất những khác biệt nội tại đáng kể. Vì vậy, Anh và Hoa Kỳ cùng chia sẻ nguồn gốc thông luật, nhưng họ lại khác biệt đáng kể ở một số khía cạnh của quản trị doanh nghiệp.</w:t>
      </w:r>
    </w:p>
    <w:p>
      <w:pPr>
        <w:spacing w:after="80"/>
      </w:pPr>
      <w:r>
        <w:rPr>
          <w:b w:val="0"/>
          <w:i w:val="0"/>
        </w:rPr>
        <w:t>Các biến số khác cũng quan trọng. Vấn đề giám sát ban điều hành có thể khác nhau tùy thuộc vào cấu trúc sở hữu của một công ty. Ở Hoa Kỳ, hầu hết các công ty đại chúng lớn đều có mô hình sở hữu phân tán, với cổ đông lớn nhất thường chỉ nắm giữ không quá vài phần trăm cổ phần có quyền biểu quyết đang lưu hành. Quản trị doanh nghiệp trong những hoàn cảnh này có mục tiêu trọng tâm là giảm hành vi trục lợi của ban điều hành.</w:t>
      </w:r>
    </w:p>
    <w:p>
      <w:pPr>
        <w:spacing w:after="80"/>
      </w:pPr>
      <w:r>
        <w:rPr>
          <w:b w:val="0"/>
          <w:i w:val="0"/>
        </w:rPr>
        <w:t>Ngược lại, hầu hết các quốc gia khác có cấu trúc sở hữu dựa trên các cổ đông kiểm soát, dù là một gia đình hay một nhóm đầu tư. Quản trị trong những hoàn cảnh này tập trung vào nhu cầu giảm hành vi trục lợi của các cổ đông lớn. Tuy nhiên, đồng thời, cấu trúc này cũng có những lợi thế. Các chủ sở hữu lớn có động cơ mạnh mẽ hơn để giám sát ban điều hành và đảm bảo hành vi hướng tới cổ đông.</w:t>
      </w:r>
    </w:p>
    <w:p>
      <w:pPr>
        <w:spacing w:after="80"/>
      </w:pPr>
      <w:r>
        <w:rPr>
          <w:b w:val="0"/>
          <w:i w:val="0"/>
        </w:rPr>
        <w:t>Tương tự, một số quốc gia dựa vào thị trường vốn như một cơ chế quan trọng, nếu không muốn nói là có tính chất bùa hộ mệnh, để kỷ luật ban điều hành. Đối với những quốc gia làm như vậy, thị trường được kỳ vọng sẽ áp đặt hình phạt đối với ban điều hành kém hiệu quả, thường dưới hình thức giá cổ phiếu thấp hơn. Các khu vực pháp lý dựa vào thị trường vốn cũng có thể cần có một hệ thống công bố thông tin nghiêm ngặt. Chỉ khi có đủ thông tin, nhà đầu tư mới có thể phản ứng và áp dụng hình phạt hoặc phần thưởng thích hợp.</w:t>
      </w:r>
    </w:p>
    <w:p>
      <w:pPr>
        <w:spacing w:after="80"/>
      </w:pPr>
      <w:r>
        <w:rPr>
          <w:b w:val="0"/>
          <w:i w:val="0"/>
        </w:rPr>
        <w:t>Tuy nhiên, thị trường vốn năng động và hiệu quả thường là ngoại lệ chứ không phải là quy tắc. Khi không có chúng, cấu trúc quản trị doanh nghiệp có thể cần phải rất khác. Trong những hoàn cảnh đó, công bố thông tin – một thành phần thiết yếu của hệ thống quản trị Hoa Kỳ – có thể không đóng vai trò hoàn toàn giống như vậy.</w:t>
      </w:r>
    </w:p>
    <w:p>
      <w:pPr>
        <w:spacing w:after="80"/>
      </w:pPr>
      <w:r>
        <w:rPr>
          <w:b w:val="0"/>
          <w:i w:val="0"/>
        </w:rPr>
        <w:t>Cuối cùng, không một so sánh nào về các thực tiễn quản trị doanh nghiệp có thể hoàn chỉnh nếu không ít nhất xem xét phần nào tác động của văn hóa và lịch sử. Sự phát triển đặc thù của một quốc gia có thể có tác động đáng kể đến hệ thống quản trị doanh nghiệp. Tác động của văn hóa (bao gồm tôn giáo) và lịch sử có thể khó định lượng hoặc đánh giá. Tuy nhiên, chúng phải được xem xét khi xác định cách tiếp cận phù hợp đối với quản trị và khi xác định tính hiệu quả của chúng.</w:t>
      </w:r>
    </w:p>
    <w:p>
      <w:pPr>
        <w:pStyle w:val="Heading2"/>
      </w:pPr>
      <w:r>
        <w:rPr>
          <w:rFonts w:ascii="Calibri" w:hAnsi="Calibri"/>
          <w:b/>
          <w:i w:val="0"/>
          <w:sz w:val="32"/>
        </w:rPr>
        <w:t>I. Tính bá quyền của quản trị doanh nghiệp</w:t>
      </w:r>
    </w:p>
    <w:p>
      <w:pPr>
        <w:spacing w:after="80"/>
      </w:pPr>
      <w:r>
        <w:rPr>
          <w:b w:val="0"/>
          <w:i w:val="0"/>
        </w:rPr>
        <w:t>Khi thiên niên kỷ mới bắt đầu, một số người coi sự tiến hóa của quản trị doanh nghiệp đã kết thúc. Tất cả các quốc gia cuối cùng sẽ áp dụng mô hình Anglo-American với cách tiếp cận quản trị lấy cổ đông làm trung tâm.</w:t>
      </w:r>
    </w:p>
    <w:p>
      <w:pPr>
        <w:pStyle w:val="Heading4"/>
      </w:pPr>
      <w:r>
        <w:rPr>
          <w:rFonts w:ascii="Calibri" w:hAnsi="Calibri"/>
          <w:b/>
          <w:i w:val="0"/>
          <w:sz w:val="23"/>
        </w:rPr>
        <w:t>Henry Hansmann &amp; Reinier Kraakman,</w:t>
      </w:r>
      <w:r>
        <w:br/>
      </w:r>
      <w:r>
        <w:rPr>
          <w:rFonts w:ascii="Calibri" w:hAnsi="Calibri"/>
          <w:b/>
          <w:i w:val="0"/>
          <w:sz w:val="23"/>
        </w:rPr>
        <w:t xml:space="preserve"> </w:t>
      </w:r>
      <w:r>
        <w:rPr>
          <w:rFonts w:ascii="Calibri" w:hAnsi="Calibri"/>
          <w:b/>
          <w:i/>
          <w:sz w:val="23"/>
        </w:rPr>
        <w:t>The End of History for Corporate Law</w:t>
      </w:r>
    </w:p>
    <w:p>
      <w:pPr>
        <w:spacing w:after="80"/>
      </w:pPr>
      <w:r>
        <w:rPr>
          <w:b w:val="0"/>
          <w:i w:val="0"/>
        </w:rPr>
        <w:t>89 Geo. L.J. 439, 439–41, 450–51, 468 (2001)</w:t>
      </w:r>
    </w:p>
    <w:p>
      <w:pPr>
        <w:spacing w:after="80"/>
      </w:pPr>
      <w:r>
        <w:rPr>
          <w:b w:val="0"/>
          <w:i w:val="0"/>
        </w:rPr>
        <w:t>Nhiều nghiên cứu gần đây đã nhấn mạnh những khác biệt về thể chế trong quản trị doanh nghiệp, thị trường vốn và pháp luật giữa các công ty châu Âu, Hoa Kỳ và Nhật Bản. Bất chấp những khác biệt rất thực tế trong các hệ thống doanh nghiệp, xu hướng sâu xa hơn là hội tụ, như đã diễn ra từ thế kỷ XIX. Luật cơ bản về quản trị doanh nghiệp – thực ra là phần lớn luật doanh nghiệp – đã đạt được mức độ thống nhất cao giữa các khu vực pháp lý thị trường phát triển, và sự hội tụ tiếp tục hướng tới một mô hình tiêu chuẩn duy nhất là điều có khả năng xảy ra. Các đặc điểm pháp lý cốt lõi của hình thức doanh nghiệp đã được thiết lập vững chắc ở các khu vực pháp lý tiên tiến từ một trăm năm trước, vào thời điểm chuyển giao thế kỷ XX. Mặc dù vẫn còn nhiều dư địa cho sự biến thiên trong thực tiễn quản trị và trong cấu trúc vi mô của luật doanh nghiệp suốt thế kỷ XX, áp lực hướng tới hội tụ hơn nữa hiện đang gia tăng nhanh chóng. Đứng đầu trong các áp lực này là sự thống trị gần đây của hệ tư tưởng lấy cổ đông làm trung tâm trong luật doanh nghiệp trong giới doanh nghiệp, chính phủ và giới tinh hoa pháp lý tại các khu vực pháp lý thương mại chủ chốt. Không còn bất kỳ đối thủ nghiêm túc nào đối với quan điểm rằng luật doanh nghiệp chủ yếu nên nỗ lực gia tăng giá trị cổ đông dài hạn. Sự đồng thuận mới nổi này đã ảnh hưởng sâu sắc đến các thực tiễn quản trị doanh nghiệp trên khắp thế giới. Chỉ còn là vấn đề thời gian trước khi ảnh hưởng của nó được cảm nhận trong cải cách luật doanh nghiệp.</w:t>
      </w:r>
    </w:p>
    <w:p>
      <w:pPr>
        <w:spacing w:after="80"/>
      </w:pPr>
      <w:r>
        <w:rPr>
          <w:b w:val="0"/>
          <w:i w:val="0"/>
        </w:rPr>
        <w:t>* * *</w:t>
      </w:r>
    </w:p>
    <w:p>
      <w:pPr>
        <w:spacing w:after="80"/>
      </w:pPr>
      <w:r>
        <w:rPr>
          <w:b w:val="0"/>
          <w:i w:val="0"/>
        </w:rPr>
        <w:t>Tuy nhiên, những năm gần đây đã mang lại bằng chứng mạnh mẽ về sự đồng thuận ngày càng tăng về những vấn đề này trong giới học thuật, doanh nghiệp và chính phủ tại các khu vực pháp lý hàng đầu. Các yếu tố chính của sự đồng thuận mới nổi này là: quyền kiểm soát tối hậu đối với công ty nên thuộc về tầng lớp cổ đông; ban điều hành công ty nên được giao nghĩa vụ điều hành công ty vì lợi ích của các cổ đông; các nhóm liên quan khác của công ty, như chủ nợ, nhân viên, nhà cung cấp và khách hàng, nên được bảo vệ lợi ích bằng các phương tiện hợp đồng và quy định thay vì thông qua việc tham gia vào quản trị doanh nghiệp; các cổ đông không kiểm soát nên được bảo vệ mạnh mẽ khỏi sự bóc lột của các cổ đông kiểm soát; và giá trị thị trường của cổ phiếu công ty đại chúng là thước đo chính cho lợi ích của các cổ đông.</w:t>
      </w:r>
    </w:p>
    <w:p>
      <w:pPr>
        <w:spacing w:after="80"/>
      </w:pPr>
      <w:r>
        <w:rPr>
          <w:b w:val="0"/>
          <w:i w:val="0"/>
        </w:rPr>
        <w:t>* * *</w:t>
      </w:r>
    </w:p>
    <w:p>
      <w:pPr>
        <w:spacing w:after="80"/>
      </w:pPr>
      <w:r>
        <w:rPr>
          <w:b w:val="0"/>
          <w:i w:val="0"/>
        </w:rPr>
        <w:t>Sự quốc tế hóa ngày càng tăng của cả thị trường sản phẩm lẫn thị trường tài chính đã đưa các doanh nghiệp riêng lẻ từ các khu vực pháp lý tuân theo các mô hình khác nhau vào cạnh tranh trực tiếp. Hiện nay người ta thường cho rằng các doanh nghiệp được tổ chức và vận hành theo mô hình hướng tới cổ đông đã chiếm ưu thế trong những cuộc đối đầu trực tiếp hơn này. Những doanh nghiệp như vậy có thể được kỳ vọng sẽ có lợi thế cạnh tranh quan trọng so với các doanh nghiệp tuân theo các mô hình khác một cách chặt chẽ hơn. Những lợi thế này bao gồm khả năng tiếp cận vốn cổ phần với chi phí thấp hơn (bao gồm, một cách rõ ràng, vốn khởi nghiệp), phát triển thị trường sản phẩm mới mạnh mẽ hơn, động cơ mạnh mẽ hơn để tái cơ cấu theo những đường hướng mạch lạc về mặt quản trị, và việc từ bỏ các khoản đầu tư kém hiệu quả nhanh chóng hơn.</w:t>
      </w:r>
    </w:p>
    <w:p>
      <w:pPr>
        <w:spacing w:after="80"/>
      </w:pPr>
      <w:r>
        <w:rPr>
          <w:b w:val="0"/>
          <w:i w:val="0"/>
        </w:rPr>
        <w:t>Những lợi thế cạnh tranh này không phải lúc nào cũng đồng nghĩa với việc các công ty được điều hành theo mô hình chuẩn sẽ thay thế những công ty được điều hành theo mô hình thay thế trong quá trình cạnh tranh giữa các công ty với nhau, vì hai lý do. Thứ nhất, các công ty hoạt động theo mô hình chuẩn có thể không hiệu quả hơn các công ty khác về nhiều mặt. Ví dụ, các công ty Nhật Bản và Hàn Quốc định hướng nhà nước đã chứng tỏ hiệu quả cao trong việc quản lý và mở rộng các quy trình sản xuất tiêu chuẩn hóa, trong khi các công ty Đức và Hà Lan như Daimler Benz và Philips (hoạt động theo mô hình định hướng lao động và định hướng quản lý tương ứng) đã được công nhận rộng rãi về năng lực kỹ thuật và đổi mới công nghệ. Thứ hai, ngay cả khi các công ty được điều hành theo mô hình chuẩn rõ ràng hiệu quả hơn các đối thủ không theo chuẩn của chúng, các công ty theo mô hình chuẩn chú trọng chi phí có thể buộc phải từ bỏ những thị trường cụ thể chính vì lý do đó. Các công ty kém hiệu quả hơn được tổ chức theo các mô hình thay thế có thể đầu tư quá mức vào năng lực hoặc chấp nhận lợi nhuận đầu tư thấp bất thường nói chung, và do đó có thể thống trị một thị trường sản phẩm bằng cách định giá thấp hơn các đối thủ tối đa hóa lợi nhuận của mình. Nhưng nếu những lợi thế cạnh tranh của các công ty theo mô hình chuẩn không nhất thiết buộc phải loại bỏ các công ty không theo chuẩn trên các thị trường đã được thiết lập, thì những công ty theo mô hình chuẩn này, vì những lý do đã nêu ở trên, có khả năng đạt được thị phần không cân xứng trong số các công ty khởi nghiệp, trên các thị trường sản phẩm mới, và trong các ngành đang trong quá trình thay đổi nhanh chóng.</w:t>
      </w:r>
    </w:p>
    <w:p>
      <w:pPr>
        <w:spacing w:after="80"/>
      </w:pPr>
      <w:r>
        <w:rPr>
          <w:b w:val="0"/>
          <w:i w:val="0"/>
        </w:rPr>
        <w:t>Hơn nữa, khả năng mở rộng nhanh chóng của các công ty theo mô hình chuẩn trong các ngành tăng trưởng còn được khuếch đại nhờ khả năng tiếp cận các nhà đầu tư tổ chức và thị trường vốn cổ phần quốc tế, những chủ thể mà dễ hiểu là ưa thích quản trị định hướng cổ đông và là những người ủng hộ có ảnh hưởng cho mô hình chuẩn. Suy cho cùng, những nhà đầu tư vốn cổ phần đó chỉ quan tâm độc nhất đến việc tối đa hóa lợi nhuận tài chính từ các khoản đầu tư của họ. Theo thời gian, mô hình chuẩn có khả năng sẽ thắng trong cuộc đấu tranh cạnh tranh ở các vùng biên, giam hãm các mô hình quản trị khác vào những công ty lâu đời và những thị trường sản phẩm trưởng thành. Khi tốc độ thay đổi công nghệ tiếp tục tăng nhanh, lợi thế cạnh tranh này sẽ tiếp tục gia tăng.</w:t>
      </w:r>
    </w:p>
    <w:p>
      <w:pPr>
        <w:spacing w:after="80"/>
      </w:pPr>
      <w:r>
        <w:rPr>
          <w:b w:val="0"/>
          <w:i w:val="0"/>
        </w:rPr>
        <w:t>* * *</w:t>
      </w:r>
    </w:p>
    <w:p>
      <w:pPr>
        <w:spacing w:after="80"/>
      </w:pPr>
      <w:r>
        <w:rPr>
          <w:b w:val="0"/>
          <w:i w:val="0"/>
        </w:rPr>
        <w:t>Sự thắng thế của mô hình công ty định hướng cổ đông so với các đối thủ chính của nó giờ đây đã được bảo đảm, ngay cả khi điều đó còn đầy vấn đề chỉ mới hai mươi lăm năm trước. Chỉ riêng logic đã không thiết lập được tính ưu việt của mô hình chuẩn này hay của những quy tắc mang tính quy phạm mà nó hàm ý, những quy tắc thiết lập một ban quản lý công ty mạnh mẽ với các nghĩa vụ phục vụ lợi ích của riêng cổ đông, cũng như các biện pháp bảo vệ mạnh mẽ cho cổ đông thiểu số. Thay vào đó, mô hình chuẩn đã giành được vị trí là mô hình thống trị của các tập đoàn lớn một cách khó nhọc, bằng việc cạnh tranh thắng thế trong giai đoạn sau Thế chiến thứ hai trước ba mô hình quản trị công ty thay thế: mô hình quản lý chuyên nghiệp (managerialist), mô hình định hướng lao động, và mô hình định hướng nhà nước.</w:t>
      </w:r>
    </w:p>
    <w:p>
      <w:pPr>
        <w:spacing w:after="80"/>
      </w:pPr>
      <w:r>
        <w:rPr>
          <w:b w:val="0"/>
          <w:i w:val="0"/>
        </w:rPr>
        <w:t>Tuy nhiên, nếu sự thất bại của các mô hình thay thế chính đã thiết lập nên quyền bá chủ về ý thức hệ của mô hình chuẩn, thì có lẽ điều này không nên đến như một sự ngạc nhiên hoàn toàn. Mô hình chuẩn chưa bao giờ bị đặt dấu hỏi đối với phần lớn các công ty. Nó thống trị luật pháp và quản trị của các công ty sở hữu khép kín ở mọi khu vực tài phán. Hầu hết các công ty Đức không tham gia vào chế độ đồng quyết định (codetermination), và hầu hết các công ty Hà Lan không bị điều chỉnh bởi chế độ "cấu trúc" mang tính quản lý chuyên nghiệp. Tương tự, mô hình chuẩn về tính tối thượng của cổ đông luôn là mô hình pháp lý thống trị ở hai khu vực tài phán nơi mà việc lựa chọn mô hình được cho là quan trọng nhất: Mỹ và Anh. Việc lựa chọn mô hình có ý nghĩa ở những khu vực tài phán này vì các công ty lớn thường có cấu trúc sở hữu phân tán cao độ. Ở lục địa châu Âu, nơi hầu hết các công ty lớn được kiểm soát bởi các cổ đông lớn, lợi ích của các cổ đông kiểm soát theo truyền thống chi phối chính sách công ty bất kể ý thức hệ đang thịnh hành về hình thức công ty là gì.</w:t>
      </w:r>
    </w:p>
    <w:p>
      <w:pPr>
        <w:spacing w:after="80"/>
      </w:pPr>
      <w:r>
        <w:rPr>
          <w:b w:val="0"/>
          <w:i w:val="0"/>
        </w:rPr>
        <w:t>Do đó, chúng tôi dự đoán rằng khi các thị trường vốn cổ phần phát triển ở châu Âu và khắp thế giới phát triển, sức hấp dẫn về ý thức hệ và cạnh tranh của mô hình chuẩn sẽ trở nên không thể tranh cãi, ngay cả trong giới học thuật luật. Và khi mục tiêu về tính tối thượng của cổ đông trở thành bản năng thứ hai ngay cả với các chính trị gia, sự hội tụ trong hầu hết các khía cạnh của luật pháp và thực tiễn quản trị công ty chắc chắn sẽ theo sau.</w:t>
      </w:r>
    </w:p>
    <w:p>
      <w:pPr>
        <w:pStyle w:val="Heading5"/>
      </w:pPr>
      <w:r>
        <w:rPr>
          <w:rFonts w:ascii="Calibri" w:hAnsi="Calibri"/>
          <w:b/>
          <w:i/>
          <w:sz w:val="22"/>
        </w:rPr>
        <w:t>Bình luận và Câu hỏi</w:t>
      </w:r>
    </w:p>
    <w:p>
      <w:pPr>
        <w:spacing w:after="80"/>
      </w:pPr>
      <w:r>
        <w:rPr>
          <w:b w:val="0"/>
          <w:i w:val="0"/>
        </w:rPr>
        <w:t>1. Bài viết được xuất bản vào đầu năm 2001. Đến cuối năm 2001, Enron đã nộp đơn xin phá sản, với Worldcom theo sau chưa đầy một năm sau đó. Sau đó, Quốc hội đã thông qua Đạo luật Sarbanes-Oxley, cuộc cải cách sâu rộng nhất đối với luật chứng khoán kể từ thời Đại khủng hoảng. Nói một cách rộng rãi, Đạo luật này tìm cách cải cách quy trình quản trị công ty. Những diễn biến này, nếu có, nói lên điều gì về các quan điểm mà Giáo sư Hansmann và Kraakman đã đưa ra?</w:t>
      </w:r>
    </w:p>
    <w:p>
      <w:pPr>
        <w:spacing w:after="80"/>
      </w:pPr>
      <w:r>
        <w:rPr>
          <w:b w:val="0"/>
          <w:i w:val="0"/>
        </w:rPr>
        <w:t xml:space="preserve">2. Các tác giả muốn nói gì bằng "ý thức hệ lấy cổ đông làm trung tâm của luật công ty"? Đây có phải là một cách tiếp cận lấy dân tộc làm trung tâm đối với quản trị công ty so sánh? Ít nhất một giáo sư dường như nghĩ như vậy. </w:t>
      </w:r>
      <w:r>
        <w:rPr>
          <w:b w:val="0"/>
          <w:i/>
        </w:rPr>
        <w:t>Xem</w:t>
      </w:r>
      <w:r>
        <w:rPr>
          <w:b w:val="0"/>
          <w:i w:val="0"/>
        </w:rPr>
        <w:t xml:space="preserve"> Douglas M. Branson, </w:t>
      </w:r>
      <w:r>
        <w:rPr>
          <w:b w:val="0"/>
          <w:i/>
        </w:rPr>
        <w:t>The Very Uncertain Prospect of "Global" Convergence in Corporate Governance</w:t>
      </w:r>
      <w:r>
        <w:rPr>
          <w:b w:val="0"/>
          <w:i w:val="0"/>
        </w:rPr>
        <w:t xml:space="preserve"> , 34 Cornell Int'l L.J. 321, 330–31 (2001) (phân tích này "là một tuyên bố mang tính sô-vanh về luận đề hội tụ lấy Mỹ làm trung tâm."). Chúng tôi bàn về chủ đề này ở cuối chương này.</w:t>
      </w:r>
    </w:p>
    <w:p>
      <w:pPr>
        <w:spacing w:after="80"/>
      </w:pPr>
      <w:r>
        <w:rPr>
          <w:b w:val="0"/>
          <w:i w:val="0"/>
        </w:rPr>
        <w:t>3. Hệ thống lấy cổ đông làm trung tâm được mô tả là một hệ thống trong đó các nhà quản lý của công ty "được giao nghĩa vụ quản lý công ty vì lợi ích của các cổ đông." Đó có phải là một mô tả chính xác về hệ thống quản trị công ty ở Hoa Kỳ không?</w:t>
      </w:r>
    </w:p>
    <w:p>
      <w:pPr>
        <w:spacing w:after="80"/>
      </w:pPr>
      <w:r>
        <w:rPr>
          <w:b w:val="0"/>
          <w:i w:val="0"/>
        </w:rPr>
        <w:t>4. Sự hội tụ, theo lập luận của các tác giả, phát sinh một phần từ những lợi thế cạnh tranh dành cho các công ty tuân theo mô hình lấy cổ đông làm trung tâm. Một trong những lợi thế chính là chi phí vốn thấp hơn. Mô hình này thúc đẩy mục tiêu đó như thế nào? Liệu điều này chỉ có thể đạt được thông qua việc thực hiện mô hình cổ đông hay không?</w:t>
      </w:r>
    </w:p>
    <w:p>
      <w:pPr>
        <w:spacing w:after="80"/>
      </w:pPr>
      <w:r>
        <w:rPr>
          <w:b w:val="0"/>
          <w:i w:val="0"/>
        </w:rPr>
        <w:t xml:space="preserve">5. Bài viết mô tả một khía cạnh của mô hình lấy cổ đông làm trung tâm là sự chuyển dịch quyền lực từ các cổ đông kiểm soát sang các cổ đông công chúng. Tiền đề có lẽ là một mô hình sở hữu phân tán (như mô hình phổ biến ở Hoa Kỳ) hiệu quả hơn mô hình cổ đông kiểm soát phổ biến ở hầu hết các quốc gia khác. Điều này có đúng không? Có những lợi thế nào đi kèm với các cổ đông kiểm soát không? </w:t>
      </w:r>
      <w:r>
        <w:rPr>
          <w:b w:val="0"/>
          <w:i/>
        </w:rPr>
        <w:t>Xem</w:t>
      </w:r>
      <w:r>
        <w:rPr>
          <w:b w:val="0"/>
          <w:i w:val="0"/>
        </w:rPr>
        <w:t xml:space="preserve"> Karl Hofstetter, </w:t>
      </w:r>
      <w:r>
        <w:rPr>
          <w:b w:val="0"/>
          <w:i/>
        </w:rPr>
        <w:t>One Size Does Not Fit All: Corporate Governance for "Controlled Companies,"</w:t>
      </w:r>
      <w:r>
        <w:rPr>
          <w:b w:val="0"/>
          <w:i w:val="0"/>
        </w:rPr>
        <w:t xml:space="preserve"> 31 N.C. J. Int'l L. &amp; Com. Reg. 597, 614 (2006) ("Không có gì phải nghi ngờ rằng lợi thế rõ ràng nhất của một cổ đông kiểm soát nằm ở chỗ người đó có những lợi ích nói chung gắn kết với lợi ích của các cổ đông với tư cách một nhóm."). Những bất lợi là gì?</w:t>
      </w:r>
    </w:p>
    <w:p>
      <w:pPr>
        <w:spacing w:after="80"/>
      </w:pPr>
      <w:r>
        <w:rPr>
          <w:b w:val="0"/>
          <w:i w:val="0"/>
        </w:rPr>
        <w:t xml:space="preserve">6. Bạn có thể dung hòa lập luận về sự hội tụ với tính phụ thuộc lộ trình (path dependency) và vai trò của lịch sử hay văn hóa không? Để bàn về những vấn đề này trong bối cảnh quản trị, </w:t>
      </w:r>
      <w:r>
        <w:rPr>
          <w:b w:val="0"/>
          <w:i/>
        </w:rPr>
        <w:t>xem</w:t>
      </w:r>
      <w:r>
        <w:rPr>
          <w:b w:val="0"/>
          <w:i w:val="0"/>
        </w:rPr>
        <w:t xml:space="preserve"> Lucian Arye Bebchuk &amp; Mark J. Roe, </w:t>
      </w:r>
      <w:r>
        <w:rPr>
          <w:b w:val="0"/>
          <w:i/>
        </w:rPr>
        <w:t>A Theory of Path Dependence in Corporate Ownership and Governance</w:t>
      </w:r>
      <w:r>
        <w:rPr>
          <w:b w:val="0"/>
          <w:i w:val="0"/>
        </w:rPr>
        <w:t xml:space="preserve"> , 52 Stan. L. Rev. 127 (1999). Ví dụ, một phần lớn quy trình quản trị ở Mỹ là sản phẩm phụ của việc tự điều chỉnh. Đây là một hình thức điều chỉnh có chủ đích hay ngẫu nhiên?</w:t>
      </w:r>
    </w:p>
    <w:p>
      <w:pPr>
        <w:pStyle w:val="Heading2"/>
      </w:pPr>
      <w:r>
        <w:rPr>
          <w:rFonts w:ascii="Calibri" w:hAnsi="Calibri"/>
          <w:b/>
          <w:i w:val="0"/>
          <w:sz w:val="32"/>
        </w:rPr>
        <w:t>II. Giám sát Ban quản lý</w:t>
      </w:r>
    </w:p>
    <w:p>
      <w:pPr>
        <w:spacing w:after="80"/>
      </w:pPr>
      <w:r>
        <w:rPr>
          <w:b w:val="0"/>
          <w:i w:val="0"/>
        </w:rPr>
        <w:t>Nói một cách rộng rãi, quản trị công ty tìm cách giảm thiểu chi phí đại diện (agency costs). Ở một số quốc gia, nhiệm vụ này phần lớn được giao cho thị trường. Ban quản lý vụ lợi hoặc kém hiệu quả sẽ khiến các cổ đông bỏ phiếu bằng đôi chân của mình. Sự sụt giảm giá cổ phiếu kéo theo có thể làm giảm thù lao trả cho các giám đốc điều hành hoặc có khả năng tạo ra một thương vụ thâu tóm dẫn đến việc thay thế ban quản lý kém hiệu quả.</w:t>
      </w:r>
    </w:p>
    <w:p>
      <w:pPr>
        <w:spacing w:after="80"/>
      </w:pPr>
      <w:r>
        <w:rPr>
          <w:b w:val="0"/>
          <w:i w:val="0"/>
        </w:rPr>
        <w:t>Tuy nhiên, không phải tất cả các quốc gia đều dựa vào thị trường vốn như một cơ chế chính để giám sát ban quản lý. Những giải pháp thay thế có thể phát sinh do sự thiếu vắng các thị trường vốn năng động. Hoặc cách khác, quản trị có thể được giải thích bằng tính phụ thuộc lộ trình hoặc như một hệ quả của một cấu hình sở hữu khác. Ở những quốc gia đó, các ngân hàng và cổ đông kiểm soát thường là những nguồn thay thế để giám sát hành vi của ban quản lý.</w:t>
      </w:r>
    </w:p>
    <w:p>
      <w:pPr>
        <w:pStyle w:val="Heading3"/>
      </w:pPr>
      <w:r>
        <w:rPr>
          <w:rFonts w:ascii="Calibri" w:hAnsi="Calibri"/>
          <w:b/>
          <w:i w:val="0"/>
          <w:sz w:val="26"/>
        </w:rPr>
        <w:t>A. Thị trường vốn và Giám sát</w:t>
      </w:r>
    </w:p>
    <w:p>
      <w:pPr>
        <w:spacing w:after="80"/>
      </w:pPr>
      <w:r>
        <w:rPr>
          <w:b w:val="0"/>
          <w:i w:val="0"/>
        </w:rPr>
        <w:t>Tại Hoa Kỳ, hệ thống giám sát ban quản trị dựa rất nhiều vào thị trường vốn như một cơ chế kỷ luật. Những nhà quản lý hành động kém hiệu quả sẽ khiến giá cổ phiếu sụt giảm. Điều đó có thể ảnh hưởng tiêu cực đến thù lao của ban điều hành, đặc biệt khi tiền thưởng và các khoản thanh toán khác gắn với hiệu suất cổ phiếu. Ngoài ra, nếu cổ phiếu đủ rẻ, công ty có thể trở thành miếng mồi ngon cho việc thâu tóm.</w:t>
      </w:r>
    </w:p>
    <w:p>
      <w:pPr>
        <w:spacing w:after="80"/>
      </w:pPr>
      <w:r>
        <w:rPr>
          <w:b w:val="0"/>
          <w:i w:val="0"/>
        </w:rPr>
        <w:t>Tóm lại, ban quản trị nào không hành động vì lợi ích tốt nhất của cổ đông sẽ phải chịu hậu quả từ thị trường. Nhưng phương pháp giám sát ban quản trị này đòi hỏi phải có thị trường vốn đủ khả năng áp đặt các hình phạt cần thiết. Chúng ta bắt đầu chủ đề này bằng việc xem xét các sàn giao dịch lớn nhất theo vốn hóa thị trường.</w:t>
      </w:r>
    </w:p>
    <w:p>
      <w:pPr>
        <w:pStyle w:val="Heading4"/>
      </w:pPr>
      <w:r>
        <w:rPr>
          <w:rFonts w:ascii="Calibri" w:hAnsi="Calibri"/>
          <w:b/>
          <w:i w:val="0"/>
          <w:sz w:val="23"/>
        </w:rPr>
        <w:t>Franklin Allen &amp; Jun “QJ” Qian,</w:t>
      </w:r>
      <w:r>
        <w:br/>
      </w:r>
      <w:r>
        <w:rPr>
          <w:rFonts w:ascii="Calibri" w:hAnsi="Calibri"/>
          <w:b/>
          <w:i w:val="0"/>
          <w:sz w:val="23"/>
        </w:rPr>
        <w:t xml:space="preserve"> </w:t>
      </w:r>
      <w:r>
        <w:rPr>
          <w:rFonts w:ascii="Calibri" w:hAnsi="Calibri"/>
          <w:b/>
          <w:i/>
          <w:sz w:val="23"/>
        </w:rPr>
        <w:t>Hệ thống tài chính và pháp luật của Trung Quốc</w:t>
      </w:r>
    </w:p>
    <w:p>
      <w:pPr>
        <w:spacing w:after="80"/>
      </w:pPr>
      <w:r>
        <w:rPr>
          <w:b w:val="0"/>
          <w:i w:val="0"/>
        </w:rPr>
        <w:t>47 Cornell Int'l L.J. 499 (2014)</w:t>
      </w:r>
    </w:p>
    <w:p>
      <w:pPr>
        <w:spacing w:after="80"/>
      </w:pPr>
      <w:r>
        <w:rPr>
          <w:b w:val="0"/>
          <w:i w:val="0"/>
        </w:rPr>
        <w:t>So sánh các thị trường chứng khoán lớn nhất thế giới vào tháng 12 năm 2013</w:t>
      </w:r>
    </w:p>
    <w:p>
      <w:pPr>
        <w:jc w:val="center"/>
      </w:pPr>
      <w:r>
        <w:drawing>
          <wp:inline xmlns:a="http://schemas.openxmlformats.org/drawingml/2006/main" xmlns:pic="http://schemas.openxmlformats.org/drawingml/2006/picture">
            <wp:extent cx="4933950" cy="3743325"/>
            <wp:docPr id="4" name="Picture 4"/>
            <wp:cNvGraphicFramePr>
              <a:graphicFrameLocks noChangeAspect="1"/>
            </wp:cNvGraphicFramePr>
            <a:graphic>
              <a:graphicData uri="http://schemas.openxmlformats.org/drawingml/2006/picture">
                <pic:pic>
                  <pic:nvPicPr>
                    <pic:cNvPr id="0" name="Image00003.jpg"/>
                    <pic:cNvPicPr/>
                  </pic:nvPicPr>
                  <pic:blipFill>
                    <a:blip r:embed="rId12"/>
                    <a:stretch>
                      <a:fillRect/>
                    </a:stretch>
                  </pic:blipFill>
                  <pic:spPr>
                    <a:xfrm>
                      <a:off x="0" y="0"/>
                      <a:ext cx="4933950" cy="3743325"/>
                    </a:xfrm>
                    <a:prstGeom prst="rect"/>
                  </pic:spPr>
                </pic:pic>
              </a:graphicData>
            </a:graphic>
          </wp:inline>
        </w:drawing>
      </w:r>
    </w:p>
    <w:p>
      <w:pPr>
        <w:pStyle w:val="Heading5"/>
      </w:pPr>
      <w:r>
        <w:rPr>
          <w:rFonts w:ascii="Calibri" w:hAnsi="Calibri"/>
          <w:b/>
          <w:i/>
          <w:sz w:val="22"/>
        </w:rPr>
        <w:t>Bình luận và Câu hỏi</w:t>
      </w:r>
    </w:p>
    <w:p>
      <w:pPr>
        <w:spacing w:after="80"/>
      </w:pPr>
      <w:r>
        <w:rPr>
          <w:b w:val="0"/>
          <w:i w:val="0"/>
        </w:rPr>
        <w:t>1. Thị trường vốn có thể giám sát ban quản trị một cách hiệu quả như thế nào? Cần có những yếu tố nào để tối đa hóa hiệu quả của thị trường vốn như một công cụ giám sát? Liệu vai trò kỷ luật mạnh mẽ có tự động xuất hiện từ sự tồn tại của một thị trường chứng khoán sôi động không?</w:t>
      </w:r>
    </w:p>
    <w:p>
      <w:pPr>
        <w:spacing w:after="80"/>
      </w:pPr>
      <w:r>
        <w:rPr>
          <w:b w:val="0"/>
          <w:i w:val="0"/>
        </w:rPr>
        <w:t>2. Bạn nghĩ gì về bảng này? Vốn hóa thị trường của các công ty niêm yết trên NYSE và NASDAQ gần như bằng vốn hóa thị trường của tất cả các sàn giao dịch khác được nêu trong bảng. Mặt khác, nếu bạn cộng vốn hóa thị trường của ba sàn giao dịch được in đậm từ Trung Quốc, chúng sẽ xếp thứ hai, vượt trên NASDAQ. Với những quan sát này, liệu bạn có thể đánh đồng quy mô (dựa trên vốn hóa thị trường) với khả năng kỷ luật không?</w:t>
      </w:r>
    </w:p>
    <w:p>
      <w:pPr>
        <w:spacing w:after="80"/>
      </w:pPr>
      <w:r>
        <w:rPr>
          <w:b w:val="0"/>
          <w:i w:val="0"/>
        </w:rPr>
        <w:t>3. Việc thiếu vắng các thị trường vốn sôi động có thể ảnh hưởng đến hệ thống quản trị công ty như thế nào? Liệu có cách nào để thị trường vốn ở các nước phát triển có thể cải thiện quản trị ở các nước kém phát triển hơn không? Dữ liệu cho thấy các công ty nước ngoài niêm yết trên một sàn chứng khoán Hoa Kỳ có giá cổ phiếu tăng tại quốc gia gốc của họ. Tại sao lại như vậy? Hiện tượng tương tự không xảy ra với các công ty nước ngoài niêm yết trên LSE. Bạn có thể giải thích sự khác biệt về hiệu ứng này không?</w:t>
      </w:r>
    </w:p>
    <w:p>
      <w:pPr>
        <w:spacing w:after="80"/>
      </w:pPr>
      <w:r>
        <w:rPr>
          <w:b w:val="0"/>
          <w:i w:val="0"/>
        </w:rPr>
        <w:t xml:space="preserve">4. Một tiền đề mạnh mẽ cho việc sử dụng thị trường vốn như một cơ chế kỷ luật là yêu cầu công bố thông tin đầy đủ. </w:t>
      </w:r>
      <w:r>
        <w:rPr>
          <w:b w:val="0"/>
          <w:i/>
        </w:rPr>
        <w:t>Xem</w:t>
      </w:r>
      <w:r>
        <w:rPr>
          <w:b w:val="0"/>
          <w:i w:val="0"/>
        </w:rPr>
        <w:t xml:space="preserve"> Jill E. Fisch, </w:t>
      </w:r>
      <w:r>
        <w:rPr>
          <w:b w:val="0"/>
          <w:i/>
        </w:rPr>
        <w:t>Đối mặt với vấn đề vòng tròn trong tranh tụng chứng khoán tư nhân</w:t>
      </w:r>
      <w:r>
        <w:rPr>
          <w:b w:val="0"/>
          <w:i w:val="0"/>
        </w:rPr>
        <w:t xml:space="preserve"> , 2009 Wis. L. Rev. 333, 335 (“Kỷ luật thị trường vốn thông qua việc kết hợp và định giá hiệu quả các thông tin đặc thù của doanh nghiệp phụ thuộc nghiêm trọng vào sự tồn tại của giao dịch có thông tin.”). Chỉ với sự công bố như vậy thì giá cổ phiếu mới có thể phản ánh chính xác các hoạt động và thông lệ của công ty. Liệu việc công bố thông tin có đóng vai trò tương tự ở các quốc gia không có thị trường vốn sôi động không?</w:t>
      </w:r>
    </w:p>
    <w:p>
      <w:pPr>
        <w:spacing w:after="80"/>
      </w:pPr>
      <w:r>
        <w:rPr>
          <w:b w:val="0"/>
          <w:i w:val="0"/>
        </w:rPr>
        <w:t xml:space="preserve">5. Về công bố thông tin tài chính, Đức được mô tả là kém minh bạch hơn Hoa Kỳ. Mặt khác, các công ty Đức theo truyền thống tìm đến ngân hàng hoặc cổ đông kiểm soát thay vì thị trường vốn để giám sát hoạt động của ban quản trị. </w:t>
      </w:r>
      <w:r>
        <w:rPr>
          <w:b w:val="0"/>
          <w:i/>
        </w:rPr>
        <w:t>Xem</w:t>
      </w:r>
      <w:r>
        <w:rPr>
          <w:b w:val="0"/>
          <w:i w:val="0"/>
        </w:rPr>
        <w:t xml:space="preserve"> Katherine V. Jackson, </w:t>
      </w:r>
      <w:r>
        <w:rPr>
          <w:b w:val="0"/>
          <w:i/>
        </w:rPr>
        <w:t>Hướng tới một lý thuyết các bên liên quan-cổ đông về quản trị công ty: Một phân tích so sánh</w:t>
      </w:r>
      <w:r>
        <w:rPr>
          <w:b w:val="0"/>
          <w:i w:val="0"/>
        </w:rPr>
        <w:t xml:space="preserve"> , 7 Hastings Bus. L.J. 309, 365 (2011). Trong phạm vi như vậy, liệu các yêu cầu công bố thông tin nghiêm ngặt hơn có tác dụng tương tự ở Đức như ở Hoa Kỳ không? Liệu chúng có thể gây hại không?</w:t>
      </w:r>
    </w:p>
    <w:p>
      <w:pPr>
        <w:spacing w:after="80"/>
      </w:pPr>
      <w:r>
        <w:rPr>
          <w:b w:val="0"/>
          <w:i w:val="0"/>
        </w:rPr>
        <w:t xml:space="preserve">6. Thị trường vốn trong lịch sử hoạt động tích cực hơn ở các khu vực tài phán theo thông luật (thay vì bộ luật dân sự). Kết quả là, một số người cho rằng hệ thống thông luật thuận lợi hơn cho việc huy động vốn. Tuy nhiên, như một nhà bình luận lập luận, lợi nhuận cao nhất của bất kỳ thị trường chứng khoán nào trong giai đoạn 1900 đến 2000 là Thụy Điển, một quốc gia theo bộ luật dân sự. Brian B. Kim, </w:t>
      </w:r>
      <w:r>
        <w:rPr>
          <w:b w:val="0"/>
          <w:i/>
        </w:rPr>
        <w:t>Lợi nhuận cổ phiếu, Quản trị công ty và Tăng trưởng kinh tế dài hạn</w:t>
      </w:r>
      <w:r>
        <w:rPr>
          <w:b w:val="0"/>
          <w:i w:val="0"/>
        </w:rPr>
        <w:t xml:space="preserve"> , 35 Ohio N.U. L. Rev. 685, 702 (2009) (lưu ý rằng “bốn trong bảy quốc gia có lợi nhuận cổ phiếu cao nhất từ 1900 đến 2000 là các nền kinh tế định hướng cổ đông” nhưng danh sách này lại được đứng đầu bởi Thụy Điển). Bạn nghĩ gì về phân tích này?</w:t>
      </w:r>
    </w:p>
    <w:p>
      <w:pPr>
        <w:spacing w:after="80"/>
      </w:pPr>
      <w:r>
        <w:rPr>
          <w:b w:val="0"/>
          <w:i w:val="0"/>
        </w:rPr>
        <w:t>7. Thị trường vốn có thể kỷ luật ban quản trị kém hiệu quả thông qua các vụ thâu tóm thù địch. Khi giá cổ phiếu giảm đủ mạnh, một bên mua lại sẽ nhảy vào, mua công ty và thay thế ban quản trị kém hiệu quả. Điều gì sẽ xảy ra nếu thị trường như vậy không tồn tại? Ví dụ, thị trường thâu tóm thù địch thực sự không tồn tại ở Nhật Bản. Tương tự, với sự ra đời của các viên thuốc độc (poison pills), thị trường này đã bị suy yếu ở Hoa Kỳ. Trong trường hợp không có cơ chế như vậy, thị trường vốn có thể giám sát ban quản trị một cách hiệu quả bằng cách nào khác?</w:t>
      </w:r>
    </w:p>
    <w:p>
      <w:pPr>
        <w:spacing w:after="80"/>
      </w:pPr>
      <w:r>
        <w:rPr>
          <w:b w:val="0"/>
          <w:i w:val="0"/>
        </w:rPr>
        <w:t xml:space="preserve">8. Một số quốc gia đang phát triển đã cố gắng sử dụng việc công bố thông tin để tác động đến hành vi của ban quản trị. Ví dụ, ở Nam Phi, King Code, một bộ quy tắc quản trị công ty tự nguyện, khuyến nghị các công ty áp dụng ba điểm mấu chốt (triple bottom line), đòi hỏi phải xem xét trong việc ra quyết định không chỉ các lợi ích kinh tế mà còn cả các yếu tố xã hội và môi trường. </w:t>
      </w:r>
      <w:r>
        <w:rPr>
          <w:b w:val="0"/>
          <w:i/>
        </w:rPr>
        <w:t>Xem</w:t>
      </w:r>
      <w:r>
        <w:rPr>
          <w:b w:val="0"/>
          <w:i w:val="0"/>
        </w:rPr>
        <w:t xml:space="preserve"> Philip C. Aka, </w:t>
      </w:r>
      <w:r>
        <w:rPr>
          <w:b w:val="0"/>
          <w:i/>
        </w:rPr>
        <w:t>Quản trị công ty ở Nam Phi: Phân tích động lực của các cải cách quản trị công ty ở “Quốc gia Cầu vồng,”</w:t>
      </w:r>
      <w:r>
        <w:rPr>
          <w:b w:val="0"/>
          <w:i w:val="0"/>
        </w:rPr>
        <w:t xml:space="preserve"> 33 N.C.J. Int'l L. &amp; Com. Reg. 219, 250 (2007). Để khuyến khích việc sử dụng nó, Sở Giao dịch Chứng khoán Johannesburg đã triển khai Chỉ số Đầu tư Trách nhiệm Xã hội, một chỉ số giao dịch nhằm đo lường “các chính sách, hiệu suất và báo cáo của công ty liên quan đến ba trụ cột của ba điểm mấu chốt (bền vững về môi trường, kinh tế và xã hội), cũng như thông lệ quản trị công ty.” Nói cách khác, JSE sẽ cung cấp cho nhà đầu tư một phương pháp dễ dàng để xác định việc tuân thủ. Điều này có thể có tác động gì đến hành vi của các nhà quản lý?</w:t>
      </w:r>
    </w:p>
    <w:p>
      <w:pPr>
        <w:spacing w:after="80"/>
      </w:pPr>
      <w:r>
        <w:rPr>
          <w:b w:val="0"/>
          <w:i w:val="0"/>
        </w:rPr>
        <w:t>—————</w:t>
      </w:r>
    </w:p>
    <w:p>
      <w:pPr>
        <w:spacing w:after="80"/>
      </w:pPr>
      <w:r>
        <w:rPr>
          <w:b w:val="0"/>
          <w:i w:val="0"/>
        </w:rPr>
        <w:t>Công bố thông tin của doanh nghiệp có thể phục vụ nhiều mục đích khác nhau. Trong những thị trường hiệu quả và năng động, công bố thông tin có thể tác động trực tiếp đến quản trị. Công bố thông tin có thể làm thay đổi giá cổ phiếu, từ đó có khả năng ảnh hưởng đến thù lao của ban điều hành hoặc thậm chí đến tính độc lập của một công ty. Ở khía cạnh đó, công bố thông tin giao thoa với thị trường vốn. Việc công bố thông tin phù hợp có thể cảnh báo các cổ đông về những vấn đề mà ban điều hành phải giải quyết, một hình thức minh bạch hóa doanh nghiệp. Trong những tình huống đó, công bố thông tin là một tiểu phạm trù của quá trình quản trị, giúp tạo điều kiện cho cổ đông thực hiện vai trò quản trị ở cấp độ từng công ty cụ thể. Tuy nhiên, trong trường hợp thứ hai, cách tiếp cận này vẫn có những hạn chế.</w:t>
      </w:r>
    </w:p>
    <w:p>
      <w:pPr>
        <w:pStyle w:val="Heading4"/>
      </w:pPr>
      <w:r>
        <w:rPr>
          <w:rFonts w:ascii="Calibri" w:hAnsi="Calibri"/>
          <w:b/>
          <w:i w:val="0"/>
          <w:sz w:val="23"/>
        </w:rPr>
        <w:t xml:space="preserve">Iris H-Y Chiu, </w:t>
      </w:r>
      <w:r>
        <w:rPr>
          <w:rFonts w:ascii="Calibri" w:hAnsi="Calibri"/>
          <w:b/>
          <w:i/>
          <w:sz w:val="23"/>
        </w:rPr>
        <w:t>Reviving Shareholder Stewardship:</w:t>
      </w:r>
      <w:r>
        <w:br/>
      </w:r>
      <w:r>
        <w:rPr>
          <w:rFonts w:ascii="Calibri" w:hAnsi="Calibri"/>
          <w:b/>
          <w:i/>
          <w:sz w:val="23"/>
        </w:rPr>
        <w:t xml:space="preserve"> Critically Examining the Impact of Corporate</w:t>
      </w:r>
      <w:r>
        <w:br/>
      </w:r>
      <w:r>
        <w:rPr>
          <w:rFonts w:ascii="Calibri" w:hAnsi="Calibri"/>
          <w:b/>
          <w:i/>
          <w:sz w:val="23"/>
        </w:rPr>
        <w:t xml:space="preserve"> Transparency Reforms in the UK</w:t>
      </w:r>
    </w:p>
    <w:p>
      <w:pPr>
        <w:spacing w:after="80"/>
      </w:pPr>
      <w:r>
        <w:rPr>
          <w:b w:val="0"/>
          <w:i w:val="0"/>
        </w:rPr>
        <w:t>38 Del. J. Corp. L. 983 (2014)</w:t>
      </w:r>
    </w:p>
    <w:p>
      <w:pPr>
        <w:spacing w:after="80"/>
      </w:pPr>
      <w:r>
        <w:rPr>
          <w:b w:val="0"/>
          <w:i w:val="0"/>
        </w:rPr>
        <w:t>So với Mỹ, khuôn khổ pháp lý cho việc thực thi vai trò quản trị doanh nghiệp của cổ đông ở Anh trao quyền mạnh mẽ hơn nhiều. Tuy nhiên, các vụ kiện phái sinh của cổ đông hoặc kiện tụng về chứng khoán đối với các công ty niêm yết đại chúng lại không phải là chuyện thường thấy, dù được xem như một biểu hiện trong quản trị doanh nghiệp hay như một hình thức kỷ luật thị trường. Việc cổ đông giám sát trong quản trị doanh nghiệp chủ yếu được thể hiện qua các hình thức đối thoại và tương tác phi chính thức với ban điều hành. Điều này đã là chuẩn mực trong thập niên 1980 và 1990, và bản chất của sự tương tác đó có thể được lý giải bởi cơ cấu cổ đông của khu vực doanh nghiệp Anh, vốn được đặc trưng bởi tỷ lệ sở hữu tổ chức cao. . . .</w:t>
      </w:r>
    </w:p>
    <w:p>
      <w:pPr>
        <w:spacing w:after="80"/>
      </w:pPr>
      <w:r>
        <w:rPr>
          <w:b w:val="0"/>
          <w:i w:val="0"/>
        </w:rPr>
        <w:t>* * *</w:t>
      </w:r>
    </w:p>
    <w:p>
      <w:pPr>
        <w:spacing w:after="80"/>
      </w:pPr>
      <w:r>
        <w:rPr>
          <w:b w:val="0"/>
          <w:i w:val="0"/>
        </w:rPr>
        <w:t>Trong hai thập kỷ qua, vai trò quản trị doanh nghiệp của cổ đông ở Anh có thể được xem là đã được trao quyền đầy đủ trong luật công ty, và việc tăng cường minh bạch hóa doanh nghiệp không phục vụ cùng một mục đích như ở Mỹ, tức không đóng vai trò là một nền tảng thay thế cho quản trị doanh nghiệp để bù đắp cho các quyền và quyền hạn có cơ sở trong luật công ty. Các nhà hoạch định chính sách Anh không tán thành việc cổ đông thực thi vai trò quản trị doanh nghiệp thông qua cơ chế kiện tụng chứng khoán tư nhân dựa trên việc công bố thông tin doanh nghiệp bị khiếm khuyết. Do đó, khi Anh phải triển khai luật của EU về các yêu cầu tăng cường minh bạch hóa doanh nghiệp liên quan đến báo cáo chứng khoán định kỳ, Anh đã đưa ra quyết định chính sách nhằm hạn chế các cơ hội kiện tụng dân sự đối với báo cáo chứng khoán định kỳ bị khiếm khuyết, chỉ cho phép nhà đầu tư khởi kiện nếu việc công bố thông tin chứng khoán khiếm khuyết đó là trọng yếu và đã được biết đến hoặc bị che giấu một cách gian dối. Yêu cầu buộc nhà đầu tư phải chứng minh sự hiểu biết hoặc hành vi không trung thực nặng nề hơn nhiều so với giả định gian lận trên thị trường (fraud-on-the-market) được áp dụng có lợi cho nhà đầu tư ở Mỹ.</w:t>
      </w:r>
    </w:p>
    <w:p>
      <w:pPr>
        <w:spacing w:after="80"/>
      </w:pPr>
      <w:r>
        <w:rPr>
          <w:b w:val="0"/>
          <w:i w:val="0"/>
        </w:rPr>
        <w:t>Tóm lại, vai trò quản trị doanh nghiệp của cổ đông ở Anh được xem là một lĩnh vực tách biệt với kỷ luật thị trường trên các thị trường chứng khoán. Điều này cho phép nó được nhìn nhận một cách chính đáng như một vai trò được thực thi trong khuôn khổ tư nhân của các quan hệ nội bộ trong công ty, và không bị đóng khung một cách hẹp hòi quanh vấn đề minh bạch hóa doanh nghiệp và kỷ luật thị trường nhằm bảo đảm tính chính trực trong trách nhiệm giải trình của doanh nghiệp. Vì vậy, minh bạch hóa doanh nghiệp ở Anh là công cụ phục vụ cho quản trị doanh nghiệp, và cung cấp một nền tảng thông tin để cổ đông quyết định cách thức tương tác — dù là phi chính thức hay thông qua việc thực thi các quyền hạn của công ty được quy định trong Companies Act 2006. Tuy nhiên, ở Mỹ, một phần đáng kể của quản trị doanh nghiệp lại được định hình xoay quanh chính vấn đề minh bạch hóa doanh nghiệp, và bản chất của kiểu quản trị đó có thể được xem là bị đóng khung một cách hẹp hòi. Nhưng kiểu quản trị đó, được thể hiện qua kiện tụng chứng khoán tư nhân, lại mang đến một hình thức kỷ luật thị trường hữu hình và sống động.</w:t>
      </w:r>
    </w:p>
    <w:p>
      <w:pPr>
        <w:spacing w:after="80"/>
      </w:pPr>
      <w:r>
        <w:rPr>
          <w:b w:val="0"/>
          <w:i w:val="0"/>
        </w:rPr>
        <w:t>2. Sự thiếu vắng giám sát của cổ đông</w:t>
      </w:r>
    </w:p>
    <w:p>
      <w:pPr>
        <w:spacing w:after="80"/>
      </w:pPr>
      <w:r>
        <w:rPr>
          <w:b w:val="0"/>
          <w:i w:val="0"/>
        </w:rPr>
        <w:t>Sau cuộc khủng hoảng tài chính toàn cầu, niềm tin vào vai trò quản trị doanh nghiệp của cổ đông ở Anh đã bị lung lay. Các nhà hoạch định chính sách ở Anh đã bày tỏ lo ngại rằng tình trạng thiếu vắng giám sát của cổ đông đối với các công ty mà họ đầu tư vẫn dai dẳng. Khuôn khổ pháp lý trao quyền cho quyền của cổ đông cùng việc tăng cường minh bạch hóa doanh nghiệp trong quản trị doanh nghiệp, thù lao của giám đốc và báo cáo tường thuật trong bản đánh giá hoạt động kinh doanh đã không duy trì được một bức tranh sôi động về giám sát của cổ đông. Thứ nhất, có thể lập luận rằng các cổ đông tổ chức, vì đã đa dạng hóa danh mục, không có mối quan tâm sâu sắc đến việc thực thi các quyền quản trị và sẽ "bỏ chạy bằng đôi chân của mình" (bán cổ phần) nếu cần. Do đó, dù ở Anh luôn có bằng chứng về việc cổ đông tổ chức tham gia tương tác, mức độ tham gia đó không thực sự sôi động.</w:t>
      </w:r>
    </w:p>
    <w:p>
      <w:pPr>
        <w:spacing w:after="80"/>
      </w:pPr>
      <w:r>
        <w:rPr>
          <w:b w:val="0"/>
          <w:i w:val="0"/>
        </w:rPr>
        <w:t>Thứ hai, bức tranh sở hữu ở Anh đã thay đổi mạnh mẽ trong khoảng một thập kỷ trở lại đây, khi tỷ lệ sở hữu tổ chức giảm xuống còn khoảng 13 phần trăm từ mức hơn 26 phần trăm vào năm 2008 và hơn 40 phần trăm vào năm 1998, trong khi tỷ lệ sở hữu nước ngoài tăng lên hơn 40 phần trăm. Việc sở hữu tổ chức trong khu vực doanh nghiệp sụt giảm đã làm suy yếu chút ít hoạt động tương tác phi chính thức của cổ đông vốn đã diễn ra cho đến nay. Sự thay đổi trong động lực của các quan hệ quản trị doanh nghiệp đã khiến các nhà hoạch định chính sách nhận ra rằng giả định về một cơ chế tương tác phi chính thức của cổ đông do các tổ chức ở Anh dẫn dắt đang hoạt động hiệu quả có thể ngày càng trở nên sai lệch. Hơn nữa, thập kỷ vừa qua được đánh dấu bởi sự thiếu vắng rõ rệt hoạt động tương tác của cổ đông, khi các nhà đầu tư ngày càng tập trung nhiều hơn vào lợi nhuận thị trường ngắn hạn thay vì giá trị doanh nghiệp cơ bản, trong một thời đại được đặc trưng bởi sự bùng nổ của đổi mới tài chính và sự phát triển của vô số loại công cụ tài chính. Dù vậy, những trường hợp hoạt động cổ đông tích cực mạnh mẽ diễn ra ở Anh đều xuất phát từ hoạt động tích cực của các quỹ đầu cơ (hedge fund), một chiến lược đầu tư tạo điều kiện cho việc "rút ruột giá trị" (value-extraction). Kiểu hoạt động cổ đông tích cực đó có lợi hay không cho sự ổn định lâu dài của công ty thì vẫn còn đáng ngờ.</w:t>
      </w:r>
    </w:p>
    <w:p>
      <w:pPr>
        <w:spacing w:after="80"/>
      </w:pPr>
      <w:r>
        <w:rPr>
          <w:b w:val="0"/>
          <w:i w:val="0"/>
        </w:rPr>
        <w:t>* * *</w:t>
      </w:r>
    </w:p>
    <w:p>
      <w:pPr>
        <w:spacing w:after="80"/>
      </w:pPr>
      <w:r>
        <w:rPr>
          <w:b w:val="0"/>
          <w:i w:val="0"/>
        </w:rPr>
        <w:t>. . . [T]he vai trò quản trị doanh nghiệp của cổ đông ở Anh được xem là một lĩnh vực tách biệt với kỷ luật thị trường trên các thị trường chứng khoán. Điều này cho phép nó được nhìn nhận một cách chính đáng như một vai trò được thực thi trong khuôn khổ tư nhân của các quan hệ nội bộ trong công ty, và không bị đóng khung một cách hẹp hòi quanh vấn đề minh bạch hóa doanh nghiệp và kỷ luật thị trường nhằm bảo đảm tính chính trực trong trách nhiệm giải trình của doanh nghiệp. Vì vậy, minh bạch hóa doanh nghiệp ở Anh là công cụ phục vụ cho quản trị doanh nghiệp, và cung cấp một nền tảng thông tin để cổ đông quyết định cách thức tương tác — dù là phi chính thức hay thông qua việc thực thi các quyền hạn của công ty được quy định trong Companies Act 2006. Tuy nhiên, ở Mỹ, một phần đáng kể của quản trị doanh nghiệp lại được định hình xoay quanh chính vấn đề minh bạch hóa doanh nghiệp, và bản chất của kiểu quản trị đó có thể được xem là bị đóng khung một cách hẹp hòi. Nhưng kiểu quản trị đó, được thể hiện qua kiện tụng chứng khoán tư nhân, lại mang đến một hình thức kỷ luật thị trường hữu hình và sống động.</w:t>
      </w:r>
    </w:p>
    <w:p>
      <w:pPr>
        <w:pStyle w:val="Heading5"/>
      </w:pPr>
      <w:r>
        <w:rPr>
          <w:rFonts w:ascii="Calibri" w:hAnsi="Calibri"/>
          <w:b/>
          <w:i/>
          <w:sz w:val="22"/>
        </w:rPr>
        <w:t>Bình luận và Câu hỏi</w:t>
      </w:r>
    </w:p>
    <w:p>
      <w:pPr>
        <w:spacing w:after="80"/>
      </w:pPr>
      <w:r>
        <w:rPr>
          <w:b w:val="0"/>
          <w:i w:val="0"/>
        </w:rPr>
        <w:t>1. Bài viết này gợi ý rằng ở Anh, công bố thông tin theo truyền thống được xem là một tiểu phạm trù của quản trị, được thiết kế để cung cấp cho cổ đông những thông tin cần thiết nhằm đóng vai trò có ý nghĩa trong quá trình quản trị, nhưng không nhất thiết để tạo điều kiện cho kỷ luật thị trường. Những điểm mạnh và điểm yếu của cách tiếp cận này là gì?</w:t>
      </w:r>
    </w:p>
    <w:p>
      <w:pPr>
        <w:spacing w:after="80"/>
      </w:pPr>
      <w:r>
        <w:rPr>
          <w:b w:val="0"/>
          <w:i w:val="0"/>
        </w:rPr>
        <w:t>2. Cách tiếp cận này có hiệu quả với mọi cấu hình sở hữu không? Một số yếu tố đã tạo điều kiện cho việc sử dụng mô hình này ở Anh là gì và chúng đang thay đổi như thế nào? Những thay đổi này đang tác động đến mô hình này ra sao?</w:t>
      </w:r>
    </w:p>
    <w:p>
      <w:pPr>
        <w:spacing w:after="80"/>
      </w:pPr>
      <w:r>
        <w:rPr>
          <w:b w:val="0"/>
          <w:i w:val="0"/>
        </w:rPr>
        <w:t>3. Những cách tiếp cận khác nhau này đối với công bố thông tin có thể thực sự ảnh hưởng đến chế độ công bố thông tin như thế nào? Bạn có thể đưa ra một số ví dụ về những vấn đề quan trọng đối với các cổ đông muốn tương tác với ban điều hành nhưng không nhất thiết quan trọng đối với các thị trường giao dịch hiệu quả (và ngược lại) không?</w:t>
      </w:r>
    </w:p>
    <w:p>
      <w:pPr>
        <w:spacing w:after="80"/>
      </w:pPr>
      <w:r>
        <w:rPr>
          <w:b w:val="0"/>
          <w:i w:val="0"/>
        </w:rPr>
        <w:t>4. Một số vấn đề đã nảy sinh ở Vương quốc Anh có thể tạo động lực để giảm bớt sự phụ thuộc vào “sự tham gia của cổ đông tổ chức” (institutional shareholder engagement) như một phương tiện kỷ luật ban quản lý là gì? Bạn có thể lập luận rằng chế độ quản lý ở Mỹ đang tiến tới một mô hình “sự tham gia của cổ đông tổ chức” không?</w:t>
      </w:r>
    </w:p>
    <w:p>
      <w:pPr>
        <w:spacing w:after="80"/>
      </w:pPr>
      <w:r>
        <w:rPr>
          <w:b w:val="0"/>
          <w:i w:val="0"/>
        </w:rPr>
        <w:t>—————</w:t>
      </w:r>
    </w:p>
    <w:p>
      <w:pPr>
        <w:spacing w:after="80"/>
      </w:pPr>
      <w:r>
        <w:rPr>
          <w:b w:val="0"/>
          <w:i w:val="0"/>
        </w:rPr>
        <w:t>Trong chừng mực mà các thị trường vốn năng động đóng vai trò kỷ luật ban quản lý, điều đó có nghĩa là tất cả các quốc gia nên phấn đấu vì những loại thị trường này không? Mục tiêu đó có khả thi không? Trong chừng mực mà chúng không làm được điều đó, thì vẫn có những lựa chọn thay thế. Các công ty ở một quốc gia có thể niêm yết trên sàn giao dịch của một quốc gia khác.</w:t>
      </w:r>
    </w:p>
    <w:p>
      <w:pPr>
        <w:pStyle w:val="Heading4"/>
      </w:pPr>
      <w:r>
        <w:rPr>
          <w:rFonts w:ascii="Calibri" w:hAnsi="Calibri"/>
          <w:b/>
          <w:i w:val="0"/>
          <w:sz w:val="23"/>
        </w:rPr>
        <w:t xml:space="preserve">Yuliya Gusevaa, </w:t>
      </w:r>
      <w:r>
        <w:rPr>
          <w:rFonts w:ascii="Calibri" w:hAnsi="Calibri"/>
          <w:b/>
          <w:i/>
          <w:sz w:val="23"/>
        </w:rPr>
        <w:t>Cross-Listings and the</w:t>
      </w:r>
      <w:r>
        <w:br/>
      </w:r>
      <w:r>
        <w:rPr>
          <w:rFonts w:ascii="Calibri" w:hAnsi="Calibri"/>
          <w:b/>
          <w:i/>
          <w:sz w:val="23"/>
        </w:rPr>
        <w:t xml:space="preserve"> New World of International Capital: Another Look at the</w:t>
      </w:r>
      <w:r>
        <w:br/>
      </w:r>
      <w:r>
        <w:rPr>
          <w:rFonts w:ascii="Calibri" w:hAnsi="Calibri"/>
          <w:b/>
          <w:i/>
          <w:sz w:val="23"/>
        </w:rPr>
        <w:t xml:space="preserve"> Efficiency and Extraterritoriality of Securities Law</w:t>
      </w:r>
    </w:p>
    <w:p>
      <w:pPr>
        <w:spacing w:after="80"/>
      </w:pPr>
      <w:r>
        <w:rPr>
          <w:b w:val="0"/>
          <w:i w:val="0"/>
        </w:rPr>
        <w:t>44 Geo. J. Int'l L. 411 (2013)</w:t>
      </w:r>
    </w:p>
    <w:p>
      <w:pPr>
        <w:spacing w:after="80"/>
      </w:pPr>
      <w:r>
        <w:rPr>
          <w:b w:val="0"/>
          <w:i w:val="0"/>
        </w:rPr>
        <w:t>B. Chi phí và lợi ích của việc niêm yết chéo (Cross-Listings)</w:t>
      </w:r>
    </w:p>
    <w:p>
      <w:pPr>
        <w:spacing w:after="80"/>
      </w:pPr>
      <w:r>
        <w:rPr>
          <w:b w:val="0"/>
          <w:i w:val="0"/>
        </w:rPr>
        <w:t>. . . [M]ột câu hỏi khó hiểu hơn là tại sao một tổ chức phát hành nước ngoài lại muốn đến cụ thể thị trường Mỹ mặc dù, như đã đề cập trước đó trong bài viết này, (a) các sàn giao dịch toàn cầu khác cung cấp tính thanh khoản, khả năng thực thi và hiệu quả tổng thể của giao dịch tương đương, và (b) các tiêu chuẩn nghiêm ngặt của luật chứng khoán Mỹ và trách nhiệm pháp lý có thể áp dụng cho một FPI [Tổ chức phát hành tư nhân nước ngoài] được niêm yết chéo.</w:t>
      </w:r>
    </w:p>
    <w:p>
      <w:pPr>
        <w:spacing w:after="80"/>
      </w:pPr>
      <w:r>
        <w:rPr>
          <w:b w:val="0"/>
          <w:i w:val="0"/>
        </w:rPr>
        <w:t>Trong lịch sử, có một số động lực để các công ty niêm yết chéo. Đầu tiên xuất phát từ sự phân khúc sâu sắc của thị trường vốn toàn cầu và các vấn đề thông tin liên quan ngăn cản dòng vốn xuyên biên giới. Vì những lý do này, việc niêm yết chéo đã truyền tải thông tin đến các nhà đầu tư Mỹ và ảnh hưởng tích cực đến chi phí vốn của công ty. Thứ hai, việc niêm yết chéo theo truyền thống gắn liền với tính thanh khoản tốt hơn của chứng khoán FPI. Thứ ba, các nhà quản lý nước ngoài tin rằng thông qua việc niêm yết chéo, họ có thể đồng thời đạt được không chỉ tính thanh khoản tốt hơn mà còn cả việc huy động vốn, tiếp thị và các mục tiêu doanh nghiệp khác. Cụ thể, nhiều tổ chức phát hành, đặc biệt là các công ty từ các nền kinh tế đang phát triển, trực tiếp huy động vốn thông qua việc niêm yết chéo. Những tổ chức khác, như các tổ chức phát hành từ các nền kinh tế châu Âu phát triển, đã sử dụng việc niêm yết chéo để tạo chỗ đứng tại Mỹ cho các thương vụ mua lại tiếp theo.</w:t>
      </w:r>
    </w:p>
    <w:p>
      <w:pPr>
        <w:spacing w:after="80"/>
      </w:pPr>
      <w:r>
        <w:rPr>
          <w:b w:val="0"/>
          <w:i w:val="0"/>
        </w:rPr>
        <w:t>Thứ tư, đối với các công ty đa quốc gia, việc niêm yết chéo trên các sàn giao dịch chứng khoán lớn theo truyền thống gắn liền với khả năng “tiếp thị” xuyên biên giới tốt hơn không chỉ đối với cổ phiếu mà còn cả sản phẩm của họ, điều mà theo ý kiến của các nhà quản lý thì lớn hơn chi phí trực tiếp của việc tuân thủ các yêu cầu đăng ký và báo cáo, đặc biệt trong trường hợp khối lượng giao dịch cổ phiếu đủ cao. Cuối cùng, một số học giả tin rằng, bằng cách đến Mỹ, các tổ chức phát hành nước ngoài phát tín hiệu với thế giới rằng họ sẵn sàng chịu sự giám sát của thị trường Mỹ, các cổ đông nguyên đơn tư nhân và các cơ quan quản lý, và do đó bằng cách “ràng buộc” (bonding) mình với Mỹ, họ được thưởng một mức phụ trội định giá (valuation premium) nhất định.</w:t>
      </w:r>
    </w:p>
    <w:p>
      <w:pPr>
        <w:pStyle w:val="Heading5"/>
      </w:pPr>
      <w:r>
        <w:rPr>
          <w:rFonts w:ascii="Calibri" w:hAnsi="Calibri"/>
          <w:b/>
          <w:i/>
          <w:sz w:val="22"/>
        </w:rPr>
        <w:t>Bình luận và Câu hỏi</w:t>
      </w:r>
    </w:p>
    <w:p>
      <w:pPr>
        <w:spacing w:after="80"/>
      </w:pPr>
      <w:r>
        <w:rPr>
          <w:b w:val="0"/>
          <w:i w:val="0"/>
        </w:rPr>
        <w:t>1. Niêm yết chéo xảy ra khi một công ty niêm yết trên nhiều hơn một sàn giao dịch chứng khoán. Tại Mỹ, không có gì lạ khi các công ty có trụ sở tại Trung Quốc và Israel niêm yết chéo tại Mỹ. Một số lý do khiến các công ty làm điều này là gì? Các công ty từ hai quốc gia này có khả năng có động cơ giống nhau hay khác nhau?</w:t>
      </w:r>
    </w:p>
    <w:p>
      <w:pPr>
        <w:spacing w:after="80"/>
      </w:pPr>
      <w:r>
        <w:rPr>
          <w:b w:val="0"/>
          <w:i w:val="0"/>
        </w:rPr>
        <w:t>2. Một số nghiên cứu đã gợi ý rằng việc niêm yết chéo trên các sàn giao dịch chứng khoán Mỹ có thể tạo ra các mức phụ trội định giá đáng kể. Một số giải thích khả dĩ cho mức phụ trội này là gì? Những yếu tố nào có thể ảnh hưởng đến mức phụ trội này?</w:t>
      </w:r>
    </w:p>
    <w:p>
      <w:pPr>
        <w:spacing w:after="80"/>
      </w:pPr>
      <w:r>
        <w:rPr>
          <w:b w:val="0"/>
          <w:i w:val="0"/>
        </w:rPr>
        <w:t xml:space="preserve">3. Quốc gia quê hương của công ty tham gia niêm yết chéo có quan trọng không? Một Báo cáo Nhân viên từ Cục Dự trữ Liên bang NY đã kết luận rằng “các công ty niêm yết chéo tại một thị trường có uy tín hơn sẽ hưởng mức tăng định giá đáng kể trong khoảng thời gian năm năm sau khi niêm yết.” </w:t>
      </w:r>
      <w:r>
        <w:rPr>
          <w:b w:val="0"/>
          <w:i/>
        </w:rPr>
        <w:t>Xem</w:t>
      </w:r>
      <w:r>
        <w:rPr>
          <w:b w:val="0"/>
          <w:i w:val="0"/>
        </w:rPr>
        <w:t xml:space="preserve"> Nicola Cetorelli &amp; Stavros Peristiani, Báo cáo Nhân viên số 747, FRB of NY (tháng 9 năm 2010). Nghiên cứu này có ý gì khi nói “có uy tín hơn”? Tại sao lại có sự gia tăng trong những trường hợp đó? Giả sử bạn là CEO của NYSE. Kết luận này gợi ý điều gì về cải cách quản lý chỉ đạo đối với NYSE?</w:t>
      </w:r>
    </w:p>
    <w:p>
      <w:pPr>
        <w:spacing w:after="80"/>
      </w:pPr>
      <w:r>
        <w:rPr>
          <w:b w:val="0"/>
          <w:i w:val="0"/>
        </w:rPr>
        <w:t xml:space="preserve">4. Không phải tất cả các sàn giao dịch nước ngoài đều cung cấp mức phụ trội định giá. </w:t>
      </w:r>
      <w:r>
        <w:rPr>
          <w:b w:val="0"/>
          <w:i/>
        </w:rPr>
        <w:t>Xem</w:t>
      </w:r>
      <w:r>
        <w:rPr>
          <w:b w:val="0"/>
          <w:i w:val="0"/>
        </w:rPr>
        <w:t xml:space="preserve"> John C. Coffee, Jr., </w:t>
      </w:r>
      <w:r>
        <w:rPr>
          <w:b w:val="0"/>
          <w:i/>
        </w:rPr>
        <w:t>Law and the Market: The Impact of Enforcement</w:t>
      </w:r>
      <w:r>
        <w:rPr>
          <w:b w:val="0"/>
          <w:i w:val="0"/>
        </w:rPr>
        <w:t xml:space="preserve"> , 156 U. Pa. L. Rev. 229 (2007) (lưu ý rằng “các công ty nước ngoài không phải chịu mức phụ trội niêm yết nào khi niêm yết chéo trên Sở Giao dịch Chứng khoán London”). Tại sao lại có thể như vậy? Với điều này, tại sao các công ty lại chọn niêm yết trên LSE thay vì NYSE?</w:t>
      </w:r>
    </w:p>
    <w:p>
      <w:pPr>
        <w:spacing w:after="80"/>
      </w:pPr>
      <w:r>
        <w:rPr>
          <w:b w:val="0"/>
          <w:i w:val="0"/>
        </w:rPr>
        <w:t>5. Các sàn giao dịch có cạnh tranh để giành những trường hợp niêm yết chéo này không? Một số hậu quả khả dĩ của sự cạnh tranh này là gì? Điều này có thể có tác động gì đến cách tiếp cận quản lý của một sàn giao dịch?</w:t>
      </w:r>
    </w:p>
    <w:p>
      <w:pPr>
        <w:pStyle w:val="Heading3"/>
      </w:pPr>
      <w:r>
        <w:rPr>
          <w:rFonts w:ascii="Calibri" w:hAnsi="Calibri"/>
          <w:b/>
          <w:i w:val="0"/>
          <w:sz w:val="26"/>
        </w:rPr>
        <w:t>B. Cổ đông kiểm soát và Giám sát</w:t>
      </w:r>
    </w:p>
    <w:p>
      <w:pPr>
        <w:spacing w:after="80"/>
      </w:pPr>
      <w:r>
        <w:rPr>
          <w:b w:val="0"/>
          <w:i w:val="0"/>
        </w:rPr>
        <w:t xml:space="preserve">Khác với Hoa Kỳ, các công ty đại chúng ở những quốc gia khác thường không có cơ cấu sở hữu phân tán. Thay vào đó, chúng thường có một cổ đông kiểm soát (controlling shareholder) nắm quyền bầu ít nhất là đa số thành viên hội đồng quản trị. </w:t>
      </w:r>
      <w:r>
        <w:rPr>
          <w:b w:val="0"/>
          <w:i/>
        </w:rPr>
        <w:t>Xem</w:t>
      </w:r>
      <w:r>
        <w:rPr>
          <w:b w:val="0"/>
          <w:i w:val="0"/>
        </w:rPr>
        <w:t xml:space="preserve"> Ronald J. Gilson, </w:t>
      </w:r>
      <w:r>
        <w:rPr>
          <w:b w:val="0"/>
          <w:i/>
        </w:rPr>
        <w:t>Controlling Shareholders and Corporate Governance: Complicating the Comparative Taxonomy</w:t>
      </w:r>
      <w:r>
        <w:rPr>
          <w:b w:val="0"/>
          <w:i w:val="0"/>
        </w:rPr>
        <w:t xml:space="preserve"> , 119 Harv. L. Rev. 1641 (2006). Cổ đông kiểm soát có thể là nhà đầu tư, tập đoàn công nghiệp, hoặc các gia đình. Họ có thể sở hữu cổ phần trực tiếp hoặc gián tiếp, thường thông qua cấu trúc sở hữu hình kim tự tháp (pyramid ownership structure).</w:t>
      </w:r>
    </w:p>
    <w:p>
      <w:pPr>
        <w:spacing w:after="80"/>
      </w:pPr>
      <w:r>
        <w:rPr>
          <w:b w:val="0"/>
          <w:i w:val="0"/>
        </w:rPr>
        <w:t xml:space="preserve">Sự hiện diện của cổ đông kiểm soát có thể mang lại một số lợi ích. </w:t>
      </w:r>
      <w:r>
        <w:rPr>
          <w:b w:val="0"/>
          <w:i/>
        </w:rPr>
        <w:t>Xem</w:t>
      </w:r>
      <w:r>
        <w:rPr>
          <w:b w:val="0"/>
          <w:i w:val="0"/>
        </w:rPr>
        <w:t xml:space="preserve"> Lucian A. Bebchuk &amp; Assaf Hamdani, </w:t>
      </w:r>
      <w:r>
        <w:rPr>
          <w:b w:val="0"/>
          <w:i/>
        </w:rPr>
        <w:t>The Elusive Quest for Global Governance Standards</w:t>
      </w:r>
      <w:r>
        <w:rPr>
          <w:b w:val="0"/>
          <w:i w:val="0"/>
        </w:rPr>
        <w:t xml:space="preserve"> , 157 U. Pa. L. Rev. 1263, 1281 (2009) (“cổ đông kiểm soát thường có cả phương tiện hữu hiệu để giám sát ban điều hành lẫn động cơ để làm việc đó.”). Đồng thời, cấu hình sở hữu này có thể cho phép cổ đông kiểm soát thực hiện hành vi trục lợi (rent seeking).</w:t>
      </w:r>
    </w:p>
    <w:p>
      <w:pPr>
        <w:pStyle w:val="Heading4"/>
      </w:pPr>
      <w:r>
        <w:rPr>
          <w:rFonts w:ascii="Calibri" w:hAnsi="Calibri"/>
          <w:b/>
          <w:i w:val="0"/>
          <w:sz w:val="23"/>
        </w:rPr>
        <w:t xml:space="preserve">Erica Gorga, </w:t>
      </w:r>
      <w:r>
        <w:rPr>
          <w:rFonts w:ascii="Calibri" w:hAnsi="Calibri"/>
          <w:b/>
          <w:i/>
          <w:sz w:val="23"/>
        </w:rPr>
        <w:t>Changing the Paradigm of Stock Ownership from</w:t>
      </w:r>
      <w:r>
        <w:br/>
      </w:r>
      <w:r>
        <w:rPr>
          <w:rFonts w:ascii="Calibri" w:hAnsi="Calibri"/>
          <w:b/>
          <w:i/>
          <w:sz w:val="23"/>
        </w:rPr>
        <w:t xml:space="preserve"> Concentrated towards Dispersed Ownership? Evidence from</w:t>
      </w:r>
      <w:r>
        <w:br/>
      </w:r>
      <w:r>
        <w:rPr>
          <w:rFonts w:ascii="Calibri" w:hAnsi="Calibri"/>
          <w:b/>
          <w:i/>
          <w:sz w:val="23"/>
        </w:rPr>
        <w:t xml:space="preserve"> Brazil and Consequences for Emerging Countries</w:t>
      </w:r>
    </w:p>
    <w:p>
      <w:pPr>
        <w:spacing w:after="80"/>
      </w:pPr>
      <w:r>
        <w:rPr>
          <w:b w:val="0"/>
          <w:i w:val="0"/>
        </w:rPr>
        <w:t>29 Nw. J. Int'l L. &amp; Bus. 439, 498–99 (2009)</w:t>
      </w:r>
    </w:p>
    <w:p>
      <w:pPr>
        <w:spacing w:after="80"/>
      </w:pPr>
      <w:r>
        <w:rPr>
          <w:b w:val="0"/>
          <w:i w:val="0"/>
        </w:rPr>
        <w:t>I. Sở thích và động cơ của cổ đông kiểm soát</w:t>
      </w:r>
    </w:p>
    <w:p>
      <w:pPr>
        <w:spacing w:after="80"/>
      </w:pPr>
      <w:r>
        <w:rPr>
          <w:b w:val="0"/>
          <w:i w:val="0"/>
        </w:rPr>
        <w:t>Cổ đông kiểm soát phải gánh chịu những chi phí đáng kể để duy trì sự tập trung quyền sở hữu và quyền biểu quyết. Họ chịu chi phí cơ hội (opportunity cost) khi nắm giữ một danh mục đầu tư không đa dạng hóa, các chi phí liên quan đến việc khoản đầu tư thiếu tính thanh khoản, và chi phí giám sát hoạt động của công ty để đảm bảo rằng họ sẽ thu được lợi nhuận từ khoản đầu tư của mình. Cổ đông kiểm soát được hưởng lợi bằng cách trích xuất lợi ích riêng (private benefits) từ công ty để đổi lấy những chi phí mà họ phải gánh chịu.</w:t>
      </w:r>
    </w:p>
    <w:p>
      <w:pPr>
        <w:spacing w:after="80"/>
      </w:pPr>
      <w:r>
        <w:rPr>
          <w:b w:val="0"/>
          <w:i w:val="0"/>
        </w:rPr>
        <w:t>Một mức độ trích xuất lợi ích nào đó của cổ đông kiểm soát có thể là hiệu quả đối với công ty và cả các cổ đông không kiểm soát. Cổ đông kiểm soát có thể làm tốt hơn trong việc kiểm soát ban điều hành của các công ty đại chúng so với những gì các kỹ thuật định hướng thị trường có thể đạt được ở các công ty có sở hữu phân tán. Cổ đông kiểm soát có chi phí thông tin thấp hơn và có động cơ theo dõi sát sao những gì đang diễn ra trong công ty, và do đó có thể ở vị trí tốt nhất để nhận ra các vấn đề có thể làm tổn hại đến kết quả kinh doanh của công ty. Trước thực tế này, cổ đông kiểm soát có thể đóng vai trò như một giải pháp hiệu quả cho các vấn đề đại diện (agency problems) phát sinh ở những công ty có sở hữu phân tán rộng. Cổ đông kiểm soát sẽ gia tăng năng suất, tạo ra lợi ích cho cả các cổ đông không kiểm soát. Do đó, các cổ đông không kiểm soát nên ưu tiên việc để cổ đông kiểm soát quản lý công ty, miễn là những lợi ích từ việc “giảm chi phí đại diện trong quản lý” biện minh cho những lợi ích riêng mà cổ đông kiểm soát trích xuất. Sự cân bằng này là điều mà các Giáo sư Gilson và Gordon gọi là “sự đánh đổi của cổ đông kiểm soát” (the controlling shareholder trade off).</w:t>
      </w:r>
    </w:p>
    <w:p>
      <w:pPr>
        <w:spacing w:after="80"/>
      </w:pPr>
      <w:r>
        <w:rPr>
          <w:b w:val="0"/>
          <w:i w:val="0"/>
        </w:rPr>
        <w:t>Sử dụng khuôn khổ này, có vẻ như một hệ thống quản trị công ty nên đạt được sự đánh đổi tích cực từ các cấu trúc cổ đông kiểm soát. Nói cách khác, vấn đề là chuyển đổi một cấu trúc có đặc điểm là các cổ đông kiểm soát kém hiệu quả, vốn đã quen với việc trích xuất nhiều lợi ích riêng từ quyền kiểm soát, thành một cấu trúc có đặc điểm là các cổ đông kiểm soát hiệu quả, mà việc giám sát của họ tạo ra lợi ích vượt quá chi phí trích xuất lợi ích riêng. Điều này sẽ khiến các cổ đông thiểu số có vị thế tốt hơn dưới sự quản lý của cổ đông kiểm soát, nâng cao mức độ tin cậy chung trên các thị trường vốn.</w:t>
      </w:r>
    </w:p>
    <w:p>
      <w:pPr>
        <w:spacing w:after="80"/>
      </w:pPr>
      <w:r>
        <w:rPr>
          <w:b w:val="0"/>
          <w:i w:val="0"/>
        </w:rPr>
        <w:t>Gilson đưa ra giả thuyết rằng “một hệ thống cổ đông kiểm soát hiệu quả hỗ trợ sự đa dạng của các cấu trúc phân bổ cổ đông[]” giữa các công ty. Ông đưa ra các ví dụ từ Thụy Điển và Ý, cho thấy Thụy Điển (một quốc gia có “luật tốt”) có sở hữu phân tán rộng hơn đáng kể so với Ý (một quốc gia có “luật kém”), mặc dù thực tế là cả hai hệ thống đều được coi là bị chi phối bởi cổ đông kiểm soát. Theo giả thuyết của Gilson, các hệ thống cổ đông kiểm soát kém hiệu quả cho thấy ít sự đa dạng hơn trong phân bổ quyền sở hữu cổ phần.</w:t>
      </w:r>
    </w:p>
    <w:p>
      <w:pPr>
        <w:pStyle w:val="Heading5"/>
      </w:pPr>
      <w:r>
        <w:rPr>
          <w:rFonts w:ascii="Calibri" w:hAnsi="Calibri"/>
          <w:b/>
          <w:i/>
          <w:sz w:val="22"/>
        </w:rPr>
        <w:t>Bình luận và Câu hỏi</w:t>
      </w:r>
    </w:p>
    <w:p>
      <w:pPr>
        <w:spacing w:after="80"/>
      </w:pPr>
      <w:r>
        <w:rPr>
          <w:b w:val="0"/>
          <w:i w:val="0"/>
        </w:rPr>
        <w:t xml:space="preserve">1. Lợi ích được trích xuất bởi cổ đông kiểm soát được gọi là “tunneling” (đào hầm). </w:t>
      </w:r>
      <w:r>
        <w:rPr>
          <w:b w:val="0"/>
          <w:i/>
        </w:rPr>
        <w:t>Xem</w:t>
      </w:r>
      <w:r>
        <w:rPr>
          <w:b w:val="0"/>
          <w:i w:val="0"/>
        </w:rPr>
        <w:t xml:space="preserve"> Simon Johnson, et al., </w:t>
      </w:r>
      <w:r>
        <w:rPr>
          <w:b w:val="0"/>
          <w:i/>
        </w:rPr>
        <w:t>Tunneling</w:t>
      </w:r>
      <w:r>
        <w:rPr>
          <w:b w:val="0"/>
          <w:i w:val="0"/>
        </w:rPr>
        <w:t xml:space="preserve"> , 90 Am. Econ. Rev. 22 (2000). Tự giao dịch (self-dealing) là cách nói phổ biến hơn. Một số cơ chế mà cổ đông kiểm soát có thể sử dụng để trích xuất lợi ích từ công ty gây thiệt hại cho các cổ đông là gì? Những loại yêu cầu quản trị nào có thể giảm thiểu loại hoạt động này?</w:t>
      </w:r>
    </w:p>
    <w:p>
      <w:pPr>
        <w:spacing w:after="80"/>
      </w:pPr>
      <w:r>
        <w:rPr>
          <w:b w:val="0"/>
          <w:i w:val="0"/>
        </w:rPr>
        <w:t>2. Như đã lưu ý, mô hình cổ đông kiểm soát phổ biến bên ngoài Hoa Kỳ. Theo một nhà bình luận, “từ 80 phần trăm đến 95 phần trăm các công ty niêm yết ở Áo, Bỉ, Đức và Hà Lan có một cổ đông duy nhất nắm hơn 25 phần trăm số phiếu. Ở Ý, Tây Ban Nha và Thụy Điển, con số này là khoảng hai phần ba số công ty. Ngược lại, ở Anh con số này là 16 phần trăm và ở Hoa Kỳ là từ 5 phần trăm đến 7 phần trăm.” MARCH BECHT &amp; COLIN MAYER , MARKET DISCIPLINE ACROSS COUNTRIES AND DISCIPLINES , Ch. 21, Corporate Governance in Europe: Competition v. Harmonization 257 (MIT Press 2004). Điều này tạo ra sự khác biệt gì trong thảo luận về quản trị công ty so sánh?</w:t>
      </w:r>
    </w:p>
    <w:p>
      <w:pPr>
        <w:spacing w:after="80"/>
      </w:pPr>
      <w:r>
        <w:rPr>
          <w:b w:val="0"/>
          <w:i w:val="0"/>
        </w:rPr>
        <w:t xml:space="preserve">3. Những lợi thế của mô hình cổ đông kiểm soát là gì? Còn những bất lợi thì sao? Khi nào việc sử dụng cổ đông kiểm soát làm người giám sát sẽ mang lại lợi ích cho các nhà đầu tư không kiểm soát? Theo Giáo sư Gilson: “[M]ột cổ đông kiểm soát có thể kiểm soát ban điều hành của các công ty đại chúng tốt hơn so với bộ kỹ thuật định hướng thị trường tiêu chuẩn được sử dụng khi quyền sở hữu cổ phần được nắm giữ rộng rãi.” Ronald J. Gilson, </w:t>
      </w:r>
      <w:r>
        <w:rPr>
          <w:b w:val="0"/>
          <w:i/>
        </w:rPr>
        <w:t>Controlling Shareholders and Corporate Governance: Complicating the Comparative Taxonomy, 119 HARV . L. REV . 1641</w:t>
      </w:r>
      <w:r>
        <w:rPr>
          <w:b w:val="0"/>
          <w:i w:val="0"/>
        </w:rPr>
        <w:t xml:space="preserve"> (2006). Khi nào thì điều này có thể đúng? Giáo sư Gilson, như bài viết trên đã lưu ý, phân biệt vai trò của cổ đông kiểm soát ở các quốc gia có luật “tốt” và luật “kém”. Điều gì phân biệt hai loại này và tại sao “luật” lại quan trọng?</w:t>
      </w:r>
    </w:p>
    <w:p>
      <w:pPr>
        <w:spacing w:after="80"/>
      </w:pPr>
      <w:r>
        <w:rPr>
          <w:b w:val="0"/>
          <w:i w:val="0"/>
        </w:rPr>
        <w:t xml:space="preserve">4. Những cổ đông kiểm soát này là ai? “Các gia đình là nhóm cổ đông lớn quan trọng nhất ở Pháp, Tây Ban Nha và Ý.” Christoph Van der Elst, </w:t>
      </w:r>
      <w:r>
        <w:rPr>
          <w:b w:val="0"/>
          <w:i/>
        </w:rPr>
        <w:t>Shareholder Mobility in Five European Countries</w:t>
      </w:r>
      <w:r>
        <w:rPr>
          <w:b w:val="0"/>
          <w:i w:val="0"/>
        </w:rPr>
        <w:t xml:space="preserve"> , ECGI-Law Working Paper No. 104, at 30 (2008). Ngược lại, “cổ đông nước ngoài là nhóm cổ đông lớn quan trọng nhất ở Anh . . . Gần 30% các công ty Anh có loại cổ đông này là cổ đông lớn nhất vào năm 2007.” </w:t>
      </w:r>
      <w:r>
        <w:rPr>
          <w:b w:val="0"/>
          <w:i/>
        </w:rPr>
        <w:t>Id.</w:t>
      </w:r>
      <w:r>
        <w:rPr>
          <w:b w:val="0"/>
          <w:i w:val="0"/>
        </w:rPr>
        <w:t xml:space="preserve"> at 31. Còn các ngân hàng thì sao? </w:t>
      </w:r>
      <w:r>
        <w:rPr>
          <w:b w:val="0"/>
          <w:i/>
        </w:rPr>
        <w:t>Id.</w:t>
      </w:r>
      <w:r>
        <w:rPr>
          <w:b w:val="0"/>
          <w:i w:val="0"/>
        </w:rPr>
        <w:t xml:space="preserve"> (“Số lượng công ty Tây Ban Nha có ngân hàng là cổ đông lớn nhất đã giảm từ 15% năm 1999 xuống 12% vào năm 2007. Ngân hàng không đáng kể với vai trò cổ đông lớn nhất ở các quốc gia khác.”). Loại cổ đông kiểm soát có thể có tác động gì đến quá trình giám sát?</w:t>
      </w:r>
    </w:p>
    <w:p>
      <w:pPr>
        <w:spacing w:after="80"/>
      </w:pPr>
      <w:r>
        <w:rPr>
          <w:b w:val="0"/>
          <w:i w:val="0"/>
        </w:rPr>
        <w:t xml:space="preserve">5. Nếu cổ đông kiểm soát là chính phủ thì sao? Chính phủ Trung Quốc sở hữu một phần đáng kể trong hầu hết các công ty niêm yết. </w:t>
      </w:r>
      <w:r>
        <w:rPr>
          <w:b w:val="0"/>
          <w:i/>
        </w:rPr>
        <w:t>Xem</w:t>
      </w:r>
      <w:r>
        <w:rPr>
          <w:b w:val="0"/>
          <w:i w:val="0"/>
        </w:rPr>
        <w:t xml:space="preserve"> Benjamin L. Liebman &amp; Curtis J. Milhaupt, </w:t>
      </w:r>
      <w:r>
        <w:rPr>
          <w:b w:val="0"/>
          <w:i/>
        </w:rPr>
        <w:t>Reputational Sanctions in China's Securities Market</w:t>
      </w:r>
      <w:r>
        <w:rPr>
          <w:b w:val="0"/>
          <w:i w:val="0"/>
        </w:rPr>
        <w:t xml:space="preserve"> , 108 Colum. L. Rev. 929, 938 (2008) (nêu rằng khoảng 60% cổ phần của các công ty giao dịch trên sàn ở Trung Quốc thuộc sở hữu của nhà nước hoặc các đơn vị liên kết nhà nước). Điều này có thể có tác động gì đến các cổ đông thiểu số? </w:t>
      </w:r>
      <w:r>
        <w:rPr>
          <w:b w:val="0"/>
          <w:i/>
        </w:rPr>
        <w:t>Xem</w:t>
      </w:r>
      <w:r>
        <w:rPr>
          <w:b w:val="0"/>
          <w:i w:val="0"/>
        </w:rPr>
        <w:t xml:space="preserve"> Chenxia Shi, </w:t>
      </w:r>
      <w:r>
        <w:rPr>
          <w:b w:val="0"/>
          <w:i/>
        </w:rPr>
        <w:t>Protecting Investors in China Through Multiple Regulatory Mechanisms and Effective Enforcement</w:t>
      </w:r>
      <w:r>
        <w:rPr>
          <w:b w:val="0"/>
          <w:i w:val="0"/>
        </w:rPr>
        <w:t xml:space="preserve"> , 24 Ariz. J. Int'l &amp; Comp. Law 451, 483 (2007) (“Lợi ích của các cổ đông thiểu số [ở Trung Quốc] không được bảo vệ đầy đủ vì nhà nước là cổ đông kiểm soát trong hầu hết các công ty niêm yết.”). Điều này có thể ảnh hưởng như thế nào đến hệ thống quản trị ở các công ty Trung Quốc?</w:t>
      </w:r>
    </w:p>
    <w:p>
      <w:pPr>
        <w:pStyle w:val="Heading3"/>
      </w:pPr>
      <w:r>
        <w:rPr>
          <w:rFonts w:ascii="Calibri" w:hAnsi="Calibri"/>
          <w:b/>
          <w:i w:val="0"/>
          <w:sz w:val="26"/>
        </w:rPr>
        <w:t>C. Ngân hàng và Giám sát</w:t>
      </w:r>
    </w:p>
    <w:p>
      <w:pPr>
        <w:spacing w:after="80"/>
      </w:pPr>
      <w:r>
        <w:rPr>
          <w:b w:val="0"/>
          <w:i w:val="0"/>
        </w:rPr>
        <w:t>Các ngân hàng cũng có thể là một nguồn giám sát quan trọng. Đặc biệt ở những quốc gia có hệ thống vốn kém phát triển, các tổ chức tài chính thường là nguồn cung cấp vốn dài hạn quan trọng cho các công ty đại chúng. Với tư cách là bên cho vay, các ngân hàng có động cơ để giám sát. Họ sẽ tìm cách đảm bảo rằng ban điều hành hành động theo cách có khả năng cao nhất để đảm bảo việc hoàn trả bất kỳ khoản vay nào.</w:t>
      </w:r>
    </w:p>
    <w:p>
      <w:pPr>
        <w:spacing w:after="80"/>
      </w:pPr>
      <w:r>
        <w:rPr>
          <w:b w:val="0"/>
          <w:i w:val="0"/>
        </w:rPr>
        <w:t>Các ngân hàng thường có quyền tiếp cận thông tin tốt hơn thị trường. Người đi vay có thể cung cấp thông tin theo các điều khoản của hợp đồng vay. Các ngân hàng đôi khi cũng cử đại diện trực tiếp vào hội đồng quản trị. Điều này có thể đúng ngay cả khi họ sở hữu một phần vốn cổ phần đang lưu hành không đáng kể.</w:t>
      </w:r>
    </w:p>
    <w:p>
      <w:pPr>
        <w:spacing w:after="80"/>
      </w:pPr>
      <w:r>
        <w:rPr>
          <w:b w:val="0"/>
          <w:i w:val="0"/>
        </w:rPr>
        <w:t>Ít nhất ở một số nền kinh tế, ban điều hành có động cơ tuân theo những lời khuyên mà các ngân hàng đưa ra. Đôi khi họ buộc phải làm vậy theo các điều khoản của thỏa thuận cho vay. Trong những trường hợp khác, ảnh hưởng này tinh tế hơn. Các công ty làm vậy để duy trì mối quan hệ chặt chẽ với những ngân hàng cụ thể và đảm bảo nguồn cung vốn dài hạn liên tục.</w:t>
      </w:r>
    </w:p>
    <w:p>
      <w:pPr>
        <w:spacing w:after="80"/>
      </w:pPr>
      <w:r>
        <w:rPr>
          <w:b w:val="0"/>
          <w:i w:val="0"/>
        </w:rPr>
        <w:t>Ví dụ được nghiên cứu rộng rãi nhất về giám sát của ngân hàng diễn ra ở Nhật Bản. Trong phần lớn thời kỳ hậu chiến, các công ty đại chúng dựa vào ngân hàng chính hay ngân hàng chủ đạo của mình cho hầu hết nhu cầu vốn.</w:t>
      </w:r>
    </w:p>
    <w:p>
      <w:pPr>
        <w:pStyle w:val="Heading4"/>
      </w:pPr>
      <w:r>
        <w:rPr>
          <w:rFonts w:ascii="Calibri" w:hAnsi="Calibri"/>
          <w:b/>
          <w:i w:val="0"/>
          <w:sz w:val="23"/>
        </w:rPr>
        <w:t xml:space="preserve">Dan W. Puchniak, </w:t>
      </w:r>
      <w:r>
        <w:rPr>
          <w:rFonts w:ascii="Calibri" w:hAnsi="Calibri"/>
          <w:b/>
          <w:i/>
          <w:sz w:val="23"/>
        </w:rPr>
        <w:t>The Efficiency of Friendliness:</w:t>
      </w:r>
      <w:r>
        <w:br/>
      </w:r>
      <w:r>
        <w:rPr>
          <w:rFonts w:ascii="Calibri" w:hAnsi="Calibri"/>
          <w:b/>
          <w:i/>
          <w:sz w:val="23"/>
        </w:rPr>
        <w:t xml:space="preserve"> Japanese Corporate Governance Succeeds</w:t>
      </w:r>
      <w:r>
        <w:br/>
      </w:r>
      <w:r>
        <w:rPr>
          <w:rFonts w:ascii="Calibri" w:hAnsi="Calibri"/>
          <w:b/>
          <w:i/>
          <w:sz w:val="23"/>
        </w:rPr>
        <w:t xml:space="preserve"> Again without Hostile Takeovers</w:t>
      </w:r>
    </w:p>
    <w:p>
      <w:pPr>
        <w:spacing w:after="80"/>
      </w:pPr>
      <w:r>
        <w:rPr>
          <w:b w:val="0"/>
          <w:i w:val="0"/>
        </w:rPr>
        <w:t>5 Berkeley Bus. L.J. 195, 206–208 (2008)</w:t>
      </w:r>
    </w:p>
    <w:p>
      <w:pPr>
        <w:spacing w:after="80"/>
      </w:pPr>
      <w:r>
        <w:rPr>
          <w:b w:val="0"/>
          <w:i w:val="0"/>
        </w:rPr>
        <w:t>. . . Mặc dù các công ty Nhật Bản vay từ nhiều ngân hàng, hầu hết các công ty chỉ có mối quan hệ đặc biệt với một ngân hàng: ngân hàng chính của họ. Thông thường, các ngân hàng chính nắm giữ các tài khoản thanh toán bù trừ chủ yếu, đồng thời vừa là bên cho vay đơn lẻ lớn nhất vừa là cổ đông chính của công ty. Điều này khiến các ngân hàng chính trở thành kho lưu trữ trung tâm thông tin chính xác theo thời gian thực về sức khỏe tài chính và các dự án kinh doanh của doanh nghiệp. Một khía cạnh then chốt khác trong mối quan hệ của các ngân hàng chính với khách hàng doanh nghiệp của họ là các ngân hàng chính đưa ra một lời hứa ngầm rằng sẽ tái cơ cấu các doanh nghiệp thua lỗ trong thời kỳ khủng hoảng tài chính hoặc quản lý, thay vì tịch thu tài sản thế chấp để thu hồi các khoản vay—một lời hứa khả thi nhờ lời hứa ngầm của chính phủ rằng sẽ ngăn chặn sự sụp đổ của ngân hàng chính.</w:t>
      </w:r>
    </w:p>
    <w:p>
      <w:pPr>
        <w:spacing w:after="80"/>
      </w:pPr>
      <w:r>
        <w:rPr>
          <w:b w:val="0"/>
          <w:i w:val="0"/>
        </w:rPr>
        <w:t>. . . [T]hì mối quan hệ thân thiết lâu dài này giữa các ngân hàng chính và các công ty khách hàng được xem là đỉnh cao của hiệu quả. Việc có sẵn quyền tiếp cận nguồn thông tin chính xác phong phú về các doanh nghiệp khách hàng cho phép các ngân hàng chính này đánh giá hiệu quả hoạt động của ban điều hành một cách hiệu quả. Hơn nữa, các vị thế nợ và vốn cổ phần đáng kể của ngân hàng chính với các công ty khách hàng cho họ đòn bẩy để sử dụng thông tin của mình nhằm gây ảnh hưởng đến các quyết định của ban điều hành và, khi cần thiết, kiểm soát chi phí đại diện bằng cách thay thế ban lãnh đạo cấp cao và đưa các thành viên của ngân hàng vào hội đồng quản trị công ty. Lời hứa của ngân hàng chính rằng sẽ cố gắng tái cơ cấu các khách hàng hoạt động kém cho phép các công ty theo đuổi các mục tiêu dài hạn và đầu tư vào vốn con người, vốn là thành phần trung tâm trong lợi thế cạnh tranh của Nhật Bản so với Hoa Kỳ trong thời kỳ tăng trưởng cao của Nhật Bản (1950–1973).</w:t>
      </w:r>
    </w:p>
    <w:p>
      <w:pPr>
        <w:spacing w:after="80"/>
      </w:pPr>
      <w:r>
        <w:rPr>
          <w:b w:val="0"/>
          <w:i w:val="0"/>
        </w:rPr>
        <w:t>Ngoài ra, việc giám sát của ngân hàng chính đã tránh được nhiều khiếm khuyết trong mô hình quản trị doanh nghiệp kiểu Mỹ dựa trên các thương vụ thâu tóm thù địch. Các ngân hàng chính không gặp phải những vấn đề hành động tập thể và bất cân xứng thông tin giống như các cổ đông phân tán, và không giống các thương vụ thâu tóm thù địch, họ không buộc các nhà quản lý phải tập trung cận thị vào lợi nhuận ngắn hạn theo quý. Lời hứa của ngân hàng chính rằng sẽ giúp tái cơ cấu các công ty khách hàng thua lỗ cũng ngăn chặn việc các tài sản đặc thù có giá trị của doanh nghiệp bị lãng phí do thanh lý sớm và tránh được những chi phí đáng kể liên quan đến phá sản chính thức.</w:t>
      </w:r>
    </w:p>
    <w:p>
      <w:pPr>
        <w:spacing w:after="80"/>
      </w:pPr>
      <w:r>
        <w:rPr>
          <w:b w:val="0"/>
          <w:i w:val="0"/>
        </w:rPr>
        <w:t>Keiretsu và các khoản nắm giữ cổ phần ổn định là yếu tố cơ bản thứ hai của mô hình ngân hàng chính, tạo ra một sự thay thế hiệu quả cho các thương vụ thâu tóm thù địch. Keiretsu về cơ bản là tên gọi của sáu tập đoàn doanh nghiệp lớn ở Nhật Bản, bao gồm gần như hoàn toàn các công ty "blue chip" của Nhật Bản. Các tập đoàn doanh nghiệp này có mối liên kết chặt chẽ với nhau, không chỉ thông qua việc nắm giữ cổ phần chéo hay đan xen, mà còn thông qua các giám đốc kiêm nhiệm, trao đổi trên thị trường sản phẩm, trao đổi thông tin và chia sẻ một ngân hàng chính trung tâm. Trong thời kỳ hậu chiến, ở đỉnh cao của hình thức tổ chức doanh nghiệp này, khoảng hai phần ba tổng số cổ phần công ty ở Nhật Bản được nắm giữ bởi các cổ đông doanh nghiệp ổn định thân thiện với ban điều hành.</w:t>
      </w:r>
    </w:p>
    <w:p>
      <w:pPr>
        <w:spacing w:after="80"/>
      </w:pPr>
      <w:r>
        <w:rPr>
          <w:b w:val="0"/>
          <w:i w:val="0"/>
        </w:rPr>
        <w:t>Keiretsu nói riêng, và các mối quan hệ nắm giữ cổ phần ổn định nói chung, đã củng cố sự ổn định và sự tập trung quản lý dài hạn mà các ngân hàng chính mang lại cho các công ty khách hàng của họ. Điều này là vì việc nắm giữ cổ phần ổn định đã loại bỏ mối đe dọa thâu tóm thù địch—cho phép các nhà quản lý tập trung vào các khoản đầu tư dài hạn, củng cố vốn con người và đảm bảo việc làm dài hạn cho bản thân họ và đồng nghiệp. Điều này khiến cả nhân viên cổ cồn trắng lẫn cổ cồn xanh trở thành những người gần như chủ sở hữu của doanh nghiệp, một cách cực kỳ hiệu quả để giảm thiểu chi phí đại diện mà các thương vụ thâu tóm thù địch được cho là giải quyết trong mô hình Mỹ. Ngoài ra, cấu trúc doanh nghiệp keiretsu (bằng cách cho phép trao đổi thông tin và thị trường giữa các doanh nghiệp) đã giúp các công ty có thể đạt được nhiều lợi ích hiệu quả cộng hưởng của các thương vụ thâu tóm thù địch, mà không phải chịu những chi phí đáng kể liên quan đến việc hợp nhất hoàn toàn các công ty sau một thương vụ thâu tóm thù địch.</w:t>
      </w:r>
    </w:p>
    <w:p>
      <w:pPr>
        <w:pStyle w:val="Heading5"/>
      </w:pPr>
      <w:r>
        <w:rPr>
          <w:rFonts w:ascii="Calibri" w:hAnsi="Calibri"/>
          <w:b/>
          <w:i/>
          <w:sz w:val="22"/>
        </w:rPr>
        <w:t>Bình luận và Câu hỏi</w:t>
      </w:r>
    </w:p>
    <w:p>
      <w:pPr>
        <w:spacing w:after="80"/>
      </w:pPr>
      <w:r>
        <w:rPr>
          <w:b w:val="0"/>
          <w:i w:val="0"/>
        </w:rPr>
        <w:t>1. Một số lợi ích có thể phát sinh từ hệ thống ngân hàng chính là gì? Một số lo ngại là gì? Hệ thống giám sát của ngân hàng so sánh như thế nào với chức năng giám sát của thị trường vốn hoặc các cổ đông kiểm soát?</w:t>
      </w:r>
    </w:p>
    <w:p>
      <w:pPr>
        <w:spacing w:after="80"/>
      </w:pPr>
      <w:r>
        <w:rPr>
          <w:b w:val="0"/>
          <w:i w:val="0"/>
        </w:rPr>
        <w:t xml:space="preserve">2. Lợi ích của các ngân hàng có phù hợp với lợi ích của các cổ đông không? </w:t>
      </w:r>
      <w:r>
        <w:rPr>
          <w:b w:val="0"/>
          <w:i/>
        </w:rPr>
        <w:t>Xem</w:t>
      </w:r>
      <w:r>
        <w:rPr>
          <w:b w:val="0"/>
          <w:i w:val="0"/>
        </w:rPr>
        <w:t xml:space="preserve"> Katherine V. Jackson, </w:t>
      </w:r>
      <w:r>
        <w:rPr>
          <w:b w:val="0"/>
          <w:i/>
        </w:rPr>
        <w:t>Towards A Stakeholder-Shareholder Theory of Corporate Governance: A Comparative Analysis</w:t>
      </w:r>
      <w:r>
        <w:rPr>
          <w:b w:val="0"/>
          <w:i w:val="0"/>
        </w:rPr>
        <w:t xml:space="preserve"> , 7 Hastings Bus. L.J. 309, 364 (2011) (lưu ý rằng các ngân hàng đóng nhiều vai trò, bao gồm "cổ đông, thành viên hội đồng quản trị, bên cho vay và nhà cung cấp dịch vụ tài chính" và có thể không phải lúc nào cũng giám sát theo cách "thay mặt cho tất cả các cổ đông"). Điều gì sẽ xảy ra nếu các ngân hàng có mối quan hệ chặt chẽ với chính phủ? Những khác biệt này quan trọng đến mức nào?</w:t>
      </w:r>
    </w:p>
    <w:p>
      <w:pPr>
        <w:spacing w:after="80"/>
      </w:pPr>
      <w:r>
        <w:rPr>
          <w:b w:val="0"/>
          <w:i w:val="0"/>
        </w:rPr>
        <w:t xml:space="preserve">3. Việc sở hữu cổ phần đóng vai trò gì, nếu có, trong một hệ thống giám sát của ngân hàng? Trong phần lớn thời kỳ hậu chiến, các ngân hàng Nhật Bản không được sở hữu quá 5% một công ty đại chúng. Tuy nhiên, các ngân hàng chính thường là một phần của các mạng lưới công nghiệp gọi là keiretsu. Các mạng lưới này cùng nhau sở hữu một khối cổ phần kiểm soát của các công ty tham gia. Đức cũng đã sử dụng hệ thống giám sát của ngân hàng trong thời kỳ hậu chiến. Ngoài quyền sở hữu trực tiếp, các ngân hàng được phép làm đại diện và bỏ phiếu cho các cổ phần do khách hàng của họ gửi gắm. Kết quả là, các ngân hàng ở Đức thường gây ảnh hưởng đáng kể lên hội đồng giám sát. Tuy nhiên, điều đó đã thay đổi. </w:t>
      </w:r>
      <w:r>
        <w:rPr>
          <w:b w:val="0"/>
          <w:i/>
        </w:rPr>
        <w:t>Xem</w:t>
      </w:r>
      <w:r>
        <w:rPr>
          <w:b w:val="0"/>
          <w:i w:val="0"/>
        </w:rPr>
        <w:t xml:space="preserve"> Bruce E. Aronson, </w:t>
      </w:r>
      <w:r>
        <w:rPr>
          <w:b w:val="0"/>
          <w:i/>
        </w:rPr>
        <w:t>Japanese Corporate Governance Reform: A Comparative Perspective</w:t>
      </w:r>
      <w:r>
        <w:rPr>
          <w:b w:val="0"/>
          <w:i w:val="0"/>
        </w:rPr>
        <w:t xml:space="preserve"> , 11 Hastings Bus. L.J. 85 (2015) ("Tỷ lệ nắm giữ cổ phần của các công ty niêm yết bởi các ngân hàng chính (tức là ngân hàng đô thị và ngân hàng khu vực) đã giảm từ mức ổn định mười lăm phần trăm trong thập niên 1990 xuống mức không đáng kể ngày nay. Chúng đã được thay thế bởi các cổ đông nước ngoài, với tỷ lệ thị phần trên thị trường chứng khoán tăng từ năm phần trăm năm 1990 lên hai mươi tám phần trăm ngày nay.").</w:t>
      </w:r>
    </w:p>
    <w:p>
      <w:pPr>
        <w:spacing w:after="80"/>
      </w:pPr>
      <w:r>
        <w:rPr>
          <w:b w:val="0"/>
          <w:i w:val="0"/>
        </w:rPr>
        <w:t xml:space="preserve">4. Những loại hoàn cảnh nào là cần thiết để tạo ra một hệ thống giám sát của ngân hàng mạnh mẽ? Ở Nhật Bản, chẳng hạn, các ngân hàng phần lớn độc quyền về tài trợ dài hạn cho các công ty đại chúng trong phần lớn thời kỳ hậu chiến. Mặc dù đất nước này có thị trường vốn, theo một số người, chúng chỉ mang tính "hấp dẫn trang trí". Yoshiro Miwa &amp; J. Mark Ramseyer, </w:t>
      </w:r>
      <w:r>
        <w:rPr>
          <w:b w:val="0"/>
          <w:i/>
        </w:rPr>
        <w:t>Debt as a Lever of Control: The Beguiling Appeal of Banks</w:t>
      </w:r>
      <w:r>
        <w:rPr>
          <w:b w:val="0"/>
          <w:i w:val="0"/>
        </w:rPr>
        <w:t xml:space="preserve"> , 75 U. Cin. L. Rev. 1005, 1009 (2007). Điều này có thể đã ảnh hưởng đến hệ thống giám sát của ngân hàng ở Nhật Bản như thế nào? Liệu nó có gợi ý rằng giám sát của ngân hàng chỉ hiệu quả khi không có thị trường vốn năng động?</w:t>
      </w:r>
    </w:p>
    <w:p>
      <w:pPr>
        <w:spacing w:after="80"/>
      </w:pPr>
      <w:r>
        <w:rPr>
          <w:b w:val="0"/>
          <w:i w:val="0"/>
        </w:rPr>
        <w:t xml:space="preserve">5. Khả năng xảy ra một hệ thống giám sát ngân hàng ở các nước đang phát triển khác là bao nhiêu? </w:t>
      </w:r>
      <w:r>
        <w:rPr>
          <w:b w:val="0"/>
          <w:i/>
        </w:rPr>
        <w:t>So sánh</w:t>
      </w:r>
      <w:r>
        <w:rPr>
          <w:b w:val="0"/>
          <w:i w:val="0"/>
        </w:rPr>
        <w:t xml:space="preserve"> Franklin Allen &amp; Jun “QJ” Qian, </w:t>
      </w:r>
      <w:r>
        <w:rPr>
          <w:b w:val="0"/>
          <w:i/>
        </w:rPr>
        <w:t>China's Financial System and the Law</w:t>
      </w:r>
      <w:r>
        <w:rPr>
          <w:b w:val="0"/>
          <w:i w:val="0"/>
        </w:rPr>
        <w:t xml:space="preserve"> , 47 Cornell Int'l L.J. 499, 552 (2014) (“khu vực ngân hàng lớn bị chi phối bởi các ngân hàng quốc doanh đã đóng một vai trò quan trọng hơn nhiều trong việc tài trợ cho sự tăng trưởng của nhiều loại doanh nghiệp so với các thị trường tài chính”), </w:t>
      </w:r>
      <w:r>
        <w:rPr>
          <w:b w:val="0"/>
          <w:i/>
        </w:rPr>
        <w:t>với</w:t>
      </w:r>
      <w:r>
        <w:rPr>
          <w:b w:val="0"/>
          <w:i w:val="0"/>
        </w:rPr>
        <w:t xml:space="preserve"> Donald C. Clarke, </w:t>
      </w:r>
      <w:r>
        <w:rPr>
          <w:b w:val="0"/>
          <w:i/>
        </w:rPr>
        <w:t>Law Without Order in Chinese Corporate Governance Institutions</w:t>
      </w:r>
      <w:r>
        <w:rPr>
          <w:b w:val="0"/>
          <w:i w:val="0"/>
        </w:rPr>
        <w:t xml:space="preserve"> , 30 Nw. J. Int'l L. &amp; Bus. 131, 156 (2010) (lưu ý rằng các ngân hàng ở Trung Quốc “trong lịch sử không có khả năng cũng như động lực để đóng vai trò giám sát này”). Điều gì có thể giải thích một số khác biệt ở các nước đang phát triển?</w:t>
      </w:r>
    </w:p>
    <w:p>
      <w:pPr>
        <w:spacing w:after="80"/>
      </w:pPr>
      <w:r>
        <w:rPr>
          <w:b w:val="0"/>
          <w:i w:val="0"/>
        </w:rPr>
        <w:t xml:space="preserve">6. Hệ thống ngân hàng chính ở Nhật Bản đã cung cấp một cơ chế để chính phủ gây ảnh hưởng lên nền kinh tế. Trong phần lớn thời kỳ hậu chiến, các khoản vay ngân hàng chủ yếu chảy vào những công ty được chính phủ phê duyệt. </w:t>
      </w:r>
      <w:r>
        <w:rPr>
          <w:b w:val="0"/>
          <w:i/>
        </w:rPr>
        <w:t>Xem</w:t>
      </w:r>
      <w:r>
        <w:rPr>
          <w:b w:val="0"/>
          <w:i w:val="0"/>
        </w:rPr>
        <w:t xml:space="preserve"> J. Robert Brown, Jr., </w:t>
      </w:r>
      <w:r>
        <w:rPr>
          <w:b w:val="0"/>
          <w:i/>
        </w:rPr>
        <w:t>Industrial Policy and the Dangers of Emulating Japan</w:t>
      </w:r>
      <w:r>
        <w:rPr>
          <w:b w:val="0"/>
          <w:i w:val="0"/>
        </w:rPr>
        <w:t xml:space="preserve"> , 27 Geo. Wash. J. Int'l L. &amp; Econ. 1 (1993). Nhật Bản không phải là quốc gia duy nhất sử dụng hệ thống ngân hàng của mình theo cách này. </w:t>
      </w:r>
      <w:r>
        <w:rPr>
          <w:b w:val="0"/>
          <w:i/>
        </w:rPr>
        <w:t>Xem</w:t>
      </w:r>
      <w:r>
        <w:rPr>
          <w:b w:val="0"/>
          <w:i w:val="0"/>
        </w:rPr>
        <w:t xml:space="preserve"> Christopher Hale, </w:t>
      </w:r>
      <w:r>
        <w:rPr>
          <w:b w:val="0"/>
          <w:i/>
        </w:rPr>
        <w:t>Addressing the Incentive for Expropriation within Business Groups: The Case of the Korean Chaebol</w:t>
      </w:r>
      <w:r>
        <w:rPr>
          <w:b w:val="0"/>
          <w:i w:val="0"/>
        </w:rPr>
        <w:t xml:space="preserve"> , 30 Fordham Int'l L.J. 1, 25 n.110 (2006) (lưu ý rằng chính phủ Hàn Quốc “đã thực sự bảo các ngân hàng cho một số thực thể nhất định vay”). Bạn có nghĩ rằng rủi ro bị chính phủ gây ảnh hưởng là cố hữu trong một hệ thống giám sát ngân hàng không? Sự can thiệp của chính phủ có luôn là vấn đề không? Nền kinh tế Nhật Bản đã diễn biến thế nào trong thời kỳ hậu chiến?</w:t>
      </w:r>
    </w:p>
    <w:p>
      <w:pPr>
        <w:spacing w:after="80"/>
      </w:pPr>
      <w:r>
        <w:rPr>
          <w:b w:val="0"/>
          <w:i w:val="0"/>
        </w:rPr>
        <w:t xml:space="preserve">7. Bộ máy quan liêu ở Nhật Bản được xem là những người kế tục của các Samurai. Trong thời kỳ hậu chiến, sự nghiệp trong bộ máy quan liêu được coi là một trong những nghề danh giá nhất, và không đâu cao quý hơn Bộ Tài chính. Thật vậy, khi các bậc lão thành tại Bộ Tài chính nghỉ hưu, họ thường bắt đầu sự nghiệp thứ hai trong các cơ quan chính phủ (như Ngân hàng Nhật Bản) hoặc các tổ chức tài chính. Quá trình này được gọi là </w:t>
      </w:r>
      <w:r>
        <w:rPr>
          <w:b w:val="0"/>
          <w:i/>
        </w:rPr>
        <w:t>amakudari</w:t>
      </w:r>
      <w:r>
        <w:rPr>
          <w:b w:val="0"/>
          <w:i w:val="0"/>
        </w:rPr>
        <w:t xml:space="preserve"> , hay “giáng trần”, như thể những sự nghiệp sau khi rời bộ này là một bước xuống. Bạn có thể hình dung vai trò của </w:t>
      </w:r>
      <w:r>
        <w:rPr>
          <w:b w:val="0"/>
          <w:i/>
        </w:rPr>
        <w:t>amakudari</w:t>
      </w:r>
      <w:r>
        <w:rPr>
          <w:b w:val="0"/>
          <w:i w:val="0"/>
        </w:rPr>
        <w:t xml:space="preserve"> trong hệ thống giám sát ngân hàng mà Nhật Bản sử dụng không?</w:t>
      </w:r>
    </w:p>
    <w:p>
      <w:pPr>
        <w:spacing w:after="80"/>
      </w:pPr>
      <w:r>
        <w:rPr>
          <w:b w:val="0"/>
          <w:i w:val="0"/>
        </w:rPr>
        <w:t xml:space="preserve">8. Trong một hệ thống bị chi phối bởi ngân hàng, hội đồng quản trị đóng vai trò gì trong quá trình quản trị công ty? Ở Nhật Bản, tư cách thành viên hội đồng quản trị thường được trao cho nhân viên vào cuối sự nghiệp của họ. Các cuộc họp thường được xem là “mang tính nghi lễ.” </w:t>
      </w:r>
      <w:r>
        <w:rPr>
          <w:b w:val="0"/>
          <w:i/>
        </w:rPr>
        <w:t>Xem</w:t>
      </w:r>
      <w:r>
        <w:rPr>
          <w:b w:val="0"/>
          <w:i w:val="0"/>
        </w:rPr>
        <w:t xml:space="preserve"> Mizuki Hayashi, Corporate Ownership and Governance Reforms in Japan: Influence of Globalization and U.S. Practice, 26 Colum. J. Asian L. 315 (2013) (mô tả các cuộc họp hội đồng quản trị là “phần nào mang tính nghi lễ” và lưu ý rằng hội đồng quản trị trong các công ty Nhật Bản chủ yếu gồm nhân viên). Đây có phải là kết quả tất yếu của một hệ thống dựa đáng kể vào các ngân hàng như một cơ chế giám sát chính không?</w:t>
      </w:r>
    </w:p>
    <w:p>
      <w:pPr>
        <w:spacing w:after="80"/>
      </w:pPr>
      <w:r>
        <w:rPr>
          <w:b w:val="0"/>
          <w:i w:val="0"/>
        </w:rPr>
        <w:t>—————</w:t>
      </w:r>
    </w:p>
    <w:p>
      <w:pPr>
        <w:spacing w:after="80"/>
      </w:pPr>
      <w:r>
        <w:rPr>
          <w:b w:val="0"/>
          <w:i w:val="0"/>
        </w:rPr>
        <w:t>Nhật Bản cũng là một ví dụ điển hình về một quốc gia đang trải qua quá trình chuyển đổi từ hệ thống quản trị này sang hệ thống quản trị khác. Hệ thống ngân hàng chính ở Nhật Bản đã bắt đầu tan rã. Trong khi có nhiều cách giải thích cho sự thay đổi này, đáng kể nhất là việc các tổ chức tài chính mất đi đòn bẩy. Các công ty đại chúng từng chịu ảnh hưởng đáng kể từ ngân hàng khi họ có ít nguồn vốn thay thế. Tuy nhiên, đến thập niên 1980, họ có thể huy động vốn từ nhiều nguồn khác nhau, dù là từ nước ngoài hay từ các ngân hàng không phải ngân hàng chính ở Nhật Bản. Khi các ngân hàng không còn có thể giám sát ban điều hành một cách thỏa đáng, cần phải phát triển một nguồn giám sát khác.</w:t>
      </w:r>
    </w:p>
    <w:p>
      <w:pPr>
        <w:pStyle w:val="Heading4"/>
      </w:pPr>
      <w:r>
        <w:rPr>
          <w:rFonts w:ascii="Calibri" w:hAnsi="Calibri"/>
          <w:b/>
          <w:i w:val="0"/>
          <w:sz w:val="23"/>
        </w:rPr>
        <w:t xml:space="preserve">Bruce E. Aronson, </w:t>
      </w:r>
      <w:r>
        <w:rPr>
          <w:rFonts w:ascii="Calibri" w:hAnsi="Calibri"/>
          <w:b/>
          <w:i/>
          <w:sz w:val="23"/>
        </w:rPr>
        <w:t>The Olympus Scandal and Corporate</w:t>
      </w:r>
      <w:r>
        <w:br/>
      </w:r>
      <w:r>
        <w:rPr>
          <w:rFonts w:ascii="Calibri" w:hAnsi="Calibri"/>
          <w:b/>
          <w:i/>
          <w:sz w:val="23"/>
        </w:rPr>
        <w:t xml:space="preserve"> Governance Reform: Can Japan Find a Middle Ground between the</w:t>
      </w:r>
      <w:r>
        <w:br/>
      </w:r>
      <w:r>
        <w:rPr>
          <w:rFonts w:ascii="Calibri" w:hAnsi="Calibri"/>
          <w:b/>
          <w:i/>
          <w:sz w:val="23"/>
        </w:rPr>
        <w:t xml:space="preserve"> Board Monitoring Model and Management Model?</w:t>
      </w:r>
    </w:p>
    <w:p>
      <w:pPr>
        <w:spacing w:after="80"/>
      </w:pPr>
      <w:r>
        <w:rPr>
          <w:b w:val="0"/>
          <w:i w:val="0"/>
        </w:rPr>
        <w:t>30 UCLA Pac. Basin L.J. 93 (2012)</w:t>
      </w:r>
    </w:p>
    <w:p>
      <w:pPr>
        <w:spacing w:after="80"/>
      </w:pPr>
      <w:r>
        <w:rPr>
          <w:b w:val="0"/>
          <w:i w:val="0"/>
        </w:rPr>
        <w:t>B. Giám sát ban điều hành dưới hệ thống quản trị công ty của Nhật Bản</w:t>
      </w:r>
    </w:p>
    <w:p>
      <w:pPr>
        <w:spacing w:after="80"/>
      </w:pPr>
      <w:r>
        <w:rPr>
          <w:b w:val="0"/>
          <w:i w:val="0"/>
        </w:rPr>
        <w:t>Khi bắt đầu xem xét thành công kinh tế to lớn của Nhật Bản vào thập niên 1980, các nhà bình luận ở cả Hoa Kỳ và Nhật Bản đã phát triển một mô hình quen thuộc, dù nay có phần phai nhạt, về quản trị công ty Nhật Bản. Mô hình này nhấn mạnh phân tích kinh tế hơn là pháp luật, và các đặc điểm chính bao gồm việc làm suốt đời; các hội đồng quản trị lớn, bị chi phối bởi người nội bộ, trực tiếp điều hành hoạt động kinh doanh (tức là không có sự tách biệt giữa giám đốc và người điều hành); sự hợp tác chặt chẽ giữa các doanh nghiệp, bao gồm tư cách thành viên trong một tập đoàn công nghiệp (keiretsu); và việc nắm giữ cổ phần lớn của các ngân hàng chính và các công ty khác trong tập đoàn. Về mặt giám sát ban điều hành, mô tả này ít chú ý đến các nghĩa vụ pháp lý chính thức theo luật công ty của giám đốc và kiểm toán viên công ty, mà thay vào đó nhấn mạnh vai trò giám sát thực tế của các ngân hàng chính, cũng như vai trò giám sát của các đối tác kinh doanh liên kết và các thị trường sản phẩm.</w:t>
      </w:r>
    </w:p>
    <w:p>
      <w:pPr>
        <w:spacing w:after="80"/>
      </w:pPr>
      <w:r>
        <w:rPr>
          <w:b w:val="0"/>
          <w:i w:val="0"/>
        </w:rPr>
        <w:t>Tuy nhiên, sự sụp đổ của bong bóng kinh tế Nhật Bản vào khoảng năm 1990 đã làm suy yếu mô hình truyền thống này. Cuộc khủng hoảng tài chính sau đó đã làm giảm vai trò của các ngân hàng chính và các đặc điểm hỗ trợ khác của hệ thống. Kể từ năm 1996, một cuộc tranh luận đang diễn ra về cải cách quản trị công ty đã thúc đẩy nhiều sửa đổi đối với luật công ty Nhật Bản. Đối với một số nhà bình luận Nhật Bản và nhiều nhà bình luận nước ngoài, câu hỏi cơ bản là liệu có nên có ít nhất một sự chuyển dịch một phần từ một công ty bị chi phối bởi nhân viên sang một công ty nơi một hội đồng quản trị độc lập hơn và/hoặc các kiểm toán viên công ty giám sát ban điều hành một cách tích cực hơn thay mặt cho cổ đông.</w:t>
      </w:r>
    </w:p>
    <w:p>
      <w:pPr>
        <w:spacing w:after="80"/>
      </w:pPr>
      <w:r>
        <w:rPr>
          <w:b w:val="0"/>
          <w:i w:val="0"/>
        </w:rPr>
        <w:t>Trong nỗ lực cải thiện chức năng giám sát trong quản trị công ty Nhật Bản, các sửa đổi đối với luật công ty Nhật Bản đã nhấn mạnh việc tăng cường vai trò của các kiểm toán viên công ty hơn là vai trò của giám đốc. Theo luật công ty Nhật Bản, giám đốc có các nghĩa vụ tín thác nói chung tương tự như những nghĩa vụ được quy định ở Hoa Kỳ. Các kiểm toán viên công ty, những người không có nhiệm vụ quản lý, có vai trò kiểm tra việc thực hiện nhiệm vụ quản lý của các giám đốc. Vai trò của họ, vốn được phỏng theo một cách lỏng lẻo từ Ban Giám sát của Đức, đã mở rộng theo thời gian từ kiểm toán tài chính sang bao gồm cả việc tuân thủ và, có thể nói, giám sát ban điều hành. Kể từ năm 1993, các công ty lớn được yêu cầu phải có một ban kiểm toán gồm các kiểm toán viên công ty; kể từ năm 2001, ít nhất một nửa số kiểm toán viên công ty của họ phải là người bên ngoài. Bắt đầu từ năm 2010, ít nhất một trong các kiểm toán viên công ty bên ngoài hoặc giám đốc bên ngoài phải đáp ứng định nghĩa về tính độc lập theo tiêu chuẩn niêm yết của TSE. Ngoài ra, nhiệm kỳ của các kiểm toán viên công ty đã dần được kéo dài lên bốn năm nhằm tăng cường tính độc lập của họ.</w:t>
      </w:r>
    </w:p>
    <w:p>
      <w:pPr>
        <w:spacing w:after="80"/>
      </w:pPr>
      <w:r>
        <w:rPr>
          <w:b w:val="0"/>
          <w:i w:val="0"/>
        </w:rPr>
        <w:t>Luật công ty Nhật Bản cũng đã bổ sung một lựa chọn thay thế tùy chọn cho hệ thống truyền thống này vào năm 2002. Hệ thống này cho phép các công ty Nhật Bản thay thế các vị trí giám đốc đại diện và kiểm toán viên công ty truyền thống, lấy cảm hứng từ Đức, bằng một lựa chọn thay thế lấy cảm hứng từ Hoa Kỳ: một giám đốc điều hành đại diện và ba ủy ban của hội đồng quản trị (ủy ban kiểm toán, thù lao và đề cử), với đa số giám đốc bên ngoài được yêu cầu cho mỗi ủy ban. Tuy nhiên, chỉ 2.2% các công ty Nhật Bản niêm yết đã từ bỏ cấu trúc công ty truyền thống với kiểm toán viên và áp dụng cấu trúc công ty mới với các ủy ban, lấy cảm hứng từ Hoa Kỳ này.</w:t>
      </w:r>
    </w:p>
    <w:p>
      <w:pPr>
        <w:spacing w:after="80"/>
      </w:pPr>
      <w:r>
        <w:rPr>
          <w:b w:val="0"/>
          <w:i w:val="0"/>
        </w:rPr>
        <w:t>Ở Nhật Bản, người ta công nhận rộng rãi rằng hệ thống kiểm toán viên công ty là “khó giải thích” đối với các nhà đầu tư toàn cầu và rằng vẫn còn những vấn đề liên quan đến tính hiệu quả của nó. Tuy nhiên, hầu hết các doanh nghiệp Nhật Bản dường như miễn cưỡng từ bỏ hệ thống kiểm toán viên công ty vì một số lý do, bao gồm việc nó được sử dụng rộng rãi bởi phần lớn các công ty Nhật Bản và nỗ lực kéo dài hàng thập kỷ để tăng cường tính hiệu quả của nó.</w:t>
      </w:r>
    </w:p>
    <w:p>
      <w:pPr>
        <w:spacing w:after="80"/>
      </w:pPr>
      <w:r>
        <w:rPr>
          <w:b w:val="0"/>
          <w:i w:val="0"/>
        </w:rPr>
        <w:t>Trong vài năm qua cũng đã có tiến bộ khiêm tốn trong việc tăng vai trò của các giám đốc độc lập. Như đã nêu ở trên, TSE đã bổ sung một yêu cầu mới vào cuối năm 2009 rằng mọi công ty niêm yết phải có một giám đốc hoặc kiểm toán viên công ty độc lập (khác với bên ngoài). Tuy nhiên, hầu hết các công ty niêm yết đã đáp ứng yêu cầu này bằng cách bổ nhiệm một kiểm toán viên công ty độc lập thay vì một giám đốc độc lập. Hiện tại, khoảng một nửa số công ty Nhật Bản niêm yết vẫn không có giám đốc bên ngoài.</w:t>
      </w:r>
    </w:p>
    <w:p>
      <w:pPr>
        <w:pStyle w:val="Heading5"/>
      </w:pPr>
      <w:r>
        <w:rPr>
          <w:rFonts w:ascii="Calibri" w:hAnsi="Calibri"/>
          <w:b/>
          <w:i/>
          <w:sz w:val="22"/>
        </w:rPr>
        <w:t>Bình luận và Câu hỏi</w:t>
      </w:r>
    </w:p>
    <w:p>
      <w:pPr>
        <w:spacing w:after="80"/>
      </w:pPr>
      <w:r>
        <w:rPr>
          <w:b w:val="0"/>
          <w:i w:val="0"/>
        </w:rPr>
        <w:t xml:space="preserve">1. Nhật Bản đang chật vật tìm kiếm một hệ thống giám sát thay thế vai trò truyền thống của ngân hàng chính (main bank). Các cải cách năm 2002 về cơ bản đã cho phép áp dụng một hình thức quản trị doanh nghiệp kiểu phương Tây. Tuy nhiên, Nhật Bản đã không cam kết hoàn toàn với hướng tiếp cận này. Các công ty được phép "tự nguyện tham gia" (opt in) và cho đến nay, chỉ một số ít công ty đại chúng đã làm như vậy. Chien-Chung Lin, </w:t>
      </w:r>
      <w:r>
        <w:rPr>
          <w:b w:val="0"/>
          <w:i/>
        </w:rPr>
        <w:t>The Japanese Independent Director Mechanism Revisited: The Corporate Law Setting, Current Status, and Its Explanations</w:t>
      </w:r>
      <w:r>
        <w:rPr>
          <w:b w:val="0"/>
          <w:i w:val="0"/>
        </w:rPr>
        <w:t xml:space="preserve"> , 24 Temp. Int'l &amp; Comp. L.J. 65, 99 (2010) ("Tỷ lệ trên Sở Giao dịch Chứng khoán Tokyo Phần Hai là dưới một phần trăm (bốn trên 457). Tổng cộng, gần bảy năm sau tu chính án năm 2002, chỉ 2,3 phần trăm trong tổng số các công ty niêm yết trên TSE đã áp dụng cơ cấu ủy ban."). Điều gì giải thích sự không sẵn lòng của các công ty Nhật Bản trong việc chọn một mô hình khác?</w:t>
      </w:r>
    </w:p>
    <w:p>
      <w:pPr>
        <w:spacing w:after="80"/>
      </w:pPr>
      <w:r>
        <w:rPr>
          <w:b w:val="0"/>
          <w:i w:val="0"/>
        </w:rPr>
        <w:t>2. Bài viết lưu ý rằng Nhật Bản đã tìm đến Mỹ để lấy "cảm hứng" về cải cách quản trị, điều này dẫn đến sự nhấn mạnh đặc biệt vào việc sử dụng các giám đốc độc lập. Những khó khăn nào nảy sinh từ nguồn cảm hứng này? Các giám đốc độc lập có hoạt động giống như ở Mỹ khi ở Nhật Bản không?</w:t>
      </w:r>
    </w:p>
    <w:p>
      <w:pPr>
        <w:spacing w:after="80"/>
      </w:pPr>
      <w:r>
        <w:rPr>
          <w:b w:val="0"/>
          <w:i w:val="0"/>
        </w:rPr>
        <w:t xml:space="preserve">3. Theo Giáo sư Aronson, số lượng công ty niêm yết ở Phần Một có ít nhất một giám đốc bên ngoài đã tăng từ 74% năm 2014 lên 92% năm 2015; số có hai giám đốc tăng từ 21,5% lên 46,5%. Hơn nữa, phiên bản năm 2015 của Bộ Quy tắc Quản trị Doanh nghiệp khuyến nghị các công ty niêm yết nên có hai giám đốc "độc lập" thay vì giám đốc bên ngoài. Giả sử trọng tâm ở Nhật Bản vẫn là tăng số lượng giám đốc độc lập, liệu điều này có dẫn đến quản trị được cải thiện hay còn những thay đổi khác cũng phải diễn ra? </w:t>
      </w:r>
      <w:r>
        <w:rPr>
          <w:b w:val="0"/>
          <w:i/>
        </w:rPr>
        <w:t>Xem</w:t>
      </w:r>
      <w:r>
        <w:rPr>
          <w:b w:val="0"/>
          <w:i w:val="0"/>
        </w:rPr>
        <w:t xml:space="preserve"> Bruce E. Aronson, </w:t>
      </w:r>
      <w:r>
        <w:rPr>
          <w:b w:val="0"/>
          <w:i/>
        </w:rPr>
        <w:t>Japanese Corporate Governance Reform: A Comparative Perspective</w:t>
      </w:r>
      <w:r>
        <w:rPr>
          <w:b w:val="0"/>
          <w:i w:val="0"/>
        </w:rPr>
        <w:t xml:space="preserve"> , 11 Hastings Bus. L.J. 85 (2015) (các giám đốc độc lập cần hoạt động trong một môi trường có "đủ khả năng tiếp cận thông tin, rủi ro kiện tụng cao hơn, hoặc một số động lực khác để khuyến khích những người giám sát nêu ra các vấn đề có thể thách thức quan điểm của ban lãnh đạo doanh nghiệp và các giám sát viên bên ngoài bổ sung, chẳng hạn như các nhà cung cấp dịch vụ chuyên nghiệp hoạt động như những người gác cổng").</w:t>
      </w:r>
    </w:p>
    <w:p>
      <w:pPr>
        <w:spacing w:after="80"/>
      </w:pPr>
      <w:r>
        <w:rPr>
          <w:b w:val="0"/>
          <w:i w:val="0"/>
        </w:rPr>
        <w:t xml:space="preserve">4. Các cải cách vẫn tiếp tục. Chẳng hạn, quy mô hội đồng quản trị đã thu nhỏ lại. </w:t>
      </w:r>
      <w:r>
        <w:rPr>
          <w:b w:val="0"/>
          <w:i/>
        </w:rPr>
        <w:t>Xem</w:t>
      </w:r>
      <w:r>
        <w:rPr>
          <w:b w:val="0"/>
          <w:i w:val="0"/>
        </w:rPr>
        <w:t xml:space="preserve"> Bruce E. Aronson, </w:t>
      </w:r>
      <w:r>
        <w:rPr>
          <w:b w:val="0"/>
          <w:i/>
        </w:rPr>
        <w:t>Japanese Corporate Governance Reform: A Comparative Perspective</w:t>
      </w:r>
      <w:r>
        <w:rPr>
          <w:b w:val="0"/>
          <w:i w:val="0"/>
        </w:rPr>
        <w:t xml:space="preserve"> , 11 Hastings Bus. L.J. 85 (2015) ("Gần như tất cả các công ty lớn của Nhật Bản đã thực hiện hành động tự nguyện để giảm đáng kể quy mô hội đồng quản trị từ những hội đồng lớn gồm hai mươi đến bốn mươi giám đốc cách đây vài thập kỷ xuống còn trung bình 8,13 giám đốc đối với các công ty niêm yết ngày nay."). Điều này gợi ý gì về sự phát triển vai trò của hội đồng quản trị?</w:t>
      </w:r>
    </w:p>
    <w:p>
      <w:pPr>
        <w:spacing w:after="80"/>
      </w:pPr>
      <w:r>
        <w:rPr>
          <w:b w:val="0"/>
          <w:i w:val="0"/>
        </w:rPr>
        <w:t xml:space="preserve">5. Vai trò của kiểm toán viên theo luật định (kansayaku) trong các công ty Nhật Bản là gì? Họ được cổ đông bầu chọn và có thể tham dự các cuộc họp hội đồng quản trị. Tuy nhiên, họ không có quyền biểu quyết và không thể cách chức các cán bộ điều hành. Họ được mô tả là "hoàn toàn không hiệu quả đối với việc giám sát hiệu suất" nhưng hiệu quả hơn ở "giám sát tuân thủ". Bruce E. Aronson, </w:t>
      </w:r>
      <w:r>
        <w:rPr>
          <w:b w:val="0"/>
          <w:i/>
        </w:rPr>
        <w:t>Corporate Governance Models and Practices in Japan and East Asia,</w:t>
      </w:r>
      <w:r>
        <w:rPr>
          <w:b w:val="0"/>
          <w:i w:val="0"/>
        </w:rPr>
        <w:t xml:space="preserve"> 27 Colum. J. Asian L. 221 (2014) (bình luận của Giáo sư Kozuka). Bạn nghĩ gì về cách tiếp cận này? Liệu nó có phải là một sự thay thế thỏa đáng cho các cải cách cơ cấu đối với hội đồng quản trị không?</w:t>
      </w:r>
    </w:p>
    <w:p>
      <w:pPr>
        <w:spacing w:after="80"/>
      </w:pPr>
      <w:r>
        <w:rPr>
          <w:b w:val="0"/>
          <w:i w:val="0"/>
        </w:rPr>
        <w:t>6. Vào tháng 2 năm 2014, Nhật Bản đã thông qua một "Bộ Quy tắc Quản lý Ủy thác" (Stewardship Code). Bộ Quy tắc này "định nghĩa các nguyên tắc được coi là hữu ích cho các nhà đầu tư tổ chức, những người hành xử như các nhà đầu tư tổ chức có trách nhiệm trong việc hoàn thành trách nhiệm quản lý ủy thác của mình với sự quan tâm đúng mức đến cả khách hàng và người thụ hưởng của họ cũng như các công ty nhận đầu tư." Principles for Responsible Institutional Investors, The Council of Experts Concerning the Japanese Version of the Stewardship Code (26 tháng 2, 2014). Như Giáo sư Aronson mô tả, Bộ Quy tắc "khuyến khích các nhà đầu tư tổ chức của Nhật Bản trở thành cổ đông tích cực hơn và tham gia vào 'đối thoại mang tính xây dựng' với các công ty trong danh mục đầu tư của họ để cải thiện quản trị của những công ty đó." Điều này có thể có tác động gì đến quản trị của Nhật Bản?</w:t>
      </w:r>
    </w:p>
    <w:p>
      <w:pPr>
        <w:pStyle w:val="Heading2"/>
      </w:pPr>
      <w:r>
        <w:rPr>
          <w:rFonts w:ascii="Calibri" w:hAnsi="Calibri"/>
          <w:b/>
          <w:i w:val="0"/>
          <w:sz w:val="32"/>
        </w:rPr>
        <w:t>III. Các khu vực tài phán theo Bộ luật Dân sự và Thông luật</w:t>
      </w:r>
    </w:p>
    <w:p>
      <w:pPr>
        <w:spacing w:after="80"/>
      </w:pPr>
      <w:r>
        <w:rPr>
          <w:b w:val="0"/>
          <w:i w:val="0"/>
        </w:rPr>
        <w:t>Một số lượng đáng kể các quốc gia, đặc biệt là ở châu Âu, hoạt động theo hệ thống bộ luật dân sự (civil code). Mặc dù không đồng nhất trong cách tiếp cận, các khu vực tài phán này dựa vào một khuôn khổ luật định đặt ra các yêu cầu pháp lý áp dụng, ưu tiên giải pháp lập pháp hơn là tư pháp cho hầu hết các vấn đề pháp lý. Về quản trị doanh nghiệp, các khu vực tài phán theo bộ luật dân sự có xu hướng nghiêng về một cơ cấu quản trị liên quan đến hai hội đồng quản trị và có nhiều khả năng áp đặt các nghĩa vụ lên giám đốc theo hướng ủng hộ nhiều bên liên quan thay vì chỉ cổ đông.</w:t>
      </w:r>
    </w:p>
    <w:p>
      <w:pPr>
        <w:spacing w:after="80"/>
      </w:pPr>
      <w:r>
        <w:rPr>
          <w:b w:val="0"/>
          <w:i w:val="0"/>
        </w:rPr>
        <w:t>Tương tự, các khu vực tài phán theo bộ luật dân sự thường ưa chuộng cách tiếp cận không bắt buộc đối với quản trị (mặc dù điều này cũng được sử dụng ở nhiều khu vực tài phán theo thông luật). Sử dụng nguyên tắc "tuân thủ hoặc giải thích" (comply or explain), họ có xu hướng dựa vào các bộ quy tắc tự nguyện nơi các công ty có thể tham gia hoặc không tham gia. Cách tiếp cận này tránh sự đồng nhất và cho phép các công ty đại chúng linh hoạt hơn để xác định hệ thống quản trị doanh nghiệp phù hợp nhất với lợi ích của họ. Mặt khác, cách tiếp cận này thường không có cơ chế thực thi nào khác ngoài sự thuyết phục về mặt đạo đức.</w:t>
      </w:r>
    </w:p>
    <w:p>
      <w:pPr>
        <w:spacing w:after="80"/>
      </w:pPr>
      <w:r>
        <w:rPr>
          <w:b w:val="0"/>
          <w:i w:val="0"/>
        </w:rPr>
        <w:t>Các khu vực tài phán theo thông luật (common law) đại diện cho mô hình thay thế. Những quốc gia này thường thoải mái hơn với một cấu trúc pháp lý dựa nhiều hơn vào việc giải thích và áp đặt của tư pháp. Một tác động có thể có của vai trò tư pháp được nâng cao là các yêu cầu quản trị có thể được thay đổi dễ dàng hơn, có thể mang lại cả tính linh hoạt tăng lên và sự bất định tăng lên. Trong lĩnh vực quản trị, các khu vực tài phán theo thông luật thường ưa chuộng mô hình lấy cổ đông làm trung tâm. Tuy nhiên, trong tham số rộng lớn này, vẫn tồn tại những khác biệt đáng kể trong cách tiếp cận.</w:t>
      </w:r>
    </w:p>
    <w:p>
      <w:pPr>
        <w:pStyle w:val="Heading3"/>
      </w:pPr>
      <w:r>
        <w:rPr>
          <w:rFonts w:ascii="Calibri" w:hAnsi="Calibri"/>
          <w:b/>
          <w:i w:val="0"/>
          <w:sz w:val="26"/>
        </w:rPr>
        <w:t>A. Mô hình Thông luật và các Biến thể của nó</w:t>
      </w:r>
    </w:p>
    <w:p>
      <w:pPr>
        <w:spacing w:after="80"/>
      </w:pPr>
      <w:r>
        <w:rPr>
          <w:b w:val="0"/>
          <w:i w:val="0"/>
        </w:rPr>
        <w:t>Mỹ và Anh thường được gộp chung với nhau trong bất kỳ cuộc thảo luận nào về quản trị doanh nghiệp. Cả hai đều có thị trường vốn năng động. Họ cũng đều có cách tiếp cận lấy cổ đông làm trung tâm đối với quản trị doanh nghiệp. Kết quả là, có xu hướng xem hai hệ thống này về cơ bản là giống nhau, đặc biệt khi so sánh chúng với những hệ thống được sử dụng ở lục địa châu Âu. Tuy nhiên, chúng có một số khác biệt, với nước Anh đôi khi được gọi là "thiên đường của cổ đông".</w:t>
      </w:r>
    </w:p>
    <w:p>
      <w:pPr>
        <w:pStyle w:val="Heading4"/>
      </w:pPr>
      <w:r>
        <w:rPr>
          <w:rFonts w:ascii="Calibri" w:hAnsi="Calibri"/>
          <w:b/>
          <w:i w:val="0"/>
          <w:sz w:val="23"/>
        </w:rPr>
        <w:t xml:space="preserve">Christopher M. Bruner, </w:t>
      </w:r>
      <w:r>
        <w:rPr>
          <w:rFonts w:ascii="Calibri" w:hAnsi="Calibri"/>
          <w:b/>
          <w:i/>
          <w:sz w:val="23"/>
        </w:rPr>
        <w:t>Power and Purpose in the</w:t>
      </w:r>
      <w:r>
        <w:br/>
      </w:r>
      <w:r>
        <w:rPr>
          <w:rFonts w:ascii="Calibri" w:hAnsi="Calibri"/>
          <w:b/>
          <w:i/>
          <w:sz w:val="23"/>
        </w:rPr>
        <w:t xml:space="preserve"> "Anglo-American" Corporation</w:t>
      </w:r>
    </w:p>
    <w:p>
      <w:pPr>
        <w:spacing w:after="80"/>
      </w:pPr>
      <w:r>
        <w:rPr>
          <w:b w:val="0"/>
          <w:i w:val="0"/>
        </w:rPr>
        <w:t>50 Va. J. Int'l L. 579, 603–06, 610–11 (2010)</w:t>
      </w:r>
    </w:p>
    <w:p>
      <w:pPr>
        <w:spacing w:after="80"/>
      </w:pPr>
      <w:r>
        <w:rPr>
          <w:b w:val="0"/>
          <w:i w:val="0"/>
        </w:rPr>
        <w:t>Trái ngược với vị thế của cổ đông trong một công ty đại chúng của Mỹ, cổ đông ở Anh sở hữu quyền lực đáng kể để can thiệp trực tiếp vào quản trị doanh nghiệp, và được hưởng lợi từ các nghĩa vụ của giám đốc cũng như một quan niệm về mục đích doanh nghiệp tập trung vào lợi ích của họ một cách chặt chẽ hơn nhiều. (Để rõ ràng, những tương phản được thảo luận dưới đây được tóm tắt trong Hình 1 .) Kết quả là một hệ thống quản trị dứt khoát lấy cổ đông làm trung tâm, thể hiện rất ít sự mâu thuẫn đặc trưng cho quản trị doanh nghiệp của Mỹ.</w:t>
      </w:r>
    </w:p>
    <w:p>
      <w:pPr>
        <w:spacing w:after="80"/>
      </w:pPr>
      <w:r>
        <w:rPr>
          <w:b w:val="0"/>
          <w:i w:val="0"/>
        </w:rPr>
        <w:t>Hình 1: Quyền hạn Mặc định của Cổ đông và Nghĩa vụ của Giám đốc</w:t>
      </w:r>
      <w:r>
        <w:br/>
      </w:r>
      <w:r>
        <w:rPr>
          <w:b w:val="0"/>
          <w:i w:val="0"/>
        </w:rPr>
        <w:t xml:space="preserve"> trong các Công ty Đại chúng</w:t>
      </w:r>
    </w:p>
    <w:p>
      <w:pPr>
        <w:jc w:val="center"/>
      </w:pPr>
      <w:r>
        <w:drawing>
          <wp:inline xmlns:a="http://schemas.openxmlformats.org/drawingml/2006/main" xmlns:pic="http://schemas.openxmlformats.org/drawingml/2006/picture">
            <wp:extent cx="5486400" cy="1844015"/>
            <wp:docPr id="5" name="Picture 5"/>
            <wp:cNvGraphicFramePr>
              <a:graphicFrameLocks noChangeAspect="1"/>
            </wp:cNvGraphicFramePr>
            <a:graphic>
              <a:graphicData uri="http://schemas.openxmlformats.org/drawingml/2006/picture">
                <pic:pic>
                  <pic:nvPicPr>
                    <pic:cNvPr id="0" name="Image00004.jpg"/>
                    <pic:cNvPicPr/>
                  </pic:nvPicPr>
                  <pic:blipFill>
                    <a:blip r:embed="rId13"/>
                    <a:stretch>
                      <a:fillRect/>
                    </a:stretch>
                  </pic:blipFill>
                  <pic:spPr>
                    <a:xfrm>
                      <a:off x="0" y="0"/>
                      <a:ext cx="5486400" cy="1844015"/>
                    </a:xfrm>
                    <a:prstGeom prst="rect"/>
                  </pic:spPr>
                </pic:pic>
              </a:graphicData>
            </a:graphic>
          </wp:inline>
        </w:drawing>
      </w:r>
    </w:p>
    <w:p>
      <w:pPr>
        <w:spacing w:after="80"/>
      </w:pPr>
      <w:r>
        <w:rPr>
          <w:b w:val="0"/>
          <w:i w:val="0"/>
        </w:rPr>
        <w:t>Không giống như ở Hoa Kỳ, các cổ đông trong một công ty đại chúng của Vương quốc Anh có thể, theo Đạo luật Công ty (Companies Act) (2006), đơn phương sửa đổi hiến chương của công ty (văn bản quản trị cốt lõi của nó) bằng một nghị quyết đặc biệt với đa số bảy mươi lăm phần trăm. Điều này khác biệt vô cùng so với cách tiếp cận của Delaware, vốn cho phép hội đồng quản trị đóng vai trò gác cổng bằng cách yêu cầu rằng mọi thay đổi đối với hiến chương phải do hội đồng quản trị đề xuất trước khi cổ đông có thể phê duyệt. Ngoài ra, cổ đông Vương quốc Anh có khả năng thay thế giám đốc lớn hơn nhiều. Các cổ đông đại diện cho năm phần trăm quyền biểu quyết có thể yêu cầu triệu tập một cuộc họp, tại đó các giám đốc có thể bị bãi miễn bằng nghị quyết thông thường với đa số đơn giản. Cũng cần lưu ý rằng cổ đông Vương quốc Anh không gặp phải những rào cản pháp lý đối với hành động phối hợp mà quy định về chứng khoán của Hoa Kỳ áp đặt.</w:t>
      </w:r>
    </w:p>
    <w:p>
      <w:pPr>
        <w:spacing w:after="80"/>
      </w:pPr>
      <w:r>
        <w:rPr>
          <w:b w:val="0"/>
          <w:i w:val="0"/>
        </w:rPr>
        <w:t>Cũng như ở Hoa Kỳ, các điều khoản mẫu áp dụng mặc định cho các công ty đại chúng Vương quốc Anh quy định rằng nói chung “các giám đốc chịu trách nhiệm quản lý hoạt động kinh doanh của công ty, và vì mục đích đó họ có thể thực thi mọi quyền hạn của công ty.” Do đó, cũng như các công ty Hoa Kỳ, hội đồng quản trị rõ ràng là “cơ quan ra quyết định quan trọng nhất trong công ty.” Tuy nhiên, có một khác biệt then chốt: các điều khoản mẫu cho phép cổ đông Vương quốc Anh theo đúng nghĩa đen “chỉ đạo các giám đốc,” bằng nghị quyết đặc biệt, “thực hiện, hoặc không thực hiện, một hành động cụ thể.” Khái niệm chỉ đạo các giám đốc này hoàn toàn xa lạ với luật Delaware và, ít nhất về mặt lý thuyết, dường như trao cho cổ đông một quân bài rất mạnh để chơi trong các cuộc thảo luận với ban điều hành.</w:t>
      </w:r>
    </w:p>
    <w:p>
      <w:pPr>
        <w:spacing w:after="80"/>
      </w:pPr>
      <w:r>
        <w:rPr>
          <w:b w:val="0"/>
          <w:i w:val="0"/>
        </w:rPr>
        <w:t>Trên thực tế, quyền bãi miễn, vốn chỉ cần một nghị quyết thông thường, quan trọng hơn nhiều. Như Paul Davies nhận xét, “các cổ đông bất mãn có thể nói, trên thực tế, với các giám đốc rằng: nếu các ông chọn không tuân theo quan điểm của chúng tôi, chúng tôi sẽ bằng đa số thông thường tìm cách bãi miễn các ông khỏi chức vụ”—một “động lực mạnh mẽ” để tuân theo mong muốn của cổ đông. Nói chung, các cổ đông tổ chức của Anh bằng lòng để hội đồng quản trị lo toàn bộ việc quản trị, nhưng khi rắc rối nảy sinh, quyền bãi miễn trao cho họ đòn bẩy to lớn trong các cuộc thảo luận với ban điều hành về tương lai của công ty. Tuy nhiên, quyền “chỉ đạo các giám đốc” vẫn quan trọng ở mức độ lý thuyết, minh họa một cách sinh động rằng quyền hạn của hội đồng quản trị trong một công ty Vương quốc Anh về cơ bản là một vấn đề của “sắp đặt tư nhân” (private ordering). Quyền hạn của giám đốc Vương quốc Anh phát sinh hoàn toàn từ “việc ủy quyền thông qua các điều khoản chứ không phải từ một sự trao quyền riêng biệt và độc lập từ Nhà nước,” một thực tế mà theo quan điểm của Davies, “giúp nhấn mạnh bản chất lấy cổ đông làm trung tâm của luật công ty Anh.”</w:t>
      </w:r>
    </w:p>
    <w:p>
      <w:pPr>
        <w:spacing w:after="80"/>
      </w:pPr>
      <w:r>
        <w:rPr>
          <w:b w:val="0"/>
          <w:i w:val="0"/>
        </w:rPr>
        <w:t>* * *</w:t>
      </w:r>
    </w:p>
    <w:p>
      <w:pPr>
        <w:spacing w:after="80"/>
      </w:pPr>
      <w:r>
        <w:rPr>
          <w:b w:val="0"/>
          <w:i w:val="0"/>
        </w:rPr>
        <w:t>Nhìn chung, có vẻ như hệ thống quản trị công ty của Vương quốc Anh tương thích đáng kể hơn với các lý thuyết nhấn mạnh lợi ích của cổ đông so với hệ thống quản trị công ty của Hoa Kỳ. Cụ thể, cách tiếp cận của Vương quốc Anh dường như tương thích rộng rãi với quan điểm nexus (nexus view) về công ty. Sự sắp đặt quản trị công ty mặc định giống với công ty nexus ở chỗ trao quyền quản lý tương đối rộng cho một hội đồng quản trị do cổ đông bầu ra. Phương thức trách nhiệm giải trình này được củng cố bởi sự rõ ràng của nghĩa vụ của hội đồng quản trị đối với cổ đông theo mục 172, cũng như bởi thị trường kiểm soát công ty tương đối không bị ràng buộc của Vương quốc Anh. Hơn nữa, Đạo luật Công ty mô tả một cách rõ ràng công ty có bản chất hợp đồng, tuyên bố rằng hiến chương của công ty “ràng buộc công ty và các thành viên của nó ở cùng mức độ như thể có các giao kèo từ phía công ty và từng thành viên để tuân thủ những điều khoản đó.” Liệu lý thuyết nexus có thực sự có thể được cho là cung cấp một mô tả thuyết phục về quản trị công ty Vương quốc Anh hay không sẽ được đặt câu hỏi dưới đây, nhưng chắc chắn có bằng chứng rằng quan điểm nexus có sức ảnh hưởng nhất định trong giới học giả và hành nghề ở Vương quốc Anh. Nhóm chỉ đạo cho cuộc rà soát toàn diện về luật công ty mà đỉnh cao là Đạo luật Công ty 2006 thậm chí còn tuyên bố trong một văn bản tham vấn rằng cấu trúc này “phục vụ lợi ích của cổ đông bằng cách trao cho họ quyền kiểm soát tối hậu đối với doanh nghiệp,” trích dẫn The Economic Structure of Corporate Law của Easterbrook và Fischel để làm “biện minh kinh tế.”</w:t>
      </w:r>
    </w:p>
    <w:p>
      <w:pPr>
        <w:spacing w:after="80"/>
      </w:pPr>
      <w:r>
        <w:rPr>
          <w:b w:val="0"/>
          <w:i w:val="0"/>
        </w:rPr>
        <w:t>Như phần tổng quan này về quản trị công ty Hoa Kỳ và Vương quốc Anh cho thấy, công ty “Anglo-American” xét cho cùng chỉ là một sự thật được cách điệu hóa. Vì vậy, tính hữu dụng của nó trong phân tích so sánh toàn cầu phải trả một cái giá: sự thiếu sắc thái khiến người ta mờ mịt trước những khác biệt đáng kể và cơ bản xuất hiện khi phân tích kỹ hơn. . . .</w:t>
      </w:r>
    </w:p>
    <w:p>
      <w:pPr>
        <w:pStyle w:val="Heading5"/>
      </w:pPr>
      <w:r>
        <w:rPr>
          <w:rFonts w:ascii="Calibri" w:hAnsi="Calibri"/>
          <w:b/>
          <w:i/>
          <w:sz w:val="22"/>
        </w:rPr>
        <w:t>Bình luận và Câu hỏi</w:t>
      </w:r>
    </w:p>
    <w:p>
      <w:pPr>
        <w:spacing w:after="80"/>
      </w:pPr>
      <w:r>
        <w:rPr>
          <w:b w:val="0"/>
          <w:i w:val="0"/>
        </w:rPr>
        <w:t xml:space="preserve">1. Bạn nghĩ gì về những khác biệt giữa hai hệ thống? Bạn có đồng ý rằng “ở cự ly gần” hai hệ thống “trông không giống nhau chút nào” không? David A. Skeel, Jr., </w:t>
      </w:r>
      <w:r>
        <w:rPr>
          <w:b w:val="0"/>
          <w:i/>
        </w:rPr>
        <w:t>Book Review, Corporate Governance and Social Welfare in the Common-Law World</w:t>
      </w:r>
      <w:r>
        <w:rPr>
          <w:b w:val="0"/>
          <w:i w:val="0"/>
        </w:rPr>
        <w:t xml:space="preserve"> , 92 Tex. L. Rev. 973, 975 (2014).</w:t>
      </w:r>
    </w:p>
    <w:p>
      <w:pPr>
        <w:spacing w:after="80"/>
      </w:pPr>
      <w:r>
        <w:rPr>
          <w:b w:val="0"/>
          <w:i w:val="0"/>
        </w:rPr>
        <w:t>2. Với những khác biệt này, hãy lập luận rằng trên thực tế việc coi hệ thống Anh và Mỹ là tương tự nhau là hợp lý? Suy cho cùng, cả hai trên thực tế đều dựa vào thông luật (common law) nhiều hơn các khu vực tài phán theo bộ luật dân sự (civil code), và cả hai đều không có cấu hình sở hữu dựa trên sự tồn tại của các cổ đông kiểm soát. Liệu như thế có đủ để xếp các hệ thống này vào cùng một nhóm không?</w:t>
      </w:r>
    </w:p>
    <w:p>
      <w:pPr>
        <w:spacing w:after="80"/>
      </w:pPr>
      <w:r>
        <w:rPr>
          <w:b w:val="0"/>
          <w:i w:val="0"/>
        </w:rPr>
        <w:t xml:space="preserve">3. Như đã lưu ý, cổ đông ở Anh có quyền đề xuất sửa đổi các điều khoản thành lập công ty, trong khi cổ đông ở Hoa Kỳ thì không. Do đó, cổ đông ở Hoa Kỳ không thể khởi xướng những thay đổi trong các điều khoản với các quy định mà họ phản đối. Sự khác biệt này quan trọng đến mức nào? Để có thảo luận chi tiết hơn về hậu quả của việc chỉ riêng hội đồng quản trị có quyền đề xuất sửa đổi, xem J. Robert Brown, Jr. &amp; Sandeep Gopalan, </w:t>
      </w:r>
      <w:r>
        <w:rPr>
          <w:b w:val="0"/>
          <w:i/>
        </w:rPr>
        <w:t>Opting Only In: Contractarians, Waiver of Liability Provisions, and the Race to the Bottom</w:t>
      </w:r>
      <w:r>
        <w:rPr>
          <w:b w:val="0"/>
          <w:i w:val="0"/>
        </w:rPr>
        <w:t xml:space="preserve"> , 42 Ind. L. Rev. 285 (2009).</w:t>
      </w:r>
    </w:p>
    <w:p>
      <w:pPr>
        <w:spacing w:after="80"/>
      </w:pPr>
      <w:r>
        <w:rPr>
          <w:b w:val="0"/>
          <w:i w:val="0"/>
        </w:rPr>
        <w:t xml:space="preserve">4. Cổ đông ở Anh cũng có quyền phê duyệt một loạt giao dịch rộng hơn, đặc biệt là những giao dịch liên quan đến xung đột lợi ích tiềm tàng với các thành viên hội đồng quản trị. Vì vậy, chẳng hạn, Đạo luật Công ty cho phép cho ban điều hành vay nhưng chỉ khi được cổ đông phê duyệt trước. </w:t>
      </w:r>
      <w:r>
        <w:rPr>
          <w:b w:val="0"/>
          <w:i/>
        </w:rPr>
        <w:t>Xem</w:t>
      </w:r>
      <w:r>
        <w:rPr>
          <w:b w:val="0"/>
          <w:i w:val="0"/>
        </w:rPr>
        <w:t xml:space="preserve"> Mục 197 của Đạo luật Công ty 2006. Hãy đối chiếu điều này với hệ thống ở Hoa Kỳ. Hầu hết các vấn đề, kể cả những vấn đề liên quan đến xung đột lợi ích với giám đốc, đều không phải đệ trình lên cổ đông. Khi Quốc hội lo ngại về các khoản cho ban điều hành vay, họ đã không mở rộng quyền của cổ đông mà thay vào đó chỉ đơn giản cấm thực hành này. </w:t>
      </w:r>
      <w:r>
        <w:rPr>
          <w:b w:val="0"/>
          <w:i/>
        </w:rPr>
        <w:t>Xem</w:t>
      </w:r>
      <w:r>
        <w:rPr>
          <w:b w:val="0"/>
          <w:i w:val="0"/>
        </w:rPr>
        <w:t xml:space="preserve"> Mục 13(k), 15 U.S.C.S. § 78m(k). Điều gì giải thích những khác biệt trong cách tiếp cận này? Cách tiếp cận nào tốt hơn?</w:t>
      </w:r>
    </w:p>
    <w:p>
      <w:pPr>
        <w:spacing w:after="80"/>
      </w:pPr>
      <w:r>
        <w:rPr>
          <w:b w:val="0"/>
          <w:i w:val="0"/>
        </w:rPr>
        <w:t>5. Liệu Hoa Kỳ có thể học hỏi từ hệ thống của Anh không? Anh đã trao cho cổ đông quyền có một cuộc bỏ phiếu tư vấn về thù lao điều hành vào năm 2002. Phải đến khi Đạo luật Dodd-Frank được thông qua vào năm 2010, cổ đông của các công ty đại chúng ở Hoa Kỳ mới nhận được quyền tương tự. Anh kể từ đó đã thông qua một đạo luật “say on pay” “thế hệ thứ hai” nhằm cung cấp cho cổ đông một số quyền ràng buộc đối với quá trình thù lao. Xem Randall S. Thomas &amp; Christopher Van der Elst, Say on Pay Around the World, 92 Wash. U. L. Rev. 653 (2015). Tại sao Anh có thể đã làm điều này và liệu Hoa Kỳ có khả năng làm theo không?</w:t>
      </w:r>
    </w:p>
    <w:p>
      <w:pPr>
        <w:spacing w:after="80"/>
      </w:pPr>
      <w:r>
        <w:rPr>
          <w:b w:val="0"/>
          <w:i w:val="0"/>
        </w:rPr>
        <w:t xml:space="preserve">6. Một khác biệt đáng kể trong các hệ thống mà hai quốc gia sử dụng liên quan đến việc thực thi tư nhân (private enforcement). Cổ đông ở Anh hiếm khi khởi kiện phái sinh (derivative actions). </w:t>
      </w:r>
      <w:r>
        <w:rPr>
          <w:b w:val="0"/>
          <w:i/>
        </w:rPr>
        <w:t>Xem</w:t>
      </w:r>
      <w:r>
        <w:rPr>
          <w:b w:val="0"/>
          <w:i w:val="0"/>
        </w:rPr>
        <w:t xml:space="preserve"> John Armour, </w:t>
      </w:r>
      <w:r>
        <w:rPr>
          <w:b w:val="0"/>
          <w:i/>
        </w:rPr>
        <w:t>“Enforcement Strategies in UK Corporate Governance: A Roadmap and Empirical Assessment”</w:t>
      </w:r>
      <w:r>
        <w:rPr>
          <w:b w:val="0"/>
          <w:i w:val="0"/>
        </w:rPr>
        <w:t xml:space="preserve"> (Apr. 2008). ECGI-Law Working Paper No. 106/2008 (mô tả số lượng các vụ kiện chống lại giám đốc) (“Số trường hợp thực thi tư nhân chính thức, trong phạm vi chúng tôi có thể ước tính, thực tế là bằng không đối với các công ty niêm yết.”). Đâu là những lý do cho điều này? Một trong số đó là việc áp dụng quy tắc của Anh liên quan đến phí, với các cổ đông thua kiện có nghĩa vụ trả các chi phí mà các giám đốc phải gánh chịu để bào chữa cho vụ kiện, điều này phần nào được giảm nhẹ bởi quyền của cổ đông được bồi hoàn khi khởi kiện. </w:t>
      </w:r>
      <w:r>
        <w:rPr>
          <w:b w:val="0"/>
          <w:i/>
        </w:rPr>
        <w:t>Id.</w:t>
      </w:r>
      <w:r>
        <w:rPr>
          <w:b w:val="0"/>
          <w:i w:val="0"/>
        </w:rPr>
        <w:t xml:space="preserve"> (Mô tả những chi phí này là “rào cản đáng kể” đối với việc khởi kiện). Liệu có thể rằng, với những quyền khác mà cổ đông sở hữu, các vụ kiện phái sinh ít cần thiết hơn không?</w:t>
      </w:r>
    </w:p>
    <w:p>
      <w:pPr>
        <w:spacing w:after="80"/>
      </w:pPr>
      <w:r>
        <w:rPr>
          <w:b w:val="0"/>
          <w:i w:val="0"/>
        </w:rPr>
        <w:t xml:space="preserve">7. Liệu một cách tiếp cận lấy cổ đông làm trung tâm hơn ở Hoa Kỳ có vận hành theo cùng cách như ở Anh không? Điều này phụ thuộc bao nhiêu vào những khác biệt trong cấu hình sở hữu của hầu hết các công ty đại chúng? Trong khi cổ đông kiểm soát không phổ biến ở Hoa Kỳ hay Vương quốc Anh, các công ty ở Vương quốc Anh có xu hướng có số lượng tổ chức ít hơn và “ảnh hưởng của họ ở đó lớn hơn nhiều so với bất kỳ quốc gia nào khác, kể cả Hoa Kỳ.” Klaus J. Hopt, </w:t>
      </w:r>
      <w:r>
        <w:rPr>
          <w:b w:val="0"/>
          <w:i/>
        </w:rPr>
        <w:t>Comparative Corporate Governance: The State of the Art and International Regulation</w:t>
      </w:r>
      <w:r>
        <w:rPr>
          <w:b w:val="0"/>
          <w:i w:val="0"/>
        </w:rPr>
        <w:t xml:space="preserve"> , 59 Am. J. Comp. L. 1, 33 (2011). Điều này có thể tạo ra khác biệt gì trong cả việc thiết lập lẫn tác động của việc gia tăng quyền cho cổ đông?</w:t>
      </w:r>
    </w:p>
    <w:p>
      <w:pPr>
        <w:spacing w:after="80"/>
      </w:pPr>
      <w:r>
        <w:rPr>
          <w:b w:val="0"/>
          <w:i w:val="0"/>
        </w:rPr>
        <w:t xml:space="preserve">8. Còn các quốc gia thông luật khác thì sao? Một phân tích về Úc kết luận rằng quốc gia này có sự bảo vệ cổ đông mạnh hơn cả Hoa Kỳ lẫn Vương quốc Anh. </w:t>
      </w:r>
      <w:r>
        <w:rPr>
          <w:b w:val="0"/>
          <w:i/>
        </w:rPr>
        <w:t>Xem</w:t>
      </w:r>
      <w:r>
        <w:rPr>
          <w:b w:val="0"/>
          <w:i w:val="0"/>
        </w:rPr>
        <w:t xml:space="preserve"> Richard Mitchell, et al., </w:t>
      </w:r>
      <w:r>
        <w:rPr>
          <w:b w:val="0"/>
          <w:i/>
        </w:rPr>
        <w:t>Shareholder Protection in Australia: Institutional Configurations and Regulatory Evolution</w:t>
      </w:r>
      <w:r>
        <w:rPr>
          <w:b w:val="0"/>
          <w:i w:val="0"/>
        </w:rPr>
        <w:t xml:space="preserve"> , 38 Melb. U. L. Rev. 68, 73 (2014) (“Trong khi có nhiều điểm chung với Vương quốc Anh hơn là Hoa Kỳ kể từ năm 1980, mức độ bảo vệ cổ đông ở Úc cao hơn cả Vương quốc Anh lẫn Hoa Kỳ trong toàn bộ giai đoạn nghiên cứu từ 1970–2005.”). Đâu là lời giải thích cho điều này? Liệu cấu hình sở hữu có đưa ra một câu trả lời khả dĩ không? </w:t>
      </w:r>
      <w:r>
        <w:rPr>
          <w:b w:val="0"/>
          <w:i/>
        </w:rPr>
        <w:t>Id.</w:t>
      </w:r>
      <w:r>
        <w:rPr>
          <w:b w:val="0"/>
          <w:i w:val="0"/>
        </w:rPr>
        <w:t xml:space="preserve"> at 95 (lưu ý các nghiên cứu cho thấy rằng “quyền sở hữu các công ty Úc được đặc trưng bởi một mức độ tập trung đáng chú ý, kéo dài theo thời gian, điều này đặt dấu hỏi cho bất kỳ sự phân loại nào về hệ thống sở hữu và kiểm soát công ty của Úc như một hệ thống phân tán hay hệ thống người ngoài một cách dứt khoát.”).</w:t>
      </w:r>
    </w:p>
    <w:p>
      <w:pPr>
        <w:spacing w:after="80"/>
      </w:pPr>
      <w:r>
        <w:rPr>
          <w:b w:val="0"/>
          <w:i w:val="0"/>
        </w:rPr>
        <w:t xml:space="preserve">9. Hệ thống ở Vương quốc Anh vận hành được bao nhiêu chỉ vì cổ đông hiếm khi được kỳ vọng sẽ sử dụng quyền hạn này? </w:t>
      </w:r>
      <w:r>
        <w:rPr>
          <w:b w:val="0"/>
          <w:i/>
        </w:rPr>
        <w:t>Xem</w:t>
      </w:r>
      <w:r>
        <w:rPr>
          <w:b w:val="0"/>
          <w:i w:val="0"/>
        </w:rPr>
        <w:t xml:space="preserve"> Brian R. Cheffins, </w:t>
      </w:r>
      <w:r>
        <w:rPr>
          <w:b w:val="0"/>
          <w:i/>
        </w:rPr>
        <w:t>Does Law Matter? The Separation of Ownership and Control in the United Kingdom</w:t>
      </w:r>
      <w:r>
        <w:rPr>
          <w:b w:val="0"/>
          <w:i w:val="0"/>
        </w:rPr>
        <w:t xml:space="preserve"> , 30 J. Legal Stud. 459, 465 (2001) (“Các nhà đầu tư tổ chức của Anh miễn cưỡng phản ứng với hiệu quả hoạt động công ty kém bằng cách can thiệp để cố gắng khắc phục tình hình.”). Trong một thời đại của các nhà hoạt động cổ đông, một xu hướng đã mang tính quốc tế, chính những quyền này trao cho các nhà hoạt động những cơ chế mạnh mẽ để gây áp lực lên các giám đốc. Ví dụ, cổ đông ở Vương quốc Anh sở hữu 5% cổ phần có quyền biểu quyết có thể triệu tập một cuộc họp đặc biệt và yêu cầu thay thế toàn bộ hội đồng quản trị. Khả năng này được thảo luận trong Dionysia Katelouzou, </w:t>
      </w:r>
      <w:r>
        <w:rPr>
          <w:b w:val="0"/>
          <w:i/>
        </w:rPr>
        <w:t>Worldwide Hedge Fund Activism: Dimensions and Legal Determinants</w:t>
      </w:r>
      <w:r>
        <w:rPr>
          <w:b w:val="0"/>
          <w:i w:val="0"/>
        </w:rPr>
        <w:t xml:space="preserve"> , 17 U. Pa. J. Bus. L. 789 (2015). Liệu điều này có đóng vai trò như một chất xúc tác khả dĩ cho những thay đổi trong quản trị không?</w:t>
      </w:r>
    </w:p>
    <w:p>
      <w:pPr>
        <w:pStyle w:val="Heading3"/>
      </w:pPr>
      <w:r>
        <w:rPr>
          <w:rFonts w:ascii="Calibri" w:hAnsi="Calibri"/>
          <w:b/>
          <w:i w:val="0"/>
          <w:sz w:val="26"/>
        </w:rPr>
        <w:t>B. Các quốc gia theo luật dân sự</w:t>
      </w:r>
    </w:p>
    <w:p>
      <w:pPr>
        <w:spacing w:after="80"/>
      </w:pPr>
      <w:r>
        <w:rPr>
          <w:b w:val="0"/>
          <w:i w:val="0"/>
        </w:rPr>
        <w:t>Phần lớn thế giới tránh những thất thường của hệ thống thông luật (common law) để ưu tiên cách tiếp cận quy định theo bộ luật dân sự (civil code). Các bộ luật dân sự thường mang lại sự chắc chắn và thống nhất cao hơn. Cách tiếp cận theo bộ luật dân sự là chuẩn mực ở lục địa châu Âu.</w:t>
      </w:r>
    </w:p>
    <w:p>
      <w:pPr>
        <w:spacing w:after="80"/>
      </w:pPr>
      <w:r>
        <w:rPr>
          <w:b w:val="0"/>
          <w:i w:val="0"/>
        </w:rPr>
        <w:t xml:space="preserve">Việc so sánh hệ thống thông luật và hệ thống luật dân sự trong lĩnh vực quản trị công ty có những hạn chế. Thứ nhất, người ta thường có xu hướng xem các quốc gia theo luật dân sự như một khối chung. Tuy nhiên, một số khác biệt đáng chú ý nhất trong quản trị chỉ áp dụng cho một nhóm nhỏ các quốc gia theo luật dân sự. Chẳng hạn, Đức và Scandinavia dựa trên cấu trúc hội đồng kép (dual board), với một ban điều hành (management board) chủ yếu gồm các giám đốc điều hành và một ban giám sát (supervisory board) do cổ đông bầu (và đôi khi cả nhân viên). Tuy vậy, không phải tất cả các công ty châu Âu đều dựa trên hệ thống hội đồng kép và thực tế, “[t]rên bình diện quốc tế, cấu trúc hội đồng phổ biến nhất là hội đồng một tầng (one-tier board).” Klaus J. Hopt, </w:t>
      </w:r>
      <w:r>
        <w:rPr>
          <w:b w:val="0"/>
          <w:i/>
        </w:rPr>
        <w:t>Comparative Corporate Governance: The State of the Art and International Regulation</w:t>
      </w:r>
      <w:r>
        <w:rPr>
          <w:b w:val="0"/>
          <w:i w:val="0"/>
        </w:rPr>
        <w:t xml:space="preserve"> , 59 Am. J. Comp. L. 1, 21 (2011).</w:t>
      </w:r>
    </w:p>
    <w:p>
      <w:pPr>
        <w:spacing w:after="80"/>
      </w:pPr>
      <w:r>
        <w:rPr>
          <w:b w:val="0"/>
          <w:i w:val="0"/>
        </w:rPr>
        <w:t>Tương tự, các quốc gia theo luật dân sự đôi khi sử dụng cách tiếp cận quản trị hướng đến các bên liên quan (stakeholder approach), cho phép hội đồng xem xét lợi ích của các nhóm khác ngoài cổ đông. Đức, quốc gia trao cho nhân viên quyền chọn một nửa số thành viên hội đồng của các công ty đại chúng lớn nhất, là ví dụ điển hình cho cách tiếp cận này. Tuy nhiên, nhiều quốc gia theo luật dân sự không dựa trên cơ chế đồng quyết định (codetermination) và những nước có áp dụng thì hiếm khi trao cho nhân viên một nửa số vị trí trong hội đồng quản trị. Hơn nữa, quyền của các bên liên quan đã bén rễ ở những nơi như Nam Phi, nơi dù có thể là một quốc gia lai (hybrid jurisdiction) nhưng lại có nguồn gốc thông luật mạnh mẽ từ thời kỳ cai trị của Anh.</w:t>
      </w:r>
    </w:p>
    <w:p>
      <w:pPr>
        <w:spacing w:after="80"/>
      </w:pPr>
      <w:r>
        <w:rPr>
          <w:b w:val="0"/>
          <w:i w:val="0"/>
        </w:rPr>
        <w:t>Đồng thời, một số đặc điểm của hệ thống luật dân sự cũng khá điển hình trong các quốc gia theo thông luật. Việc sử dụng các bộ quy tắc quản trị công ty tự nguyện (voluntary corporate codes) rất phổ biến ở các nước theo luật dân sự. Tuy nhiên, các bộ quy tắc này cũng tồn tại ở những thành trì thông luật như Vương quốc Anh và Úc. Hơn nữa, dù các quốc gia theo bộ luật dân sự được đặc trưng bởi luật pháp chi tiết, lần sửa đổi gần đây nhất của Luật Công ty (Companies Act) ở Anh lại tạo ra một văn bản lập pháp đồ sộ kéo dài hàng trăm trang.</w:t>
      </w:r>
    </w:p>
    <w:p>
      <w:pPr>
        <w:spacing w:after="80"/>
      </w:pPr>
      <w:r>
        <w:rPr>
          <w:b w:val="0"/>
          <w:i w:val="0"/>
        </w:rPr>
        <w:t>Tuy vậy, có thể vẫn tồn tại một số chủ đề chung. Có lẽ những chủ đề đó ít liên quan đến sự khác biệt trong các yêu cầu khách quan mà liên quan nhiều hơn đến sự khác biệt trong cách tiếp cận triết học đối với việc quy định.</w:t>
      </w:r>
    </w:p>
    <w:p>
      <w:pPr>
        <w:pStyle w:val="Heading4"/>
      </w:pPr>
      <w:r>
        <w:rPr>
          <w:rFonts w:ascii="Calibri" w:hAnsi="Calibri"/>
          <w:b/>
          <w:i w:val="0"/>
          <w:sz w:val="23"/>
        </w:rPr>
        <w:t>1. Bối cảnh</w:t>
      </w:r>
    </w:p>
    <w:p>
      <w:pPr>
        <w:spacing w:after="80"/>
      </w:pPr>
      <w:r>
        <w:rPr>
          <w:b w:val="0"/>
          <w:i w:val="0"/>
        </w:rPr>
        <w:t>Các quốc gia theo luật dân sự bề ngoài có nguồn gốc từ các bộ luật hóa pháp lý được thực hiện dưới thời Đế chế La Mã. Tổ tiên hiện đại hơn là Bộ luật Napoléon (Napoleonic Code).</w:t>
      </w:r>
    </w:p>
    <w:p>
      <w:pPr>
        <w:pStyle w:val="Heading4"/>
      </w:pPr>
      <w:r>
        <w:rPr>
          <w:rFonts w:ascii="Calibri" w:hAnsi="Calibri"/>
          <w:b/>
          <w:i w:val="0"/>
          <w:sz w:val="23"/>
        </w:rPr>
        <w:t xml:space="preserve">Mark J. Roe, </w:t>
      </w:r>
      <w:r>
        <w:rPr>
          <w:rFonts w:ascii="Calibri" w:hAnsi="Calibri"/>
          <w:b/>
          <w:i/>
          <w:sz w:val="23"/>
        </w:rPr>
        <w:t>Legal Origins, Politics, and Modern Stock Markets</w:t>
      </w:r>
    </w:p>
    <w:p>
      <w:pPr>
        <w:spacing w:after="80"/>
      </w:pPr>
      <w:r>
        <w:rPr>
          <w:b w:val="0"/>
          <w:i w:val="0"/>
        </w:rPr>
        <w:t>120 Harv. L. Rev. 460, 469–70 (2006)</w:t>
      </w:r>
    </w:p>
    <w:p>
      <w:pPr>
        <w:spacing w:after="80"/>
      </w:pPr>
      <w:r>
        <w:rPr>
          <w:b w:val="0"/>
          <w:i w:val="0"/>
        </w:rPr>
        <w:t>Hoàng đế Justinian đã cho biên soạn luật La Mã và khi bản biên soạn hoàn thành vào năm 533, ông cấm những người ra quyết định trong tương lai tham chiếu đến công trình của các thẩm phán và trích dẫn các nguồn thẩm quyền khác ngoài Bộ luật của ông. Toàn bộ luật pháp đều được phản ánh trong Corpus Juris Civilis của ông, mọi thứ khác đều là ngoại lai. Napoleon, với mong muốn kiểm soát các thẩm phán ở nước Pháp hậu cách mạng giống như những người cách mạng đã tìm cách làm vào năm 1791—bằng cách yêu cầu các thẩm phán, nếu văn bản lập pháp mơ hồ hoặc im lặng, phải hỏi cơ quan lập pháp về ý nghĩa của nó—đã ban hành Bộ luật nổi tiếng của mình. Mặt khác, thông luật phát triển khi các thẩm phán xét xử các vụ án và các án lệ tiến hóa, mà không cần các thẩm phán tham chiếu đến một bộ luật trung tâm. Một bộ luật tập trung hóa thẩm quyền; các thẩm phán thông luật phân tán thẩm quyền đó.</w:t>
      </w:r>
    </w:p>
    <w:p>
      <w:pPr>
        <w:spacing w:after="80"/>
      </w:pPr>
      <w:r>
        <w:rPr>
          <w:b w:val="0"/>
          <w:i w:val="0"/>
        </w:rPr>
        <w:t>Người ta nói rằng các thẩm phán theo luật dân sự và thông luật đọc văn bản của bộ luật điều chỉnh theo cách khác nhau. Các thẩm phán theo luật dân sự đọc theo nghĩa đơn giản của nó; nếu văn bản không đầy đủ, người ta nói rằng một thẩm phán luật dân sự cổ điển không lấp đầy các khoảng trống như một thẩm phán thông luật sẽ làm. Do đó, thẩm phán luật dân sự ngăn chặn các âm mưu nội bộ trong công ty một cách vụng về, trong khi thẩm phán thông luật khôn khéo thích nghi và ngăn chặn hành vi trộm cắp nội bộ. Các thẩm phán thông luật tuân theo án lệ, từ đó xây dựng một hệ thống luật gắn kết từ dưới lên. Ngược lại, các thẩm phán luật dân sự không tuân theo các ý kiến trước đó, thường không viết ra lý lẽ của mình, và không gắn chặt các quyết định của họ với các tình tiết của vụ án.</w:t>
      </w:r>
    </w:p>
    <w:p>
      <w:pPr>
        <w:spacing w:after="80"/>
      </w:pPr>
      <w:r>
        <w:rPr>
          <w:b w:val="0"/>
          <w:i w:val="0"/>
        </w:rPr>
        <w:t>Luật dân sự có xu hướng tư duy diễn dịch—“lập kế hoạch, quy định mọi thứ trước, . . . soạn thảo các quy tắc và hệ thống hóa chúng.” Ngược lại, “người Anh ứng biến, không bao giờ đưa ra quyết định cho đến khi buộc phải làm. . . . Chỉ có kinh nghiệm mới đáng kể . . . và vì vậy ông ấy không thiên về các quy tắc luật trừu tượng.”</w:t>
      </w:r>
    </w:p>
    <w:p>
      <w:pPr>
        <w:spacing w:after="80"/>
      </w:pPr>
      <w:r>
        <w:rPr>
          <w:b w:val="0"/>
          <w:i w:val="0"/>
        </w:rPr>
        <w:t>Luật dân sự lập kế hoạch, thông luật phản ứng.</w:t>
      </w:r>
    </w:p>
    <w:p>
      <w:pPr>
        <w:pStyle w:val="Heading5"/>
      </w:pPr>
      <w:r>
        <w:rPr>
          <w:rFonts w:ascii="Calibri" w:hAnsi="Calibri"/>
          <w:b/>
          <w:i/>
          <w:sz w:val="22"/>
        </w:rPr>
        <w:t>Bình luận và Câu hỏi</w:t>
      </w:r>
    </w:p>
    <w:p>
      <w:pPr>
        <w:spacing w:after="80"/>
      </w:pPr>
      <w:r>
        <w:rPr>
          <w:b w:val="0"/>
          <w:i w:val="0"/>
        </w:rPr>
        <w:t xml:space="preserve">1. Dù có nguồn gốc La Mã, bộ luật dân sự hiện đại bắt đầu từ Pháp. Hơn nữa, ban đầu nó lan truyền không phải nhờ giá trị của mình mà là kết quả của mệnh lệnh quân sự. </w:t>
      </w:r>
      <w:r>
        <w:rPr>
          <w:b w:val="0"/>
          <w:i/>
        </w:rPr>
        <w:t>Xem</w:t>
      </w:r>
      <w:r>
        <w:rPr>
          <w:b w:val="0"/>
          <w:i w:val="0"/>
        </w:rPr>
        <w:t xml:space="preserve"> Guy Canivet, </w:t>
      </w:r>
      <w:r>
        <w:rPr>
          <w:b w:val="0"/>
          <w:i/>
        </w:rPr>
        <w:t>French Civil Law Between Past and Revival</w:t>
      </w:r>
      <w:r>
        <w:rPr>
          <w:b w:val="0"/>
          <w:i w:val="0"/>
        </w:rPr>
        <w:t xml:space="preserve"> , 20 Conn. J. Int'l L. 111, 111–12 (2004) (“Và không ai phủ nhận rằng nếu, kể từ thời điểm ban hành, Bộ luật Dân sự đã vượt qua biên giới quốc gia, thì đó là nhờ các cuộc chinh phục quân sự và tham vọng bá quyền của Hoàng đế. Vì thực vậy, chính sức mạnh của vũ khí đã truyền bá Bộ luật Dân sự ở châu Âu vào thời Napoleon.”).</w:t>
      </w:r>
    </w:p>
    <w:p>
      <w:pPr>
        <w:spacing w:after="80"/>
      </w:pPr>
      <w:r>
        <w:rPr>
          <w:b w:val="0"/>
          <w:i w:val="0"/>
        </w:rPr>
        <w:t>2. Một số quốc gia đã chủ động lựa chọn trở thành các khu vực tài phán theo luật dân sự (civil law). Nhật Bản, trong quá trình mở cửa với phương Tây, đã vay mượn rất nhiều từ bộ luật dân sự của Đức. Thổ Nhĩ Kỳ, khi trở thành nước cộng hòa vào những năm 1920, ít nhiều đã áp dụng nguyên bộ luật dân sự được sử dụng ở Thụy Sĩ. Dựa trên mô tả của Giáo sư Roe, sức hấp dẫn của cách tiếp cận luật dân sự là gì?</w:t>
      </w:r>
    </w:p>
    <w:p>
      <w:pPr>
        <w:spacing w:after="80"/>
      </w:pPr>
      <w:r>
        <w:rPr>
          <w:b w:val="0"/>
          <w:i w:val="0"/>
        </w:rPr>
        <w:t>3. Bạn nghĩ gì về kết luận rằng các khu vực tài phán theo bộ luật dân sự thì lập kế hoạch trong khi các quốc gia theo thông luật (common law) thì phản ứng? Điều này có thể tác động thế nào đến quá trình quản trị doanh nghiệp? Cách nào phù hợp hơn với nền kinh tế thị trường?</w:t>
      </w:r>
    </w:p>
    <w:p>
      <w:pPr>
        <w:spacing w:after="80"/>
      </w:pPr>
      <w:r>
        <w:rPr>
          <w:b w:val="0"/>
          <w:i w:val="0"/>
        </w:rPr>
        <w:t>4. Đối với các thị trường mới nổi hoặc đang phát triển, liệu có giải pháp thay thế thực sự nào cho cách tiếp cận luật dân sự không? Hậu quả của việc tránh xa cách tiếp cận bộ luật dân sự sẽ là gì? Cần có loại cơ sở hạ tầng nào để triển khai hiệu quả hệ thống thông luật?</w:t>
      </w:r>
    </w:p>
    <w:p>
      <w:pPr>
        <w:spacing w:after="80"/>
      </w:pPr>
      <w:r>
        <w:rPr>
          <w:b w:val="0"/>
          <w:i w:val="0"/>
        </w:rPr>
        <w:t xml:space="preserve">5. Các nghiên cứu đã xem xét sự khác biệt về các thuộc tính của khu vực tài phán theo thông luật và luật dân sự liên quan đến quản trị doanh nghiệp và thị trường vốn hiệu quả. Nhìn chung, những nghiên cứu đó có xu hướng đánh giá các khu vực tài phán theo thông luật thuận lợi hơn, ít nhất là khi được đánh giá qua chất lượng thị trường chứng khoán của họ. Trong phạm vi những khác biệt tồn tại, chúng có thể ít liên quan đến việc phân biệt luật dân sự và thông luật mà liên quan nhiều hơn đến cách tiếp cận triết học đối với việc quản lý và thực thi. Xem John C. Coffee, Jr., </w:t>
      </w:r>
      <w:r>
        <w:rPr>
          <w:b w:val="0"/>
          <w:i/>
        </w:rPr>
        <w:t>Law and the Market: The Impact of Enforcement, 156 U. PA . L. REV . 229</w:t>
      </w:r>
      <w:r>
        <w:rPr>
          <w:b w:val="0"/>
          <w:i w:val="0"/>
        </w:rPr>
        <w:t xml:space="preserve"> (2007) ("Sự tương phản then chốt ở đây là ở các khu vực tài phán theo luật dân sự, vai trò của chính quyền trung ương lớn hơn và mang tính can thiệp nhiều hơn, với quyền tự quyết được trao cho các cơ quan tư nhân hoặc tự quản ít hơn nhiều."). Giả sử nhận định này là chính xác, một quốc gia theo luật dân sự có thể thực hiện những bước nào để thúc đẩy sự phát triển của các thị trường chứng khoán năng động?</w:t>
      </w:r>
    </w:p>
    <w:p>
      <w:pPr>
        <w:pStyle w:val="Heading4"/>
      </w:pPr>
      <w:r>
        <w:rPr>
          <w:rFonts w:ascii="Calibri" w:hAnsi="Calibri"/>
          <w:b/>
          <w:i w:val="0"/>
          <w:sz w:val="23"/>
        </w:rPr>
        <w:t>2. Tuân thủ hoặc Giải trình</w:t>
      </w:r>
    </w:p>
    <w:p>
      <w:pPr>
        <w:spacing w:after="80"/>
      </w:pPr>
      <w:r>
        <w:rPr>
          <w:b w:val="0"/>
          <w:i w:val="0"/>
        </w:rPr>
        <w:t>Tuân thủ hoặc giải trình (comply or explain) đòi hỏi việc phát triển các thông lệ quản trị doanh nghiệp thông qua việc sử dụng các bộ quy tắc thông lệ tốt nhất không mang tính bắt buộc. Đôi khi được gọi là "luật mềm" (soft law), những bộ quy tắc này thường chứa các tiêu chuẩn chi tiết và cụ thể. Các công ty có thể chọn lựa các quy định áp dụng được, mặc dù đôi khi họ phải "giải trình" về việc từ chối những thông lệ cụ thể. Các nhà đầu tư và thị trường vốn, chứ không phải chính phủ, là những trọng tài cuối cùng cho các lựa chọn mà những công ty này đưa ra.</w:t>
      </w:r>
    </w:p>
    <w:p>
      <w:pPr>
        <w:spacing w:after="80"/>
      </w:pPr>
      <w:r>
        <w:rPr>
          <w:b w:val="0"/>
          <w:i w:val="0"/>
        </w:rPr>
        <w:t>Những bộ quy tắc này tồn tại ở cả khu vực tài phán theo thông luật và luật dân sự. Thật vậy, nguồn gốc của chúng phần lớn có thể được truy nguyên về Báo cáo Cadbury (Cadbury Report), một bộ tiêu chuẩn quản trị tự nguyện được phát triển ở Vương quốc Anh vào năm 1992.</w:t>
      </w:r>
    </w:p>
    <w:p>
      <w:pPr>
        <w:pStyle w:val="Heading4"/>
      </w:pPr>
      <w:r>
        <w:rPr>
          <w:rFonts w:ascii="Calibri" w:hAnsi="Calibri"/>
          <w:b/>
          <w:i w:val="0"/>
          <w:sz w:val="23"/>
        </w:rPr>
        <w:t xml:space="preserve">Klaus J. Hopt, </w:t>
      </w:r>
      <w:r>
        <w:rPr>
          <w:rFonts w:ascii="Calibri" w:hAnsi="Calibri"/>
          <w:b/>
          <w:i/>
          <w:sz w:val="23"/>
        </w:rPr>
        <w:t>Comparative Corporate Governance:</w:t>
      </w:r>
      <w:r>
        <w:br/>
      </w:r>
      <w:r>
        <w:rPr>
          <w:rFonts w:ascii="Calibri" w:hAnsi="Calibri"/>
          <w:b/>
          <w:i/>
          <w:sz w:val="23"/>
        </w:rPr>
        <w:t xml:space="preserve"> The State of the Art and International Regulation</w:t>
      </w:r>
    </w:p>
    <w:p>
      <w:pPr>
        <w:spacing w:after="80"/>
      </w:pPr>
      <w:r>
        <w:rPr>
          <w:b w:val="0"/>
          <w:i w:val="0"/>
        </w:rPr>
        <w:t>59 Am. J. Comp. L. 1 (2011)</w:t>
      </w:r>
    </w:p>
    <w:p>
      <w:pPr>
        <w:spacing w:after="80"/>
      </w:pPr>
      <w:r>
        <w:rPr>
          <w:b w:val="0"/>
          <w:i w:val="0"/>
        </w:rPr>
        <w:t>Gần đây hơn, quản trị doanh nghiệp dưới hình thức luật mềm với nhiều dạng khác nhau đã giành được chỗ đứng. Những ví dụ nổi bật bao gồm hàng loạt bộ quy tắc quản trị doanh nghiệp; các khuyến nghị không ràng buộc từ nhiều nguồn khác nhau như phòng thương mại, hiệp hội doanh nghiệp và ngân hàng, và các ủy ban quốc tế; các tiêu chuẩn thông lệ tốt nhất; và các hình thức tự quản và kỷ luật thị trường khác. Ngày nay hầu hết các quốc gia đều có bộ quy tắc quản trị doanh nghiệp. Những bộ quy tắc này không phải là luật và do đó không có hiệu lực ràng buộc. Nguyên mẫu và mô hình quốc tế hiện hành cho những công cụ này là Bộ quy tắc Quản trị Doanh nghiệp Vương quốc Anh (UK Corporate Governance Code) có nguồn gốc từ Bộ quy tắc Kết hợp (Combined Code) của Ủy ban Cadbury năm 1992. Trong khoảng thời gian đó đã có cả một làn sóng các bộ quy tắc quản trị doanh nghiệp, và ngày nay hầu như tất cả các quốc gia liên quan đều có một hoặc nhiều bộ quy tắc như vậy. Những bộ quy tắc này xuất phát từ nhiều nguồn khác nhau, bao gồm các sở giao dịch chứng khoán, các tổ chức doanh nghiệp, các ủy ban chính phủ đặc biệt hoặc các ủy ban công tương tự, các cơ quan giám sát, và một số ít từ các học giả và người hành nghề. Thông thường những bộ quy tắc này chỉ đề cập đến các công ty niêm yết. Nhưng cũng có những bộ quy tắc quản trị doanh nghiệp cụ thể cho các doanh nghiệp gia đình, hoặc cho các doanh nghiệp mà nhà nước hoặc các cơ quan công quyền khác nắm giữ một khối cổ phần quan trọng. Đôi khi các lĩnh vực cụ thể của nền kinh tế như ngân hàng hoặc thậm chí các tập đoàn riêng lẻ như Deutsche Bank trong một thời gian, đã ban hành các bộ quy tắc quản trị doanh nghiệp đặc biệt hoặc các khuyến nghị tương tự.</w:t>
      </w:r>
    </w:p>
    <w:p>
      <w:pPr>
        <w:spacing w:after="80"/>
      </w:pPr>
      <w:r>
        <w:rPr>
          <w:b w:val="0"/>
          <w:i w:val="0"/>
        </w:rPr>
        <w:t>Nội dung của những bộ quy tắc quản trị doanh nghiệp này rất khác nhau. Một số rất tinh vi: ví dụ, Bộ quy tắc của Vương quốc Anh chứa các Nguyên tắc Chính (Main Principles) ở cấp cao, các Nguyên tắc Hỗ trợ (Supporting Principles) ở cấp trung và các Quy định (Provisions) ở cấp thấp. Những bộ khác ngắn hơn, và ít rõ ràng hoặc ít nghiêm ngặt hơn nhiều. Nội dung của mỗi bộ quy tắc phụ thuộc vào truyền thống tài chính và khả năng của từng quốc gia cùng các thể chế của nó trong việc có và hỗ trợ một cách đáng tin cậy việc tự quản. Ở Thành phố Luân Đôn (City of London), tất nhiên, điều này rõ ràng hơn nhiều đối với tất cả những người tham gia so với ở một nhà nước liên bang với các trung tâm kinh tế và thành phần tham gia đa dạng, như truyền thống ở Đức. Ở Đức và một số quốc gia khác, các bộ quy tắc quản trị doanh nghiệp tương ứng cũng nhằm mục đích thông tin cho các nhà đầu tư nước ngoài về các quy tắc quốc gia về quản trị doanh nghiệp, dù bắt nguồn từ luật chính thức thực tế hay từ thông lệ quản trị doanh nghiệp tốt như được khuyến nghị trong bộ quy tắc. Nhìn chung, các bộ quy tắc quản trị doanh nghiệp chủ yếu điều chỉnh hội đồng quản trị và các ủy ban của nó, hoặc trong trường hợp hội đồng quản trị hai cấp, cả hai hội đồng và mối quan hệ giữa chúng. Nhưng cũng có các quy tắc về quyền của cổ đông và thông lệ kiểm toán. Tất cả những bộ quy tắc quản trị doanh nghiệp này đều chứa các quy định liên quan đến quản trị doanh nghiệp nội bộ, với sự nhấn mạnh đặc biệt vào hội đồng quản trị. Các quy tắc quản trị doanh nghiệp bên ngoài, đặc biệt liên quan đến việc thâu tóm, theo truyền thống đã phát triển riêng biệt, cả trong luật và theo cơ chế tự quản. Ví dụ điển hình là Bộ quy tắc Thâu tóm (Takeover Code) của Ủy ban Thâu tóm (Takeover Panel) ở Vương quốc Anh, trước đây hoàn toàn mang tính tự quản, nhưng sau Chỉ thị Thâu tóm của EU nay đã có sự hậu thuẫn lập pháp theo Đạo luật Công ty năm 2006. Sự cùng tồn tại của các chế độ này—luật và bộ quy tắc quản trị doanh nghiệp và quy định thâu tóm (thông qua luật thâu tóm và bộ quy tắc thâu tóm)—có thể dẫn đến những lỗ hổng và sự mâu thuẫn liên quan đến các quy tắc và khuyến nghị.</w:t>
      </w:r>
    </w:p>
    <w:p>
      <w:pPr>
        <w:spacing w:after="80"/>
      </w:pPr>
      <w:r>
        <w:rPr>
          <w:b w:val="0"/>
          <w:i w:val="0"/>
        </w:rPr>
        <w:t>Tỷ lệ tuân thủ những bộ quy tắc này khác nhau—cao ở Vương quốc Anh và Đức, ví dụ, nhưng thấp hơn ở các quốc gia khác—nhưng mối liên hệ rõ ràng giữa việc tuân thủ các bộ quy tắc và giá cổ phiếu của công ty vẫn chưa được thiết lập một cách thực nghiệm. Trong mọi trường hợp, mức độ liên quan của các bộ quy tắc đối với việc tập trung sự chú ý vào thông lệ quản trị doanh nghiệp tốt và cả đối với nghiên cứu và tranh luận học thuật là cao.</w:t>
      </w:r>
    </w:p>
    <w:p>
      <w:pPr>
        <w:spacing w:after="80"/>
      </w:pPr>
      <w:r>
        <w:rPr>
          <w:b w:val="0"/>
          <w:i w:val="0"/>
        </w:rPr>
        <w:t>3. Quản lý và Thực thi các Bộ quy tắc</w:t>
      </w:r>
    </w:p>
    <w:p>
      <w:pPr>
        <w:spacing w:after="80"/>
      </w:pPr>
      <w:r>
        <w:rPr>
          <w:b w:val="0"/>
          <w:i w:val="0"/>
        </w:rPr>
        <w:t>Việc quản lý và thực thi các bộ quy tắc quản trị doanh nghiệp khác nhau đáng kể. Ở một số quốc gia không có ủy ban bộ quy tắc thường trực hoặc các cơ quan tương tự, kết quả là bộ quy tắc vẫn chỉ là một khuyến nghị đơn thuần; nó không được thực thi ngoài áp lực từ đồng nghiệp và lợi ích bản thân, và không được sửa đổi thường xuyên dựa trên những nhu cầu và hiểu biết mới. Một hình thức công bố thông tin nhẹ nhàng được quy định ở các quốc gia thuộc Liên minh Châu Âu, nơi bản tuyên bố quản trị doanh nghiệp bắt buộc phải chỉ ra liệu công ty có phải tuân theo một bộ quy tắc quản trị doanh nghiệp hay không và, nếu có, thì theo bộ nào.</w:t>
      </w:r>
    </w:p>
    <w:p>
      <w:pPr>
        <w:spacing w:after="80"/>
      </w:pPr>
      <w:r>
        <w:rPr>
          <w:b w:val="0"/>
          <w:i w:val="0"/>
        </w:rPr>
        <w:t>Các sở giao dịch chứng khoán có thể yêu cầu nhiều hơn, cụ thể là yêu cầu các công ty trong điều kiện niêm yết của họ phải tuân thủ bộ quy tắc, như ở Vương quốc Anh và các quốc gia khác. . . . Nếu việc tuân thủ bộ quy tắc là điều kiện để niêm yết, điều này không để cho công ty và các giám đốc của nó lựa chọn nào khác ngoài việc đồng ý với những điều khoản đó. Do đó việc tuân thủ bộ quy tắc không còn mang tính tự nguyện nữa, ngoại trừ đối với các công ty không niêm yết.</w:t>
      </w:r>
    </w:p>
    <w:p>
      <w:pPr>
        <w:spacing w:after="80"/>
      </w:pPr>
      <w:r>
        <w:rPr>
          <w:b w:val="0"/>
          <w:i w:val="0"/>
        </w:rPr>
        <w:t>Ở các quốc gia khác, các ủy ban quản trị doanh nghiệp đặc biệt chịu trách nhiệm ban hành, quản lý và thực thi bộ quy tắc. Việc thực thi có thể chỉ đơn giản là tự quản, tức là về cơ bản thông qua áp lực từ đồng nghiệp hoặc thông qua công bố thông tin, thường trên cơ sở "tuân thủ hoặc công bố". Ở một số quốc gia—như Hà Lan, Đức, Áo, Đan Mạch, Bồ Đào Nha và Tây Ban Nha—việc công bố thông tin này, nhưng không phải bộ quy tắc và nội dung của nó, được luật hỗ trợ, ví dụ bằng một quy định trong đạo luật công ty cổ phần rằng các công ty niêm yết phải "tuân thủ hoặc công bố" hoặc "tuân thủ hoặc giải trình." Đây là một kỹ thuật thú vị nằm giữa tự quản và quản lý bằng luật, và có thể được mô tả là "tự quản trong bóng tối của luật." Mức độ mà việc không tuân thủ phải được giải trình khác nhau đáng kể. Một số bộ quy tắc không nêu chi tiết "giải trình" nghĩa là gì; những bộ khác phân biệt giữa các nguyên tắc chính và các nguyên tắc cấp thấp hơn của bộ quy tắc. Kinh nghiệm cho thấy rằng một yêu cầu như vậy có thể dẫn đến những vấn đề pháp lý hóc búa, không chỉ liên quan đến phạm vi và nội dung của quy tắc, mà còn cả trách nhiệm đối với việc công bố thông tin đó và các hậu quả pháp lý của việc không công bố. Ở một số quốc gia, tòa án gắn các hậu quả pháp lý với việc công bố sai hoặc bỏ sót, với điều kiện là công ty đã tuyên bố rằng nó tuân thủ bộ quy tắc. Một ví dụ là khả năng vô hiệu hóa một nghị quyết của cổ đông về việc phê chuẩn một hành động do ban điều hành thực hiện. Việc công bố sai hoặc không công bố cũng là một vi phạm nghĩa vụ của giám đốc, có thể mang lại các hậu quả nội bộ và/hoặc pháp lý, bao gồm sự chỉ trích của cổ đông, các biện pháp do cơ quan giám sát hoặc sở giao dịch chứng khoán thực hiện, và thậm chí có thể là trách nhiệm cá nhân.</w:t>
      </w:r>
    </w:p>
    <w:p>
      <w:pPr>
        <w:spacing w:after="80"/>
      </w:pPr>
      <w:r>
        <w:rPr>
          <w:b w:val="0"/>
          <w:i w:val="0"/>
        </w:rPr>
        <w:t>Một biến thể khác liên quan đến mức độ mà việc công bố thông tin về quản trị công ty phải được xác minh hoặc thậm chí phải được kiểm toán. Như đã thấy trước đây, tuyên bố công bố theo cơ chế "tuân thủ hoặc giải trình" (comply or explain) thường do toàn bộ hội đồng quản trị đưa ra. Tuy nhiên, nếu công ty buộc phải hoặc chọn công bố thông tin về việc mình chịu sự điều chỉnh của một bộ quy tắc quản trị công ty, hoặc về việc tuân thủ hay không tuân thủ bộ quy tắc đó, và nếu tuyên bố này là một phần trong báo cáo thường niên của công ty, thì tuyên bố này cũng thuộc phạm vi kiểm toán thường niên. Đây là lý do vì sao hầu hết các công ty thích đưa ra một tuyên bố riêng biệt như một phụ lục kèm theo báo cáo quản lý thường niên, nhờ đó không thuộc yêu cầu kiểm toán.</w:t>
      </w:r>
    </w:p>
    <w:p>
      <w:pPr>
        <w:pStyle w:val="Heading5"/>
      </w:pPr>
      <w:r>
        <w:rPr>
          <w:rFonts w:ascii="Calibri" w:hAnsi="Calibri"/>
          <w:b/>
          <w:i/>
          <w:sz w:val="22"/>
        </w:rPr>
        <w:t>Bình luận và Câu hỏi</w:t>
      </w:r>
    </w:p>
    <w:p>
      <w:pPr>
        <w:spacing w:after="80"/>
      </w:pPr>
      <w:r>
        <w:rPr>
          <w:b w:val="0"/>
          <w:i w:val="0"/>
        </w:rPr>
        <w:t xml:space="preserve">1. Các bộ quy tắc được sử dụng tại hơn 70 quốc gia có thể được tìm thấy trên trang web của Viện Quản trị Công ty Châu Âu (European Corporate Governance Institute). </w:t>
      </w:r>
      <w:r>
        <w:rPr>
          <w:b w:val="0"/>
          <w:i/>
        </w:rPr>
        <w:t>Xem</w:t>
      </w:r>
      <w:r>
        <w:rPr>
          <w:b w:val="0"/>
          <w:i w:val="0"/>
        </w:rPr>
        <w:t xml:space="preserve"> http://www.ecgi.org/codes/all_codes.php .</w:t>
      </w:r>
    </w:p>
    <w:p>
      <w:pPr>
        <w:spacing w:after="80"/>
      </w:pPr>
      <w:r>
        <w:rPr>
          <w:b w:val="0"/>
          <w:i w:val="0"/>
        </w:rPr>
        <w:t>2. Đâu là điểm mạnh và điểm yếu của một hệ thống được xây dựng xoay quanh các bộ quy tắc quản trị công ty mang tính tự nguyện? Liệu rủi ro rằng những bộ quy tắc này có thể gây ảnh hưởng tiêu cực đến quản trị công ty có phải là lý do chống lại việc sử dụng chúng không? Có những trường hợp nào mà những ảnh hưởng này ít có khả năng xảy ra hơn không?</w:t>
      </w:r>
    </w:p>
    <w:p>
      <w:pPr>
        <w:spacing w:after="80"/>
      </w:pPr>
      <w:r>
        <w:rPr>
          <w:b w:val="0"/>
          <w:i w:val="0"/>
        </w:rPr>
        <w:t xml:space="preserve">3. Cơ chế tuân thủ hoặc giải trình đôi khi được mô tả là một hệ thống dựa trên các nguyên tắc thay vì các quy tắc bắt buộc. </w:t>
      </w:r>
      <w:r>
        <w:rPr>
          <w:b w:val="0"/>
          <w:i/>
        </w:rPr>
        <w:t>Xem</w:t>
      </w:r>
      <w:r>
        <w:rPr>
          <w:b w:val="0"/>
          <w:i w:val="0"/>
        </w:rPr>
        <w:t xml:space="preserve"> Exchange Act Release No. 61175 (ngày 16 tháng 12 năm 2009) (thông qua các yêu cầu công bố thông tin về thù lao và lưu ý rằng việc công bố các chính sách và thông lệ về thù lao được thực hiện theo cách phù hợp với "cách tiếp cận dựa trên nguyên tắc"). Một số vấn đề với cách tiếp cận này là gì? Còn về phần giải trình cho việc không tuân thủ thì sao? Như Bộ quy tắc Kết hợp (Combined Code) của Vương quốc Anh mô tả:</w:t>
      </w:r>
    </w:p>
    <w:p>
      <w:pPr>
        <w:spacing w:after="80"/>
      </w:pPr>
      <w:r>
        <w:rPr>
          <w:b w:val="0"/>
          <w:i w:val="0"/>
        </w:rPr>
        <w:t>[C]ông ty phải báo cáo về cách mình áp dụng các nguyên tắc trong Bộ quy tắc. Điều này cần bao quát cả các nguyên tắc chính lẫn các nguyên tắc hỗ trợ. Hình thức và nội dung của phần này trong tuyên bố không được quy định cụ thể, với ý định rằng các công ty nên được tự do giải trình các chính sách quản trị của mình dựa trên các nguyên tắc, bao gồm cả bất kỳ hoàn cảnh đặc biệt nào áp dụng cho họ dẫn đến một cách tiếp cận cụ thể.</w:t>
      </w:r>
    </w:p>
    <w:p>
      <w:pPr>
        <w:spacing w:after="80"/>
      </w:pPr>
      <w:r>
        <w:rPr>
          <w:b w:val="0"/>
          <w:i w:val="0"/>
        </w:rPr>
        <w:t>Điều này mang lại sự linh hoạt gì đối với việc công bố thông tin theo yêu cầu của cách tiếp cận "tuân thủ hoặc giải trình"?</w:t>
      </w:r>
    </w:p>
    <w:p>
      <w:pPr>
        <w:spacing w:after="80"/>
      </w:pPr>
      <w:r>
        <w:rPr>
          <w:b w:val="0"/>
          <w:i w:val="0"/>
        </w:rPr>
        <w:t xml:space="preserve">4. Liệu những bộ quy tắc này có thực sự hoạt động được mà không cần cơ chế thực thi không? Còn về một công ty khai báo sai mức độ tuân thủ thì sao? Như một nhà bình luận đã mô tả: "Mặc dù việc một công ty không nêu rõ </w:t>
      </w:r>
      <w:r>
        <w:rPr>
          <w:b w:val="0"/>
          <w:i/>
        </w:rPr>
        <w:t>liệu</w:t>
      </w:r>
      <w:r>
        <w:rPr>
          <w:b w:val="0"/>
          <w:i w:val="0"/>
        </w:rPr>
        <w:t xml:space="preserve"> họ có tuân thủ hay không, hoặc </w:t>
      </w:r>
      <w:r>
        <w:rPr>
          <w:b w:val="0"/>
          <w:i/>
        </w:rPr>
        <w:t>tại sao</w:t>
      </w:r>
      <w:r>
        <w:rPr>
          <w:b w:val="0"/>
          <w:i w:val="0"/>
        </w:rPr>
        <w:t xml:space="preserve"> họ không tuân thủ, là vi phạm Quy chế Niêm yết (Listing Rules), trên thực tế không có trường hợp nào được báo cáo về việc [chính phủ] hành động chống lại các công ty vì không tuân thủ những yêu cầu này." Armour, John, </w:t>
      </w:r>
      <w:r>
        <w:rPr>
          <w:b w:val="0"/>
          <w:i/>
        </w:rPr>
        <w:t>Enforcement Strategies in UK Corporate Governance: A Roadmap and Empirical Assessment</w:t>
      </w:r>
      <w:r>
        <w:rPr>
          <w:b w:val="0"/>
          <w:i w:val="0"/>
        </w:rPr>
        <w:t xml:space="preserve"> (tháng 4 năm 2008). ECGI-Law Working Paper No. 106/2008.</w:t>
      </w:r>
    </w:p>
    <w:p>
      <w:pPr>
        <w:spacing w:after="80"/>
      </w:pPr>
      <w:r>
        <w:rPr>
          <w:b w:val="0"/>
          <w:i w:val="0"/>
        </w:rPr>
        <w:t xml:space="preserve">5. Mặc dù được thảo luận như một đặc điểm của các hệ thống luật dân sự (civil law), Hoa Kỳ đôi khi hiếm hoi cũng đã áp dụng cách tiếp cận tuân thủ hoặc giải trình. </w:t>
      </w:r>
      <w:r>
        <w:rPr>
          <w:b w:val="0"/>
          <w:i/>
        </w:rPr>
        <w:t>Xem</w:t>
      </w:r>
      <w:r>
        <w:rPr>
          <w:b w:val="0"/>
          <w:i w:val="0"/>
        </w:rPr>
        <w:t xml:space="preserve"> Item 407 của Regulation S-K, 17 CFR 229.407 (yêu cầu công bố thông tin về chuyên gia tài chính trong ủy ban kiểm toán hoặc giải trình lý do công ty "không có chuyên gia tài chính trong ủy ban kiểm toán."). Tuy nhiên, Hoa Kỳ ngày càng dựa vào các tiêu chuẩn niêm yết để thực thi các yêu cầu bắt buộc. Bạn có thể lập luận rằng điều này đại diện cho một giải pháp trung dung giữa cơ chế tuân thủ hoặc giải trình và các tiêu chuẩn bắt buộc không?</w:t>
      </w:r>
    </w:p>
    <w:p>
      <w:pPr>
        <w:pStyle w:val="Heading4"/>
      </w:pPr>
      <w:r>
        <w:rPr>
          <w:rFonts w:ascii="Calibri" w:hAnsi="Calibri"/>
          <w:b/>
          <w:i w:val="0"/>
          <w:sz w:val="23"/>
        </w:rPr>
        <w:t>3. Cấu trúc Hội đồng Quản trị Kép</w:t>
      </w:r>
    </w:p>
    <w:p>
      <w:pPr>
        <w:spacing w:after="80"/>
      </w:pPr>
      <w:r>
        <w:rPr>
          <w:b w:val="0"/>
          <w:i w:val="0"/>
        </w:rPr>
        <w:t>Ở một số quốc gia lục địa, các công ty đại chúng dựa vào cấu trúc hội đồng quản trị kép (dual board structure). Một số nước như Đức yêu cầu bắt buộc phải có cấu trúc này. Những nước khác, bao gồm Pháp và Ý, cho phép nhưng không bắt buộc sử dụng nó. Theo cấu trúc hội đồng quản trị kép điển hình, hội đồng giám sát (supervisory board) được bầu bởi các cổ đông (trừ trường hợp yêu cầu có đại diện của người lao động). Đến lượt mình, hội đồng giám sát bổ nhiệm hội đồng điều hành nội bộ (executive board), đơn vị chịu trách nhiệm quản lý hoạt động hàng ngày của công ty.</w:t>
      </w:r>
    </w:p>
    <w:p>
      <w:pPr>
        <w:pStyle w:val="Heading4"/>
      </w:pPr>
      <w:r>
        <w:rPr>
          <w:rFonts w:ascii="Calibri" w:hAnsi="Calibri"/>
          <w:b/>
          <w:i w:val="0"/>
          <w:sz w:val="23"/>
        </w:rPr>
        <w:t>Brian R. Cheffins &amp; Bernard S. Black,</w:t>
      </w:r>
      <w:r>
        <w:br/>
      </w:r>
      <w:r>
        <w:rPr>
          <w:rFonts w:ascii="Calibri" w:hAnsi="Calibri"/>
          <w:b/>
          <w:i w:val="0"/>
          <w:sz w:val="23"/>
        </w:rPr>
        <w:t xml:space="preserve"> </w:t>
      </w:r>
      <w:r>
        <w:rPr>
          <w:rFonts w:ascii="Calibri" w:hAnsi="Calibri"/>
          <w:b/>
          <w:i/>
          <w:sz w:val="23"/>
        </w:rPr>
        <w:t>Outside Director Liability Across Countries</w:t>
      </w:r>
    </w:p>
    <w:p>
      <w:pPr>
        <w:spacing w:after="80"/>
      </w:pPr>
      <w:r>
        <w:rPr>
          <w:b w:val="0"/>
          <w:i w:val="0"/>
        </w:rPr>
        <w:t>84 Tex. L. Rev. 1385, 1421–22 (2006)</w:t>
      </w:r>
    </w:p>
    <w:p>
      <w:pPr>
        <w:spacing w:after="80"/>
      </w:pPr>
      <w:r>
        <w:rPr>
          <w:b w:val="0"/>
          <w:i w:val="0"/>
        </w:rPr>
        <w:t>Hội đồng quản trị hai cấp (two-tier board) là một đặc điểm khác phân biệt Đức không chỉ với các quốc gia theo hệ thống thông luật (common law), mà còn với nhiều quốc gia thuộc hệ thống luật dân sự. Tất cả các công ty đại chúng của Đức đều phải mang hình thức pháp lý của công ty cổ phần Aktiengesellschaft (AG), mặc dù nhiều AG không niêm yết đại chúng. Hội đồng quản trị của một AG được chia thành hai cấp: hội đồng điều hành (Vorstand) và hội đồng giám sát (Aufsichtsrat). Hội đồng điều hành có toàn quyền chịu trách nhiệm quản lý công ty và bao gồm các giám đốc điều hành làm việc toàn thời gian. Hội đồng giám sát chỉ bao gồm các thành viên không điều hành, những người bổ nhiệm và giám sát hội đồng điều hành. Theo chính sách "đồng quyết định" (codetermination), đại diện người lao động phải chiếm một phần ba hội đồng giám sát của một AG có hơn 500 lao động, và một nửa hội đồng của một AG có hơn 2.000 lao động. Ngoại trừ các ứng viên do người lao động đề cử, hội đồng giám sát của một công ty đại chúng Đức điển hình sẽ là sự kết hợp của các cựu giám đốc điều hành của công ty, các cố vấn kinh doanh chuyên nghiệp (ví dụ: chuyên gia ngân hàng hoặc luật sư), và đại diện của các nhà cung cấp hoặc khách hàng chủ chốt, với rất ít giám đốc điều hành đến từ các công ty không liên kết.</w:t>
      </w:r>
    </w:p>
    <w:p>
      <w:pPr>
        <w:spacing w:after="80"/>
      </w:pPr>
      <w:r>
        <w:rPr>
          <w:b w:val="0"/>
          <w:i w:val="0"/>
        </w:rPr>
        <w:t>Luật Công ty Cổ phần Đức (Aktiengesetz hay "AktG") quy định rằng hội đồng điều hành phải báo cáo thường xuyên cho hội đồng giám sát về các vấn đề của công ty và thông báo ngay cho chủ tịch hội đồng giám sát về những diễn biến có thể gây ảnh hưởng trọng yếu đến công ty. Hội đồng giám sát cũng theo thông lệ phê duyệt báo cáo tài chính đã được kiểm toán thường niên của công ty và có thể kiểm tra sổ sách và hồ sơ của công ty bất cứ lúc nào. Ngoài ra, hội đồng giám sát có quyền tùy ý quy định những giao dịch cần có sự phê duyệt của mình.</w:t>
      </w:r>
    </w:p>
    <w:p>
      <w:pPr>
        <w:spacing w:after="80"/>
      </w:pPr>
      <w:r>
        <w:rPr>
          <w:b w:val="0"/>
          <w:i w:val="0"/>
        </w:rPr>
        <w:t>* * *</w:t>
      </w:r>
    </w:p>
    <w:p>
      <w:pPr>
        <w:spacing w:after="80"/>
      </w:pPr>
      <w:r>
        <w:rPr>
          <w:b w:val="0"/>
          <w:i w:val="0"/>
        </w:rPr>
        <w:t>AktG § 116 quy định rằng các nghĩa vụ của thành viên ban quản trị (management board), được nêu tại § 93, cũng áp dụng tương tự cho ban giám sát (supervisory board). Do đó, các giám đốc giám sát phải thực hiện nghĩa vụ của mình với sự cẩn trọng của một doanh nhân “siêng năng và tận tâm” đang giữ vị trí như vậy. Mặc dù một giám đốc ban giám sát không được kỳ vọng phải có chuyên môn trong ngành cụ thể của công ty, nhưng kiến thức kinh doanh tổng quát là điều bắt buộc, và tòa án có khả năng sẽ áp đặt các tiêu chuẩn khắt khe hơn đối với những giám đốc có trình độ đặc biệt (ví dụ: chuyên gia ngân hàng, luật sư và kế toán). Một giám đốc thiếu thông tin quan trọng có thể vi phạm nghĩa vụ nếu không tìm kiếm lời khuyên phù hợp, tuy nhiên các tòa án Đức lại tỏ ra miễn cưỡng trong việc chấp nhận việc dựa dẫm vào người khác như một biện pháp bào chữa.</w:t>
      </w:r>
    </w:p>
    <w:p>
      <w:pPr>
        <w:pStyle w:val="Heading5"/>
      </w:pPr>
      <w:r>
        <w:rPr>
          <w:rFonts w:ascii="Calibri" w:hAnsi="Calibri"/>
          <w:b/>
          <w:i/>
          <w:sz w:val="22"/>
        </w:rPr>
        <w:t>Bình luận và Câu hỏi</w:t>
      </w:r>
    </w:p>
    <w:p>
      <w:pPr>
        <w:spacing w:after="80"/>
      </w:pPr>
      <w:r>
        <w:rPr>
          <w:b w:val="0"/>
          <w:i w:val="0"/>
        </w:rPr>
        <w:t>1. Một số ưu điểm và nhược điểm của mô hình ban giám sát là gì? Nó so sánh như thế nào với cấu trúc ban đơn nhất (unitary board) ở Hoa Kỳ?</w:t>
      </w:r>
    </w:p>
    <w:p>
      <w:pPr>
        <w:spacing w:after="80"/>
      </w:pPr>
      <w:r>
        <w:rPr>
          <w:b w:val="0"/>
          <w:i w:val="0"/>
        </w:rPr>
        <w:t xml:space="preserve">2. Ban giám sát “độc lập” đến mức nào? Mặc dù ban quản trị không được phép phục vụ với tư cách giám đốc, nhưng lệnh cấm này nhìn chung không áp dụng cho các quản lý hoặc cán bộ trong quá khứ. Việc chủ tịch ban quản trị vừa nghỉ hưu lại đảm nhận vị trí chủ tịch ban giám sát không phải là điều hiếm gặp. Hơn nữa, ban quản trị có thể có ảnh hưởng đáng kể đến việc lựa chọn các thành viên cho ban giám sát. </w:t>
      </w:r>
      <w:r>
        <w:rPr>
          <w:b w:val="0"/>
          <w:i/>
        </w:rPr>
        <w:t>Xem</w:t>
      </w:r>
      <w:r>
        <w:rPr>
          <w:b w:val="0"/>
          <w:i w:val="0"/>
        </w:rPr>
        <w:t xml:space="preserve"> Hans van Ees &amp; Theo J.B.M. Postma, </w:t>
      </w:r>
      <w:r>
        <w:rPr>
          <w:b w:val="0"/>
          <w:i/>
        </w:rPr>
        <w:t>Dutch Boards and Governance A Comparative Institutional Analysis of Board Roles and Member (S)election Procedures</w:t>
      </w:r>
      <w:r>
        <w:rPr>
          <w:b w:val="0"/>
          <w:i w:val="0"/>
        </w:rPr>
        <w:t xml:space="preserve"> , 34 Int. Studies of Mgt. &amp; Org. 90, 104 (2002).</w:t>
      </w:r>
    </w:p>
    <w:p>
      <w:pPr>
        <w:spacing w:after="80"/>
      </w:pPr>
      <w:r>
        <w:rPr>
          <w:b w:val="0"/>
          <w:i w:val="0"/>
        </w:rPr>
        <w:t xml:space="preserve">3. Một trong những khó khăn chính là nỗ lực phân định rõ vai trò giám sát của ban giám sát. </w:t>
      </w:r>
      <w:r>
        <w:rPr>
          <w:b w:val="0"/>
          <w:i/>
        </w:rPr>
        <w:t>Xem</w:t>
      </w:r>
      <w:r>
        <w:rPr>
          <w:b w:val="0"/>
          <w:i w:val="0"/>
        </w:rPr>
        <w:t xml:space="preserve"> Klaus J. Hopt &amp; Patrick C. Leyens, </w:t>
      </w:r>
      <w:r>
        <w:rPr>
          <w:b w:val="0"/>
          <w:i/>
        </w:rPr>
        <w:t>Board Models in Europe—Recent Developments of Internal Corporate Governance Structures in Germany, the United Kingdom, France, and Italy</w:t>
      </w:r>
      <w:r>
        <w:rPr>
          <w:b w:val="0"/>
          <w:i w:val="0"/>
        </w:rPr>
        <w:t xml:space="preserve"> , ECGI-Law Working Paper No. 18/2004 (“Trong khi trách nhiệm rõ ràng của ban quản trị là điều hành hoạt động kinh doanh, thì vai trò của ban giám sát lại không dễ mô tả. Các chức năng pháp lý của nó chủ yếu là bổ nhiệm, giám sát và miễn nhiệm các thành viên của ban quản trị.”).</w:t>
      </w:r>
    </w:p>
    <w:p>
      <w:pPr>
        <w:spacing w:after="80"/>
      </w:pPr>
      <w:r>
        <w:rPr>
          <w:b w:val="0"/>
          <w:i w:val="0"/>
        </w:rPr>
        <w:t>4. Những lời chỉ trích thực sự là về hệ thống ban kép (dual board) hay chúng thiên về cách hệ thống này được cấu trúc trong thực tế? Thường thì các ban này có quy mô lớn, với số lượng thành viên lên tới hai mươi mốt người, làm giảm hiệu quả và khiến việc ra quyết định trở nên khó khăn hơn. Khi không có các thành viên ban quản trị, ban giám sát cũng có thể gặp khó khăn trong việc thu thập thông tin cần thiết về hoạt động của công ty.</w:t>
      </w:r>
    </w:p>
    <w:p>
      <w:pPr>
        <w:spacing w:after="80"/>
      </w:pPr>
      <w:r>
        <w:rPr>
          <w:b w:val="0"/>
          <w:i w:val="0"/>
        </w:rPr>
        <w:t xml:space="preserve">5. Một số thị trường mới nổi đã áp dụng cấu trúc ban kép, bao gồm cả Trung Quốc. </w:t>
      </w:r>
      <w:r>
        <w:rPr>
          <w:b w:val="0"/>
          <w:i/>
        </w:rPr>
        <w:t>Xem</w:t>
      </w:r>
      <w:r>
        <w:rPr>
          <w:b w:val="0"/>
          <w:i w:val="0"/>
        </w:rPr>
        <w:t xml:space="preserve"> Chao Xi, </w:t>
      </w:r>
      <w:r>
        <w:rPr>
          <w:b w:val="0"/>
          <w:i/>
        </w:rPr>
        <w:t>In Search of an Effective Monitoring Board Model: Board Reforms and the Political Economy of Corporate Law in China</w:t>
      </w:r>
      <w:r>
        <w:rPr>
          <w:b w:val="0"/>
          <w:i w:val="0"/>
        </w:rPr>
        <w:t xml:space="preserve"> , 22 Conn. J. Int'l L. 1 (2006). Tuy nhiên, ở Trung Quốc, cả ban giám sát và hội đồng quản trị (board of directors) đều được bầu bởi các cổ đông. Hơn nữa, trong khi ban giám sát có nghĩa vụ giám sát hội đồng quản trị, thì hội đồng quản trị lại phải bao gồm các giám đốc độc lập. Hai cách tiếp cận này được cho là xung đột với nhau. Như một nhà bình luận đã mô tả:</w:t>
      </w:r>
    </w:p>
    <w:p>
      <w:pPr>
        <w:spacing w:after="80"/>
      </w:pPr>
      <w:r>
        <w:rPr>
          <w:b w:val="0"/>
          <w:i w:val="0"/>
        </w:rPr>
        <w:t>Cả ban giám sát và các giám đốc độc lập đều được quan niệm như những cơ chế giám sát nội bộ. Về mặt giám sát, các quyền hạn và nghĩa vụ được trao cho ban giám sát và các giám đốc độc lập chồng chéo đáng kể với nhau. Cụ thể, các ban giám sát ở Trung Quốc nắm giữ tất cả các quyền hạn được trao cho các ủy ban kiểm toán (audit committee) ở Hoa Kỳ. Sự chồng chéo về thẩm quyền này tạo ra cả căng thẳng và bất hòa giữa hệ thống giám đốc độc lập và hệ thống giám sát.</w:t>
      </w:r>
    </w:p>
    <w:p>
      <w:pPr>
        <w:spacing w:after="80"/>
      </w:pPr>
      <w:r>
        <w:rPr>
          <w:b w:val="0"/>
          <w:i w:val="0"/>
        </w:rPr>
        <w:t xml:space="preserve">Jie Yuan, </w:t>
      </w:r>
      <w:r>
        <w:rPr>
          <w:b w:val="0"/>
          <w:i/>
        </w:rPr>
        <w:t>Formal Convergence or Substantial Divergence? Evidence from Adoption of the Independent Director System in China</w:t>
      </w:r>
      <w:r>
        <w:rPr>
          <w:b w:val="0"/>
          <w:i w:val="0"/>
        </w:rPr>
        <w:t xml:space="preserve"> , 9 Asian-Pacific L. &amp; Pol'y J. 71, 102 (2007). Liệu xung đột này có phải là điều không thể tránh khỏi?</w:t>
      </w:r>
    </w:p>
    <w:p>
      <w:pPr>
        <w:spacing w:after="80"/>
      </w:pPr>
      <w:r>
        <w:rPr>
          <w:b w:val="0"/>
          <w:i w:val="0"/>
        </w:rPr>
        <w:t>6. Một khi đã được bầu, các giám đốc trong cả ban quản trị và ban giám sát đều không dễ bị loại bỏ. Như một nhà bình luận đã mô tả:</w:t>
      </w:r>
    </w:p>
    <w:p>
      <w:pPr>
        <w:spacing w:after="80"/>
      </w:pPr>
      <w:r>
        <w:rPr>
          <w:b w:val="0"/>
          <w:i w:val="0"/>
        </w:rPr>
        <w:t>Ban giám sát bầu và miễn nhiệm các thành viên ban quản trị, nhưng việc miễn nhiệm sớm đòi hỏi phải chứng minh có lý do chính đáng, bao gồm cả một cuộc bỏ phiếu bất tín nhiệm của các cổ đông. Do đó, việc miễn nhiệm đòi hỏi sự đồng thuận giữa các cổ đông lớn và ban giám sát. Các thành viên ban giám sát được bầu bởi các cổ đông, có nhiệm kỳ lên tới năm năm, và thông thường chỉ có thể bị miễn nhiệm sớm bởi đa số siêu đại (supermajority) ba phần tư.</w:t>
      </w:r>
    </w:p>
    <w:p>
      <w:pPr>
        <w:spacing w:after="80"/>
      </w:pPr>
      <w:r>
        <w:rPr>
          <w:b w:val="0"/>
          <w:i w:val="0"/>
        </w:rPr>
        <w:t xml:space="preserve">Martin Gelter, </w:t>
      </w:r>
      <w:r>
        <w:rPr>
          <w:b w:val="0"/>
          <w:i/>
        </w:rPr>
        <w:t>The Dark Side of Shareholder Influence: Managerial Autonomy and Stakeholder Orientation in Comparative Corporate Governance</w:t>
      </w:r>
      <w:r>
        <w:rPr>
          <w:b w:val="0"/>
          <w:i w:val="0"/>
        </w:rPr>
        <w:t xml:space="preserve"> , 50 Harv. Int'l L.J. 129, 158 (2009). Tất nhiên, như Giáo sư Gelter lưu ý, những giới hạn này phần lớn trở nên vô nghĩa trong bối cảnh các công ty được sở hữu bởi một cổ đông kiểm soát. Trong những trường hợp đó, họ có khả năng kiểm soát cả ban giám sát và, kéo theo đó, cả ban quản trị.</w:t>
      </w:r>
    </w:p>
    <w:p>
      <w:pPr>
        <w:spacing w:after="80"/>
      </w:pPr>
      <w:r>
        <w:rPr>
          <w:b w:val="0"/>
          <w:i w:val="0"/>
        </w:rPr>
        <w:t xml:space="preserve">7. Một số thị trường mới nổi đã áp dụng cấu trúc ban kép, bao gồm cả Trung Quốc. </w:t>
      </w:r>
      <w:r>
        <w:rPr>
          <w:b w:val="0"/>
          <w:i/>
        </w:rPr>
        <w:t>Xem</w:t>
      </w:r>
      <w:r>
        <w:rPr>
          <w:b w:val="0"/>
          <w:i w:val="0"/>
        </w:rPr>
        <w:t xml:space="preserve"> Chao Xi, </w:t>
      </w:r>
      <w:r>
        <w:rPr>
          <w:b w:val="0"/>
          <w:i/>
        </w:rPr>
        <w:t>In Search of an Effective Monitoring Board Model: Board Reforms and the Political Economy of Corporate Law in China</w:t>
      </w:r>
      <w:r>
        <w:rPr>
          <w:b w:val="0"/>
          <w:i w:val="0"/>
        </w:rPr>
        <w:t xml:space="preserve"> , 22 Conn. J. Int'l L. 1 (2006). Tuy nhiên, ở Trung Quốc, cả ban giám sát và hội đồng quản trị đều được bầu bởi các cổ đông. Hơn nữa, trong khi ban giám sát có nghĩa vụ giám sát hội đồng quản trị, thì hội đồng quản trị lại phải bao gồm các giám đốc độc lập. Hai cách tiếp cận này được cho là xung đột với nhau. Như một nhà bình luận đã mô tả:</w:t>
      </w:r>
    </w:p>
    <w:p>
      <w:pPr>
        <w:spacing w:after="80"/>
      </w:pPr>
      <w:r>
        <w:rPr>
          <w:b w:val="0"/>
          <w:i w:val="0"/>
        </w:rPr>
        <w:t>Cả ban giám sát và các giám đốc độc lập đều được quan niệm như những cơ chế giám sát nội bộ. Về mặt giám sát, các quyền hạn và nghĩa vụ được trao cho ban giám sát và các giám đốc độc lập chồng chéo đáng kể với nhau. Cụ thể, các ban giám sát ở Trung Quốc nắm giữ tất cả các quyền hạn được trao cho các ủy ban kiểm toán ở Hoa Kỳ. Sự chồng chéo về thẩm quyền này tạo ra cả căng thẳng và bất hòa giữa hệ thống giám đốc độc lập và hệ thống giám sát.</w:t>
      </w:r>
    </w:p>
    <w:p>
      <w:pPr>
        <w:spacing w:after="80"/>
      </w:pPr>
      <w:r>
        <w:rPr>
          <w:b w:val="0"/>
          <w:i w:val="0"/>
        </w:rPr>
        <w:t xml:space="preserve">Jie Yuan, </w:t>
      </w:r>
      <w:r>
        <w:rPr>
          <w:b w:val="0"/>
          <w:i/>
        </w:rPr>
        <w:t>Formal Convergence or Substantial Divergence? Evidence from Adoption of the Independent Director System in China</w:t>
      </w:r>
      <w:r>
        <w:rPr>
          <w:b w:val="0"/>
          <w:i w:val="0"/>
        </w:rPr>
        <w:t xml:space="preserve"> , 9 Asian-Pacific L. &amp; Pol'y J. 71, 102 (2007). Liệu xung đột này có phải là điều không thể tránh khỏi?</w:t>
      </w:r>
    </w:p>
    <w:p>
      <w:pPr>
        <w:spacing w:after="80"/>
      </w:pPr>
      <w:r>
        <w:rPr>
          <w:b w:val="0"/>
          <w:i w:val="0"/>
        </w:rPr>
        <w:t>—————</w:t>
      </w:r>
    </w:p>
    <w:p>
      <w:pPr>
        <w:spacing w:after="80"/>
      </w:pPr>
      <w:r>
        <w:rPr>
          <w:b w:val="0"/>
          <w:i w:val="0"/>
        </w:rPr>
        <w:t>Chức năng của ban giám sát ngoài việc chỉ định các thành viên của ban điều hành là gì? Một số người cho rằng ban này có vai trò kết nối với cổ đông và các bên liên quan khác trong công ty. Còn vai trò của ban giám sát trong việc bảo vệ công ty thì sao?</w:t>
      </w:r>
    </w:p>
    <w:p>
      <w:pPr>
        <w:pStyle w:val="Heading4"/>
      </w:pPr>
      <w:r>
        <w:rPr>
          <w:rFonts w:ascii="Calibri" w:hAnsi="Calibri"/>
          <w:b/>
          <w:i w:val="0"/>
          <w:sz w:val="23"/>
        </w:rPr>
        <w:t>Seybold v. Groenink</w:t>
      </w:r>
    </w:p>
    <w:p>
      <w:pPr>
        <w:spacing w:after="80"/>
      </w:pPr>
      <w:r>
        <w:rPr>
          <w:b w:val="0"/>
          <w:i w:val="0"/>
        </w:rPr>
        <w:t>Tòa án Quận Hoa Kỳ, Quận Nam New York</w:t>
      </w:r>
      <w:r>
        <w:br/>
      </w:r>
      <w:r>
        <w:rPr>
          <w:b w:val="0"/>
          <w:i w:val="0"/>
        </w:rPr>
        <w:t xml:space="preserve"> 2007 U.S. Dist. Lexis 16994 (ngày 12 tháng 3 năm 2007)</w:t>
      </w:r>
    </w:p>
    <w:p>
      <w:pPr>
        <w:spacing w:after="80"/>
      </w:pPr>
      <w:r>
        <w:rPr>
          <w:b w:val="0"/>
          <w:i w:val="0"/>
        </w:rPr>
        <w:t>DENISE COTE, THẨM PHÁN QUẬN:</w:t>
      </w:r>
    </w:p>
    <w:p>
      <w:pPr>
        <w:spacing w:after="80"/>
      </w:pPr>
      <w:r>
        <w:rPr>
          <w:b w:val="0"/>
          <w:i w:val="0"/>
        </w:rPr>
        <w:t>Vụ kiện này đặt ra vấn đề liệu một người nắm giữ Chứng chỉ Lưu ký Hoa Kỳ (American Depository Receipts - ADRs) của Hoa Kỳ trong một ngân hàng được thành lập tại Hà Lan có tư cách pháp lý để khởi kiện cổ đông thay mặt công ty chống lại các giám đốc của công ty vì các khiếu nại theo luật thông thường về vi phạm nghĩa vụ ủy thác và bồi hoàn hay không. Vụ việc phát sinh sau hậu quả của việc công ty tuân thủ không đầy đủ các luật chống rửa tiền của liên bang, những thiếu sót này đã khiến công ty phải trả hàng trăm triệu đô la cho các cơ quan chức năng liên bang. Nhận thấy rằng trong vụ kiện đa dạng này, các quy tắc chọn luật của New York yêu cầu luật của Hà Lan phải xác định liệu nguyên đơn có tư cách pháp lý để khởi kiện cổ đông thay mặt công ty hay không, đơn xin bác bỏ của bị đơn được chấp thuận.</w:t>
      </w:r>
    </w:p>
    <w:p>
      <w:pPr>
        <w:spacing w:after="80"/>
      </w:pPr>
      <w:r>
        <w:rPr>
          <w:b w:val="0"/>
          <w:i w:val="0"/>
        </w:rPr>
        <w:t>Để một công ty nước ngoài được giao dịch trên sàn chứng khoán Hoa Kỳ, công ty nước ngoài đó phải phát hành và lưu ký Cổ phiếu Lưu ký Hoa Kỳ ("ADSs") tại một tổ chức tài chính Hoa Kỳ. E.ON v. Acciona, No. 06 Civ. 8720 (DLC), 468 F. Supp. 2d 537, 2006 U.S. Dist. LEXIS 84179, 2006 WL 3357261, tại *1 n.2 (S.D.N.Y. ngày 20 tháng 11 năm 2006). Tổ chức lưu ký sau đó phát hành Chứng chỉ Lưu ký Hoa Kỳ ("ADRs") cho các chủ sở hữu hưởng lợi của ADSs, những người này có thể bán ADSs trên các sàn chứng khoán Hoa Kỳ. Id. Hệ thống ADR là phương tiện mà các nhà đầu tư Hoa Kỳ nắm giữ và giao dịch các quyền lợi vốn chủ sở hữu trong các công ty nước ngoài. Id.</w:t>
      </w:r>
    </w:p>
    <w:p>
      <w:pPr>
        <w:spacing w:after="80"/>
      </w:pPr>
      <w:r>
        <w:rPr>
          <w:b w:val="0"/>
          <w:i w:val="0"/>
        </w:rPr>
        <w:t>* * *</w:t>
      </w:r>
    </w:p>
    <w:p>
      <w:pPr>
        <w:spacing w:after="80"/>
      </w:pPr>
      <w:r>
        <w:rPr>
          <w:b w:val="0"/>
          <w:i w:val="0"/>
        </w:rPr>
        <w:t>ABN là một ngân hàng nước ngoài, như được định nghĩa trong Mục 3101(7) của Đạo luật Ngân hàng Quốc tế, 12 U.S.C. 3101(7), được thành lập tại Amsterdam, Hà Lan với tư cách là một "N.V.", một công ty đại chúng với trách nhiệm hữu hạn. Ngân hàng này duy trì một chi nhánh tại New York ("Chi nhánh New York") để cung cấp các dịch vụ ngân hàng và sản phẩm tài chính. Kể từ năm 2003, ABN đã bị các cơ quan quản lý liên bang và tiểu bang điều tra vì những thiếu sót trong kiểm soát nội bộ để đảm bảo tuân thủ luật ngân hàng và luật chống rửa tiền của liên bang, và vì các cáo buộc vi phạm luật trừng phạt của Hoa Kỳ phát sinh từ các giao dịch có nguồn gốc từ văn phòng của ngân hàng tại Dubai, Các Tiểu vương quốc Ả Rập Thống nhất.</w:t>
      </w:r>
    </w:p>
    <w:p>
      <w:pPr>
        <w:spacing w:after="80"/>
      </w:pPr>
      <w:r>
        <w:rPr>
          <w:b w:val="0"/>
          <w:i w:val="0"/>
        </w:rPr>
        <w:t>* * *</w:t>
      </w:r>
    </w:p>
    <w:p>
      <w:pPr>
        <w:spacing w:after="80"/>
      </w:pPr>
      <w:r>
        <w:rPr>
          <w:b w:val="0"/>
          <w:i w:val="0"/>
        </w:rPr>
        <w:t>E) Luật Công ty của Hà Lan</w:t>
      </w:r>
    </w:p>
    <w:p>
      <w:pPr>
        <w:spacing w:after="80"/>
      </w:pPr>
      <w:r>
        <w:rPr>
          <w:b w:val="0"/>
          <w:i w:val="0"/>
        </w:rPr>
        <w:t>Theo Giáo sư Kroeze, các công ty tại Hà Lan phải được điều hành bởi hai cơ quan riêng biệt: Ban Điều hành và Ban Giám sát. Các thành viên Ban Điều hành chịu trách nhiệm về việc quản lý và các vấn đề kinh doanh của công ty và có nghĩa vụ ủy thác đối với công ty, không phải đối với các cổ đông của công ty. Những nghĩa vụ ủy thác này bao gồm nghĩa vụ đối với công ty là "thực hiện đúng đắn" các nhiệm vụ quản lý. Các thành viên Ban Giám sát đóng vai trò cố vấn để giám sát Ban Điều hành. Các thành viên của cả hai ban "có nghĩa vụ thiện chí, đòi hỏi họ phải cư xử hợp lý và công bằng với nhau."</w:t>
      </w:r>
    </w:p>
    <w:p>
      <w:pPr>
        <w:spacing w:after="80"/>
      </w:pPr>
      <w:r>
        <w:rPr>
          <w:b w:val="0"/>
          <w:i w:val="0"/>
        </w:rPr>
        <w:t>Là một công ty đại chúng với trách nhiệm hữu hạn, ABN phải tuân theo các quy tắc được quy định trong Bộ luật Dân sự Hà Lan ("Bộ luật"). Bộ luật cung cấp ít nhất ba cơ chế để khởi kiện thay mặt công ty vì những tổn thất phát sinh do vi phạm nghĩa vụ của các thành viên Ban Điều hành hoặc Ban Giám sát. Thứ nhất, Bộ luật cho phép Ban Điều hành khởi kiện pháp lý thay mặt công ty, bao gồm các thủ tục về quản lý yếu kém chống lại các thành viên hiện tại hoặc trước đây của một trong hai ban. Thứ hai, Bộ luật cũng cho phép "Ban Điều hành ủy quyền đại diện của mình cho một hoặc nhiều giám đốc, hoặc một người ký kết không phải giám đốc, hành động riêng lẻ hoặc phối hợp." Điều lệ của ABN ủy quyền đại diện công ty như sau:</w:t>
      </w:r>
    </w:p>
    <w:p>
      <w:pPr>
        <w:spacing w:after="80"/>
      </w:pPr>
      <w:r>
        <w:rPr>
          <w:b w:val="0"/>
          <w:i w:val="0"/>
        </w:rPr>
        <w:t xml:space="preserve">1. Quyền đại diện Công ty sẽ thuộc về hai thành viên Ban Điều hành hành động chung, hoặc một thành viên Ban Điều hành và </w:t>
      </w:r>
      <w:r>
        <w:rPr>
          <w:b w:val="0"/>
          <w:i/>
        </w:rPr>
        <w:t>một người ký kết được ủy quyền hợp lệ</w:t>
      </w:r>
      <w:r>
        <w:rPr>
          <w:b w:val="0"/>
          <w:i w:val="0"/>
        </w:rPr>
        <w:t xml:space="preserve"> hành động chung.</w:t>
      </w:r>
    </w:p>
    <w:p>
      <w:pPr>
        <w:spacing w:after="80"/>
      </w:pPr>
      <w:r>
        <w:rPr>
          <w:b w:val="0"/>
          <w:i w:val="0"/>
        </w:rPr>
        <w:t>2. Công ty cũng có thể được đại diện bởi những người ký kết được ủy quyền với sự tuân thủ đầy đủ mọi hạn chế áp đặt lên quyền đại diện của họ. Ban Điều hành sẽ quyết định về quyền hạn, chức danh công việc và các điều khoản bổ nhiệm của họ, với điều kiện là chức danh Phó Chủ tịch Điều hành Cấp cao chỉ có thể được cấp sau khi tham khảo ý kiến của Ban Giám sát. (Nhấn mạnh được thêm vào.) Điều lệ của ABN nhìn chung không cho phép một cổ đông cá nhân hoặc một nhóm cổ đông khởi kiện pháp lý thay mặt công ty để đòi bồi thường cho những tổn thất được cho là của công ty. Thứ ba, "[q]uan điểm phổ biến trong giới học giả pháp lý Hà Lan" là theo Bộ luật, Ban Giám sát cũng có thể khởi kiện pháp lý chống lại các thành viên Ban Điều hành thay mặt công ty khi có xung đột lợi ích giữa những cá nhân này và công ty, nếu không có quy định trái ngược nào trong điều lệ của công ty.</w:t>
      </w:r>
    </w:p>
    <w:p>
      <w:pPr>
        <w:spacing w:after="80"/>
      </w:pPr>
      <w:r>
        <w:rPr>
          <w:b w:val="0"/>
          <w:i w:val="0"/>
        </w:rPr>
        <w:t>Tuy nhiên, Bộ luật không cho phép một cổ đông hoặc một nhóm cổ đông khởi kiện cổ đông thay mặt công ty để khắc phục những tổn thất do các thành viên Ban Điều hành vi phạm nghĩa vụ của họ đối với công ty. Bộ luật coi "công ty [là] một thực thể tư pháp độc lập mà các lợi ích hợp pháp của nó... tách biệt, và đôi khi thậm chí khác biệt, với lợi ích của các cổ đông của công ty." Vì lý do này, các luật gia và học giả pháp lý Hà Lan đã kết luận rằng "luật của Hà Lan không công nhận các vụ kiện cổ đông thay mặt công ty cho phép một cổ đông của công ty kiện thay mặt công ty cho một hành động mà công ty đã có được."</w:t>
      </w:r>
    </w:p>
    <w:p>
      <w:pPr>
        <w:spacing w:after="80"/>
      </w:pPr>
      <w:r>
        <w:rPr>
          <w:b w:val="0"/>
          <w:i w:val="0"/>
        </w:rPr>
        <w:t>Giáo sư Kroeze báo cáo rằng chỉ có một quyết định của tòa án cấp dưới ở Hà Lan đã cho phép một vụ kiện tương tự như vụ kiện cổ đông thay mặt công ty. Năm 2000, Tòa án Quận Den Haag đã cho phép một cổ đông và giám đốc sở hữu 50% của một công ty sở hữu khép kín sửa đổi một khiếu nại trong đó ông cáo buộc thiệt hại đối với giá trị cổ phần của mình do gian lận của bị đơn, cổ đông và giám đốc sở hữu 50% còn lại. Tòa án Quận Den Haag, Den Haag, ngày 12 tháng 7 năm 2000, JOR 2001, 90 (ann. MJK) (Hà Lan). Nguyên đơn yêu cầu bồi thường cho công ty từ bị đơn do vi phạm nghĩa vụ của ông đối với công ty. Quyết định của tòa án cấp dưới này không phù hợp với phán quyết trước đó của Tòa án Tối cao Hà Lan trong vụ Poot/ABO, Hoge Raad der Nederlanden [HR] [Tòa án Tối cao Hà Lan], ngày 2 tháng 12 năm 1994, NJ 288 (ann. Maeijir) (Hà Lan), rằng tài sản của công ty tách biệt với tài sản của các cổ đông. Trong trường hợp công ty chịu tổn thất vì một bên thứ ba vi phạm nghĩa vụ hợp đồng hoặc thực hiện hành vi sai trái đối với công ty, chỉ công ty mới có thể khởi kiện bên thứ ba đó để yêu cầu bồi thường. Id.</w:t>
      </w:r>
    </w:p>
    <w:p>
      <w:pPr>
        <w:spacing w:after="80"/>
      </w:pPr>
      <w:r>
        <w:rPr>
          <w:b w:val="0"/>
          <w:i w:val="0"/>
        </w:rPr>
        <w:t>Bộ Quy tắc (Code) thực sự có mang đến cho cổ đông những cách thức khác để xử lý hành vi sai trái của các thành viên Ban Điều hành (Managing Board) và Ban Giám sát (Supervisory Board). Thứ nhất, cổ đông có thể bỏ phiếu để đình chỉ hoặc bãi miễn các thành viên của một trong hai ban hoặc thậm chí là toàn bộ Ban Điều hành hay Ban Giám sát. Thứ hai, cổ đông có thể thông qua một nghị quyết với đa số đơn giản để đề nghị công ty khởi kiện một hoặc nhiều thành viên của Ban Điều hành. Các học giả Hà Lan hàng đầu cho rằng công ty phải tuân theo chỉ thị như vậy. Thứ ba, cổ đông có thể nộp đơn bằng văn bản lên Phòng Doanh nghiệp (Enterprise Chamber) thuộc Tòa Phúc thẩm Amsterdam để yêu cầu điều tra về hoạt động quản lý và tình hình công việc của các công ty đại chúng như ABN có trụ sở chính tại Hà Lan. Phòng Doanh nghiệp được trao quyền tiến hành cuộc điều tra như vậy và thực hiện các biện pháp khắc phục thích hợp.</w:t>
      </w:r>
    </w:p>
    <w:p>
      <w:pPr>
        <w:spacing w:after="80"/>
      </w:pPr>
      <w:r>
        <w:rPr>
          <w:b w:val="0"/>
          <w:i w:val="0"/>
        </w:rPr>
        <w:t>Điều lệ (Articles of Association) của ABN cho phép đại hội đồng cổ đông biểu quyết với tỷ lệ hai phần ba để thực hiện hành động như vậy, với điều kiện số cổ phần được biểu quyết phải chiếm ít nhất một nửa vốn cổ phần đã phát hành của công ty. Ban Giám sát có thể đạt được kết quả tương tự bằng biểu quyết đa số.</w:t>
      </w:r>
    </w:p>
    <w:p>
      <w:pPr>
        <w:spacing w:after="80"/>
      </w:pPr>
      <w:r>
        <w:rPr>
          <w:b w:val="0"/>
          <w:i w:val="0"/>
        </w:rPr>
        <w:t>* * *</w:t>
      </w:r>
    </w:p>
    <w:p>
      <w:pPr>
        <w:spacing w:after="80"/>
      </w:pPr>
      <w:r>
        <w:rPr>
          <w:b w:val="0"/>
          <w:i w:val="0"/>
        </w:rPr>
        <w:t>Tuyên bố giám định của Giáo sư Kroeze xác lập, và nguyên đơn cũng thừa nhận, rằng pháp luật Hà Lan không trao cho cổ đông quyền khởi kiện thay mặt công ty chống lại các thành viên Ban Điều hành hoặc Ban Giám sát vì vi phạm nghĩa vụ đối với cổ đông, bởi theo pháp luật Hà Lan, các thành viên của những ban này không có nghĩa vụ ủy thác (fiduciary duties) trực tiếp đối với cổ đông. Mặc dù pháp luật Hà Lan và Điều lệ của ABN có đưa ra một số con đường mà nếu tuân theo sẽ trao cho cổ đông thiểu số tư cách khởi kiện thay mặt công ty (derivative suit), nguyên đơn đã không trình bày rằng bà đã khởi kiện thông qua bất kỳ phương thức nào trong số này. Seybold đã không trình bày rằng đa số cổ đông ABN đã bỏ phiếu tại Đại hội đồng cổ đông để trao cho bà thẩm quyền khởi kiện thay mặt công ty. Bà cũng không trình bày rằng Ban Điều hành ABN đã ủy quyền đại diện cho bà bằng cách chỉ định bà là “người ký kết được ủy quyền” (authorized signator[y]) với quyền khởi kiện thay mặt công ty một cách độc lập hoặc cùng với một thành viên của Ban Điều hành. Cuối cùng, Seybold đã không chỉ ra bất kỳ điều khoản nào trong Điều lệ của ABN quy định ngoại lệ cho những quy tắc này. . . .</w:t>
      </w:r>
    </w:p>
    <w:p>
      <w:pPr>
        <w:pStyle w:val="Heading5"/>
      </w:pPr>
      <w:r>
        <w:rPr>
          <w:rFonts w:ascii="Calibri" w:hAnsi="Calibri"/>
          <w:b/>
          <w:i/>
          <w:sz w:val="22"/>
        </w:rPr>
        <w:t>Bình luận và Câu hỏi</w:t>
      </w:r>
    </w:p>
    <w:p>
      <w:pPr>
        <w:spacing w:after="80"/>
      </w:pPr>
      <w:r>
        <w:rPr>
          <w:b w:val="0"/>
          <w:i w:val="0"/>
        </w:rPr>
        <w:t>1. Vụ án này được đưa ra tại Hoa Kỳ. Tại sao tòa án lại áp dụng pháp luật Hà Lan? Hãy tham khảo phần thảo luận về học thuyết công việc nội bộ (internal affairs doctrine) trong Chương 2.</w:t>
      </w:r>
    </w:p>
    <w:p>
      <w:pPr>
        <w:spacing w:after="80"/>
      </w:pPr>
      <w:r>
        <w:rPr>
          <w:b w:val="0"/>
          <w:i w:val="0"/>
        </w:rPr>
        <w:t>2. Như tòa án này lưu ý, ban giám sát, chứ không phải cổ đông, có thẩm quyền khởi kiện chống lại ban điều hành. Điều này gợi ý gì về vai trò của ban giám sát trong quá trình quản trị?</w:t>
      </w:r>
    </w:p>
    <w:p>
      <w:pPr>
        <w:spacing w:after="80"/>
      </w:pPr>
      <w:r>
        <w:rPr>
          <w:b w:val="0"/>
          <w:i w:val="0"/>
        </w:rPr>
        <w:t xml:space="preserve">3. Cổ đông thực sự có bao nhiêu sự lựa chọn trong việc bầu chọn các thành viên vào ban giám sát? </w:t>
      </w:r>
      <w:r>
        <w:rPr>
          <w:b w:val="0"/>
          <w:i/>
        </w:rPr>
        <w:t>Xem</w:t>
      </w:r>
      <w:r>
        <w:rPr>
          <w:b w:val="0"/>
          <w:i w:val="0"/>
        </w:rPr>
        <w:t xml:space="preserve"> Winfried van den Muijsenbergh, </w:t>
      </w:r>
      <w:r>
        <w:rPr>
          <w:b w:val="0"/>
          <w:i/>
        </w:rPr>
        <w:t>Corporate Governance: The Dutch Experience</w:t>
      </w:r>
      <w:r>
        <w:rPr>
          <w:b w:val="0"/>
          <w:i w:val="0"/>
        </w:rPr>
        <w:t xml:space="preserve"> , 16 Transnat'l Law. 63, 72 (2002) (“Vì hệ thống quản trị doanh nghiệp Hà Lan cho phép ban giám sát tự đề cử các thành viên của chính mình cũng như Tổng Giám đốc điều hành (CEO), nên mong muốn của cổ đông không nhất thiết quan trọng đối với các thành viên ban giám sát.”). Điều này có thể có tác động gì đến vai trò của ban giám sát trong việc kiện tụng chống lại các nhà quản lý?</w:t>
      </w:r>
    </w:p>
    <w:p>
      <w:pPr>
        <w:spacing w:after="80"/>
      </w:pPr>
      <w:r>
        <w:rPr>
          <w:b w:val="0"/>
          <w:i w:val="0"/>
        </w:rPr>
        <w:t xml:space="preserve">4. Một phương án thay thế ở Hà Lan là cổ đông kiến nghị chính phủ điều tra các hành động của ban quản lý. </w:t>
      </w:r>
      <w:r>
        <w:rPr>
          <w:b w:val="0"/>
          <w:i/>
        </w:rPr>
        <w:t>Xem Windt v. Qwest Communs. Int'l, Inc.</w:t>
      </w:r>
      <w:r>
        <w:rPr>
          <w:b w:val="0"/>
          <w:i w:val="0"/>
        </w:rPr>
        <w:t xml:space="preserve"> , 529 F.3d 183, 193 (3d Cir. 2008) (“Thực vậy, các cổ đông Hà Lan của KPN Qwest đã kiến nghị thành công lên Phòng Doanh nghiệp ở Hà Lan để điều tra hành vi quản lý sai trái bị cáo buộc của công ty.”). Bạn nghĩ cách tiếp cận này có thể hiệu quả đến mức nào?</w:t>
      </w:r>
    </w:p>
    <w:p>
      <w:pPr>
        <w:spacing w:after="80"/>
      </w:pPr>
      <w:r>
        <w:rPr>
          <w:b w:val="0"/>
          <w:i w:val="0"/>
        </w:rPr>
        <w:t xml:space="preserve">5. Một số lý do để tin rằng ban giám sát có thể không nghiêm túc trong việc khởi kiện vì những thất bại của ban điều hành là gì? Các học giả đã lưu ý rằng mặc dù các vụ kiện thay mặt công ty (derivative suits) thường được cho phép ở các nước châu Âu, chúng hiếm khi được nộp. Một số người cho rằng điều này là do ngưỡng sở hữu cao thường được yêu cầu để khởi kiện. </w:t>
      </w:r>
      <w:r>
        <w:rPr>
          <w:b w:val="0"/>
          <w:i/>
        </w:rPr>
        <w:t>Xem</w:t>
      </w:r>
      <w:r>
        <w:rPr>
          <w:b w:val="0"/>
          <w:i w:val="0"/>
        </w:rPr>
        <w:t xml:space="preserve"> Kristoffel R. Grechenig &amp; Michael Sekyra, </w:t>
      </w:r>
      <w:r>
        <w:rPr>
          <w:b w:val="0"/>
          <w:i/>
        </w:rPr>
        <w:t>No Derivative Shareholder Suits in Europe—A Model of Percentage Limits and Collusion</w:t>
      </w:r>
      <w:r>
        <w:rPr>
          <w:b w:val="0"/>
          <w:i w:val="0"/>
        </w:rPr>
        <w:t xml:space="preserve"> , Columbia University Law Economics Working Paper No. 312, at 1, 7 (2010) (lưu ý rằng “ở một số lượng lớn các nước châu Âu” cổ đông phải sở hữu “một tỷ lệ tối thiểu thường là 5% đến 10% để khởi kiện thay mặt công ty và kết luận rằng điều này giải thích cho ‘việc thiếu các vụ kiện thay mặt công ty ở lục địa châu Âu.’”). Tuy nhiên, bài báo cũng lưu ý rằng có “rất ít hoặc không có vụ kiện nào” ở Thụy Sĩ hay Pháp, hai quốc gia không có giới hạn tỷ lệ phần trăm. </w:t>
      </w:r>
      <w:r>
        <w:rPr>
          <w:b w:val="0"/>
          <w:i/>
        </w:rPr>
        <w:t>Id.</w:t>
      </w:r>
      <w:r>
        <w:rPr>
          <w:b w:val="0"/>
          <w:i w:val="0"/>
        </w:rPr>
        <w:t xml:space="preserve"> at 8. Những người khác đã lập luận cho một loạt các giải thích rộng hơn, bao gồm cả các quy tắc điều chỉnh chi phí kiện tụng. </w:t>
      </w:r>
      <w:r>
        <w:rPr>
          <w:b w:val="0"/>
          <w:i/>
        </w:rPr>
        <w:t>Xem</w:t>
      </w:r>
      <w:r>
        <w:rPr>
          <w:b w:val="0"/>
          <w:i w:val="0"/>
        </w:rPr>
        <w:t xml:space="preserve"> Pavlos E. Masouros, </w:t>
      </w:r>
      <w:r>
        <w:rPr>
          <w:b w:val="0"/>
          <w:i/>
        </w:rPr>
        <w:t>Is the EU Taking Shareholder Rights Seriously?: An Essay on the Impotence of Shareholdership in Corporate Europe</w:t>
      </w:r>
      <w:r>
        <w:rPr>
          <w:b w:val="0"/>
          <w:i w:val="0"/>
        </w:rPr>
        <w:t xml:space="preserve"> , 7 Eur. Company L. 195, 202 (2010) (khẳng định rằng cổ đông trong các vụ kiện thay mặt công ty ở châu Âu “ít có khả năng” được trao thù lao luật sư). Liệu rủi ro trách nhiệm pháp lý vì không giám sát ban điều hành có phải là một giải thích khả thi khác không?</w:t>
      </w:r>
    </w:p>
    <w:p>
      <w:pPr>
        <w:spacing w:after="80"/>
      </w:pPr>
      <w:r>
        <w:rPr>
          <w:b w:val="0"/>
          <w:i w:val="0"/>
        </w:rPr>
        <w:t>—————</w:t>
      </w:r>
    </w:p>
    <w:p>
      <w:pPr>
        <w:spacing w:after="80"/>
      </w:pPr>
      <w:r>
        <w:rPr>
          <w:b w:val="0"/>
          <w:i w:val="0"/>
        </w:rPr>
        <w:t>Điều gì xảy ra khi các công ty có cấu trúc ban quản trị khác nhau sáp nhập? Daimler-Benz và Chrysler đã đặt ra vấn đề này.</w:t>
      </w:r>
    </w:p>
    <w:p>
      <w:pPr>
        <w:pStyle w:val="Heading4"/>
      </w:pPr>
      <w:r>
        <w:rPr>
          <w:rFonts w:ascii="Calibri" w:hAnsi="Calibri"/>
          <w:b/>
          <w:i w:val="0"/>
          <w:sz w:val="23"/>
        </w:rPr>
        <w:t>Tracinda Corp. v. Daimlerchrysler AG</w:t>
      </w:r>
    </w:p>
    <w:p>
      <w:pPr>
        <w:spacing w:after="80"/>
      </w:pPr>
      <w:r>
        <w:rPr>
          <w:b w:val="0"/>
          <w:i w:val="0"/>
        </w:rPr>
        <w:t>Tòa Phúc thẩm Hoa Kỳ, Vòng thứ ba</w:t>
      </w:r>
      <w:r>
        <w:br/>
      </w:r>
      <w:r>
        <w:rPr>
          <w:b w:val="0"/>
          <w:i w:val="0"/>
        </w:rPr>
        <w:t xml:space="preserve"> 502 F.3d 212 (2007)</w:t>
      </w:r>
    </w:p>
    <w:p>
      <w:pPr>
        <w:spacing w:after="80"/>
      </w:pPr>
      <w:r>
        <w:rPr>
          <w:b w:val="0"/>
          <w:i w:val="0"/>
        </w:rPr>
        <w:t>ROTH , THẨM PHÁN VÒNG :</w:t>
      </w:r>
    </w:p>
    <w:p>
      <w:pPr>
        <w:spacing w:after="80"/>
      </w:pPr>
      <w:r>
        <w:rPr>
          <w:b w:val="0"/>
          <w:i w:val="0"/>
        </w:rPr>
        <w:t>Tracinda Corporation là một công ty cổ phần nắm giữ, chủ yếu hoạt động trong lĩnh vực đầu tư tư nhân. Chủ tịch, tổng giám đốc điều hành và cổ đông duy nhất của nó là tỷ phú Kirk Kerkorian. Trước khi Daimler-Benz và Chrysler Corporation sáp nhập vào năm 1998, Tracinda là cổ đông lớn nhất của Chrysler với khoảng 14% cổ phần. Từ năm 1992 đến 1996, Kerkorian có mối quan hệ căng thẳng với các nhà quản lý của Chrysler. Ông thường xuyên gây áp lực buộc họ mua lại cổ phiếu, chia tách cổ phiếu và tăng cổ tức, và ông đã đe dọa phát động một cuộc chiến ủy nhiệm (proxy fight) vào năm 1995. Năm 1996, Chrysler và Kerkorian đã giải quyết những khác biệt của họ bằng nhiều thỏa thuận khác nhau. Trong số những điều khác, Chrysler đồng ý bổ nhiệm một người được Tracinda chỉ định, James Aljian, vào Ban Giám đốc của Chrysler.</w:t>
      </w:r>
    </w:p>
    <w:p>
      <w:pPr>
        <w:spacing w:after="80"/>
      </w:pPr>
      <w:r>
        <w:rPr>
          <w:b w:val="0"/>
          <w:i w:val="0"/>
        </w:rPr>
        <w:t>* * *</w:t>
      </w:r>
    </w:p>
    <w:p>
      <w:pPr>
        <w:spacing w:after="80"/>
      </w:pPr>
      <w:r>
        <w:rPr>
          <w:b w:val="0"/>
          <w:i w:val="0"/>
        </w:rPr>
        <w:t>Vào ngày 6 tháng 5 năm 1998, Hội đồng Quản trị Chrysler đã nhất trí thông qua việc sáp nhập và đề nghị các cổ đông Chrysler cũng làm như vậy. Cùng ngày hôm đó, đồng thời với việc ký kết BCA [Thỏa thuận Kết hợp Kinh doanh], Tracinda, Kerkorian, Chrysler và Daimler-Benz đã ký kết Thỏa thuận Cổ đông (SHA), trong đó buộc Tracinda phải bỏ phiếu ủng hộ việc sáp nhập. SHA có một điều khoản từ bỏ quyền xét xử bồi thẩm đoàn: Mỗi bên trong thỏa thuận này . . . đồng ý từ bỏ mọi quyền được xét xử bởi bồi thẩm đoàn đối với bất kỳ khiếu nại, phản tố hay hành động nào phát sinh từ hoặc liên quan đến Thỏa thuận này hoặc các giao dịch được hoàn tất theo đây. Schrempp đã ký SHA thay mặt cho Daimler-Benz; ông không ký với tư cách cá nhân. Thỏa thuận được đàm phán trên cơ sở bình đẳng với cả hai bên đều có luật sư và các cố vấn khác đại diện.</w:t>
      </w:r>
    </w:p>
    <w:p>
      <w:pPr>
        <w:spacing w:after="80"/>
      </w:pPr>
      <w:r>
        <w:rPr>
          <w:b w:val="0"/>
          <w:i w:val="0"/>
        </w:rPr>
        <w:t>Về mặt nội dung, SHA không sử dụng thuật ngữ "sáp nhập giữa các bên bình đẳng" và không chứa bất kỳ tuyên bố nào liên quan đến quản trị doanh nghiệp. Thay vào đó, SHA tham chiếu đến BCA, trong đó mô tả cấu trúc quản trị chung của công ty mới. Mặc dù BCA sử dụng thuật ngữ "sáp nhập giữa các bên bình đẳng" và có một phần định nghĩa dài, BCA không định nghĩa thuật ngữ đó.</w:t>
      </w:r>
    </w:p>
    <w:p>
      <w:pPr>
        <w:spacing w:after="80"/>
      </w:pPr>
      <w:r>
        <w:rPr>
          <w:b w:val="0"/>
          <w:i w:val="0"/>
        </w:rPr>
        <w:t>Vào ngày 6 tháng 8 năm 1998, bản tuyên bố ủy quyền và bản cáo bạch (Proxy)—trong đó mô tả việc sáp nhập được đề xuất giữa Daimler-Benz và Chrysler và tìm kiếm sự chấp thuận của cổ đông cho giao dịch—đã được nộp cho SEC. . . . Proxy tuyên bố, trong số những điều khác, rằng "DaimlerChrysler AG" sẽ là thực thể tồn tại sau sáp nhập, nó sẽ được thành lập tại Đức và sẽ có hai trụ sở chính (tại Auburn Hills, Michigan và Stuttgart, Đức). Proxy giải thích rằng hình thức AG của Đức được chọn chủ yếu vì lợi thế về thuế. Proxy mô tả nhiều rủi ro khác nhau liên quan đến việc sáp nhập, bao gồm những khó khăn cố hữu trong việc tích hợp hai tập đoàn lớn từ các quốc gia và văn hóa kinh doanh khác nhau. Proxy nhắc lại các điều khoản về quản trị doanh nghiệp của BCA, lưu ý trong số những điều khác rằng (1) Ban Giám sát DaimlerChrysler sẽ bao gồm 5 đại diện cổ đông do Daimler-Benz chỉ định, 5 đại diện khác từ Chrysler và 10 đại diện người lao động; (2) Ban Quản lý DaimlerChrysler ban đầu sẽ bao gồm 8 thành viên do Daimler-Benz chỉ định, 8 thành viên khác từ Chrysler và 2 thành viên từ nhóm phi ô tô của Daimler; và (3) Schrempp và Eaton sẽ giữ chức đồng CEO của DaimlerChrysler trong ba năm. Proxy bao gồm một điều khoản độc lập rõ ràng nêu rằng các cấu trúc quản lý ban đầu này có thể thay đổi sau khi việc sáp nhập được hoàn tất. Kerkorian không bận tâm đến Proxy vì ông đã cam kết trong SHA sẽ bỏ phiếu ủng hộ việc sáp nhập.</w:t>
      </w:r>
    </w:p>
    <w:p>
      <w:pPr>
        <w:spacing w:after="80"/>
      </w:pPr>
      <w:r>
        <w:rPr>
          <w:b w:val="0"/>
          <w:i w:val="0"/>
        </w:rPr>
        <w:t>Luật Đức yêu cầu các công ty đại chúng phải có hai ban—một ban giám sát và một ban quản lý chịu sự giám sát của ban giám sát.</w:t>
      </w:r>
    </w:p>
    <w:p>
      <w:pPr>
        <w:spacing w:after="80"/>
      </w:pPr>
      <w:r>
        <w:rPr>
          <w:b w:val="0"/>
          <w:i w:val="0"/>
        </w:rPr>
        <w:t>* * *</w:t>
      </w:r>
    </w:p>
    <w:p>
      <w:pPr>
        <w:spacing w:after="80"/>
      </w:pPr>
      <w:r>
        <w:rPr>
          <w:b w:val="0"/>
          <w:i w:val="0"/>
        </w:rPr>
        <w:t>Trong hai năm, thành phần của Ban Giám sát DaimlerChrysler không thay đổi; 5 trong số 10 đại diện cổ đông là cựu giám đốc của Chrysler. Như được quy định trong BCA, Ban Quản lý DaimlerChrysler ban đầu bao gồm 10 người được Daimler-Benz chỉ định và 8 người từ Chrysler. Vì Ban Quản lý hoạt động theo đồng thuận thay vì thông qua các cuộc bỏ phiếu chính thức, sự chênh lệch ban đầu giữa những người được Chrysler và Daimler-Benz chỉ định không đáng kể. Các nhà quản lý từ Chrysler có thể đóng góp ý kiến về tất cả các hoạt động của DaimlerChrysler và ý kiến của họ được xem trọng. Ủy ban Tích hợp, một cơ quan chuyển tiếp được quy định trong BCA, được thành lập với 50% thành viên từ Chrysler và 50% từ Daimler-Benz, theo các điều khoản của BCA. Ủy ban này sau đó được đổi tên thành Ủy ban Cổ đông. Aljian là thành viên của Ủy ban Cổ đông cho đến khi Kerkorian yêu cầu ông từ chức vào ngày 24 tháng 11 năm 2000. Phù hợp với BCA, DaimlerChrysler duy trì hai trụ sở hoạt động, tại Stuttgart và Auburn Hills.</w:t>
      </w:r>
    </w:p>
    <w:p>
      <w:pPr>
        <w:spacing w:after="80"/>
      </w:pPr>
      <w:r>
        <w:rPr>
          <w:b w:val="0"/>
          <w:i w:val="0"/>
        </w:rPr>
        <w:t>Vì cả những người được Daimler-Benz và Chrysler chỉ định đều cho rằng Ban Quản lý gồm 18 người là quá lớn, khoảng một năm sau khi sáp nhập, Ban này đã được giảm xuống còn 14 thành viên. Năm trong số các thành viên còn lại là người được Chrysler chỉ định. Vào thời điểm đó, cả Aljian và Kerkorian đều không lo ngại về sự mất cân bằng này. . . . Vào thời điểm xét xử, chỉ còn một giám đốc điều hành từ Chrysler, Tom Sidlik, vẫn còn trong Ban Quản lý; bốn cựu giám đốc của Chrysler phục vụ trong Ban Giám sát.</w:t>
      </w:r>
    </w:p>
    <w:p>
      <w:pPr>
        <w:spacing w:after="80"/>
      </w:pPr>
      <w:r>
        <w:rPr>
          <w:b w:val="0"/>
          <w:i w:val="0"/>
        </w:rPr>
        <w:t>* * *</w:t>
      </w:r>
    </w:p>
    <w:p>
      <w:pPr>
        <w:spacing w:after="80"/>
      </w:pPr>
      <w:r>
        <w:rPr>
          <w:b w:val="0"/>
          <w:i w:val="0"/>
        </w:rPr>
        <w:t>Vậy liệu Tòa án Quận có sai lầm rõ ràng khi xác định thuật ngữ "sáp nhập giữa các bên bình đẳng", như được định nghĩa liên quan đến BCA, không phải là sai lệch hay gây nhầm lẫn? Để đưa ra quyết định này, chúng ta phải đánh giá liệu DaimlerChrysler có tuân theo cấu trúc quản trị doanh nghiệp được nêu trong BCA hay không. Theo luật Đức, BCA quy định một Ban Giám sát DaimlerChrysler chịu trách nhiệm bổ nhiệm các thành viên vào Ban Quản lý và giám sát hoạt động của họ. BCA nêu rằng Ban Giám sát sẽ bao gồm 20 thành viên, bao gồm 10 đại diện người lao động (theo luật Đức), 5 đại diện cổ đông do Daimler-Benz chỉ định và 5 đại diện cổ đông do Chrysler chỉ định. Tòa án Quận xác định rằng điều khoản này đã được tuân thủ; Tracinda không phản đối điều này. Vào thời điểm Tòa án Quận ban hành phán quyết sau xét xử, Ban Giám sát gần như chia đều giữa những người được Daimler-Benz và Chrysler chỉ định.</w:t>
      </w:r>
    </w:p>
    <w:p>
      <w:pPr>
        <w:spacing w:after="80"/>
      </w:pPr>
      <w:r>
        <w:rPr>
          <w:b w:val="0"/>
          <w:i w:val="0"/>
        </w:rPr>
        <w:t xml:space="preserve">Tuy nhiên, cách DaimlerChrysler xử lý Ban Quản lý lại là một vấn đề gây tranh cãi hơn. Những thay đổi sau sáp nhập đối với thành phần của ban đó, được tô điểm bởi các bình luận của Schrempp trên </w:t>
      </w:r>
      <w:r>
        <w:rPr>
          <w:b w:val="0"/>
          <w:i/>
        </w:rPr>
        <w:t>Financial Times</w:t>
      </w:r>
      <w:r>
        <w:rPr>
          <w:b w:val="0"/>
          <w:i w:val="0"/>
        </w:rPr>
        <w:t xml:space="preserve"> và </w:t>
      </w:r>
      <w:r>
        <w:rPr>
          <w:b w:val="0"/>
          <w:i/>
        </w:rPr>
        <w:t>Barron's</w:t>
      </w:r>
      <w:r>
        <w:rPr>
          <w:b w:val="0"/>
          <w:i w:val="0"/>
        </w:rPr>
        <w:t>, chính là điều thúc đẩy Tracinda khởi kiện. Về thành phần của Ban Quản lý, BCA nêu rõ (phần nhấn mạnh được thêm vào):</w:t>
      </w:r>
    </w:p>
    <w:p>
      <w:pPr>
        <w:spacing w:after="80"/>
      </w:pPr>
      <w:r>
        <w:rPr>
          <w:b w:val="0"/>
          <w:i w:val="0"/>
        </w:rPr>
        <w:t xml:space="preserve">Ban Quản lý . . . của DaimlerChrysler AG sẽ bao gồm 18 thành viên. </w:t>
      </w:r>
      <w:r>
        <w:rPr>
          <w:b w:val="0"/>
          <w:i/>
        </w:rPr>
        <w:t>Nói chung</w:t>
      </w:r>
      <w:r>
        <w:rPr>
          <w:b w:val="0"/>
          <w:i w:val="0"/>
        </w:rPr>
        <w:t>, 50% số thành viên đó sẽ là những người do Chrysler chỉ định, và 50% số thành viên đó sẽ là những người do Daimler-Benz chỉ định, và sẽ có thêm hai thành viên chịu trách nhiệm về các hoạt động phi ô tô của Daimler-Benz. Trong ba năm sau Thời điểm Hiệu lực, Jurgen E. Schrempp và Robert J. Eaton sẽ là đồng CEO và đồng Chủ tịch . . . của Ban Quản lý . . . của DaimlerChrysler AG và là thành viên của Văn phòng Chủ tịch DaimlerChrysler AG. Nếu bất kỳ người nào được chỉ định làm thành viên của Văn phòng Chủ tịch hoặc Ban Quản lý của DaimlerChrysler AG không còn là nhân viên toàn thời gian của Chrysler hoặc Daimler-Benz vào hoặc trước Thời điểm Hiệu lực, thì Daimler-Benz, trong trường hợp bất kỳ nhân viên nào như vậy của Daimler-Benz vào ngày ký kết hoặc bất kỳ nhân viên nào như vậy sẽ được Daimler-Benz chỉ định, hoặc Chrysler, trong trường hợp bất kỳ nhân viên nào như vậy của Chrysler vào ngày ký kết hoặc bất kỳ nhân viên nào như vậy sẽ được Chrysler chỉ định, sẽ chỉ định một người khác để thay thế người đó.</w:t>
      </w:r>
    </w:p>
    <w:p>
      <w:pPr>
        <w:spacing w:after="80"/>
      </w:pPr>
      <w:r>
        <w:rPr>
          <w:b w:val="0"/>
          <w:i w:val="0"/>
        </w:rPr>
        <w:t xml:space="preserve">Như được Tòa án Quận nhấn mạnh, sự chia đôi 50-50 giữa những người được Daimler-Benz và Chrysler chỉ định được hiểu theo nghĩa chung, ban đầu. BCA quy định quyền của Chrysler và Daimler-Benz thay thế một người được chỉ định vào Ban Quản lý hoặc Văn phòng Chủ tịch nếu cá nhân đó không còn là nhân viên toàn thời gian của công ty </w:t>
      </w:r>
      <w:r>
        <w:rPr>
          <w:b w:val="0"/>
          <w:i/>
        </w:rPr>
        <w:t>trước</w:t>
      </w:r>
      <w:r>
        <w:rPr>
          <w:b w:val="0"/>
          <w:i w:val="0"/>
        </w:rPr>
        <w:t xml:space="preserve"> ngày hiệu lực của việc sáp nhập, nhưng không có điều khoản nào như vậy cho việc rời đi của các giám đốc điều hành </w:t>
      </w:r>
      <w:r>
        <w:rPr>
          <w:b w:val="0"/>
          <w:i/>
        </w:rPr>
        <w:t>sau</w:t>
      </w:r>
      <w:r>
        <w:rPr>
          <w:b w:val="0"/>
          <w:i w:val="0"/>
        </w:rPr>
        <w:t xml:space="preserve"> khi việc sáp nhập hoàn tất. Ngoài các khung thời gian đặt ra cho chức vụ đồng chủ tịch, không có điều khoản nào của BCA quy định thành phần của Ban Quản lý sẽ kéo dài bao lâu sau khi việc sáp nhập hoàn tất. Thật vậy, Proxy đã tuyên bố rõ ràng rằng các thành viên Ban Quản lý được Daimler-Benz và Chrysler chọn theo BCA là những người được chỉ định "ban đầu". Hơn nữa, như được Tòa án Quận lưu ý, BCA quy định rằng cấu trúc quản trị sau sáp nhập dựa trên các "khuyến nghị" và chịu sự chi phối của quyền hạn của các cổ đông DaimlerChrysler cũng như Ban Giám sát và Ban Quản lý. Như được nêu rõ trong Proxy, BCA "không chứa điều khoản nào ngăn cản các thay đổi quản trị sau khi [việc sáp nhập đã] được hoàn tất." Do đó, Tòa án Quận xác định rằng những thay đổi sau sáp nhập đối với thành phần Ban Quản lý, dẫn đến việc có nhiều người được Daimler-Benz chỉ định ngồi trong Ban hơn so với người được Chrysler chỉ định, là được phép theo BCA. Tòa án Quận đã xác định rõ ràng rằng "[v]iệc Sáp nhập đã hoàn tất phù hợp với các điều khoản trong BCA." Tracinda Corp. v. DaimlerChrysler AG, 364 F. Supp. 2d 362, 380 (D. Del. 2005).</w:t>
      </w:r>
    </w:p>
    <w:p>
      <w:pPr>
        <w:spacing w:after="80"/>
      </w:pPr>
      <w:r>
        <w:rPr>
          <w:b w:val="0"/>
          <w:i w:val="0"/>
        </w:rPr>
        <w:t>Do đó, Tòa án Quận kết luận rằng Tracinda đã không chứng minh được, bằng sự vượt trội của bằng chứng, một sự trình bày sai lệch dựa trên việc sử dụng thuật ngữ "sáp nhập giữa các bên bình đẳng", như được định nghĩa bởi các điều khoản quản trị doanh nghiệp của BCA. . . .</w:t>
      </w:r>
    </w:p>
    <w:p>
      <w:pPr>
        <w:pStyle w:val="Heading5"/>
      </w:pPr>
      <w:r>
        <w:rPr>
          <w:rFonts w:ascii="Calibri" w:hAnsi="Calibri"/>
          <w:b/>
          <w:i/>
          <w:sz w:val="22"/>
        </w:rPr>
        <w:t>Bình luận và Câu hỏi</w:t>
      </w:r>
    </w:p>
    <w:p>
      <w:pPr>
        <w:spacing w:after="80"/>
      </w:pPr>
      <w:r>
        <w:rPr>
          <w:b w:val="0"/>
          <w:i w:val="0"/>
        </w:rPr>
        <w:t>1. Xét rằng Chrysler sẽ có không quá năm giám đốc trong số 20 người trong ban giám sát, liệu có chính xác khi gọi đây là một cuộc sáp nhập giữa các bên bình đẳng, ít nhất là ở mức độ điều này ngụ ý quyền quản lý bình đẳng?</w:t>
      </w:r>
    </w:p>
    <w:p>
      <w:pPr>
        <w:spacing w:after="80"/>
      </w:pPr>
      <w:r>
        <w:rPr>
          <w:b w:val="0"/>
          <w:i w:val="0"/>
        </w:rPr>
        <w:t xml:space="preserve">2. Vào thời điểm đó, đây là vụ sáp nhập công nghiệp xuyên biên giới lớn nhất. Nó đặt ra một số vấn đề độc đáo, trong đó không kém phần quan trọng là vai trò của người lao động trong cơ cấu quản trị. Người lao động Đức có quyền chọn một nửa hội đồng giám sát. Công đoàn United Auto Workers nhận được một trong mười ghế đại diện lao động. Lawrence A. Cunningham, </w:t>
      </w:r>
      <w:r>
        <w:rPr>
          <w:b w:val="0"/>
          <w:i/>
        </w:rPr>
        <w:t>Paradigm or Paradox? Commonalities and Prescriptions in the Vertical Dimension of Global Corporate Governance</w:t>
      </w:r>
      <w:r>
        <w:rPr>
          <w:b w:val="0"/>
          <w:i w:val="0"/>
        </w:rPr>
        <w:t xml:space="preserve"> , 84 Cornell L. Rev. 1133, 1167 (1999). Một thành viên của UAW vẫn giữ ghế trong hội đồng giám sát cho đến năm 2007, khi Chrysler được bán cho Cerberus, một quỹ đầu tư tư nhân.</w:t>
      </w:r>
    </w:p>
    <w:p>
      <w:pPr>
        <w:spacing w:after="80"/>
      </w:pPr>
      <w:r>
        <w:rPr>
          <w:b w:val="0"/>
          <w:i w:val="0"/>
        </w:rPr>
        <w:t>3. Ban điều hành ban đầu được chia 50-50 giữa Chrysler và Daimler Benz. Điều gì có khả năng xảy ra với cơ cấu này theo thời gian? Liệu Chrysler có thể duy trì số ghế ngang bằng của mình trong ban này không?</w:t>
      </w:r>
    </w:p>
    <w:p>
      <w:pPr>
        <w:spacing w:after="80"/>
      </w:pPr>
      <w:r>
        <w:rPr>
          <w:b w:val="0"/>
          <w:i w:val="0"/>
        </w:rPr>
        <w:t xml:space="preserve">4. Mặc dù các cổ đông Daimler nắm quyền kiểm soát sau vụ sáp nhập, thực tế số cổ đông Mỹ lại nhiều hơn cổ đông Đức. </w:t>
      </w:r>
      <w:r>
        <w:rPr>
          <w:b w:val="0"/>
          <w:i/>
        </w:rPr>
        <w:t>Xem</w:t>
      </w:r>
      <w:r>
        <w:rPr>
          <w:b w:val="0"/>
          <w:i w:val="0"/>
        </w:rPr>
        <w:t xml:space="preserve"> Jeffrey N. Gordon, </w:t>
      </w:r>
      <w:r>
        <w:rPr>
          <w:b w:val="0"/>
          <w:i/>
        </w:rPr>
        <w:t>Pathways to Corporate Convergence? Two Steps on the Road to Shareholder Capitalism in Germany</w:t>
      </w:r>
      <w:r>
        <w:rPr>
          <w:b w:val="0"/>
          <w:i w:val="0"/>
        </w:rPr>
        <w:t xml:space="preserve"> , 5 Colum. J. Eur. L. 219, 230 (1999) (giai đoạn ngay sau sáp nhập nắm giữ 44% cổ phiếu "phổ thông" đang lưu hành, trong khi cổ đông Đức chỉ nắm 37%). Điều này xảy ra vì cổ đông Mỹ đã sở hữu khoảng 10% Daimler trước khi sáp nhập. </w:t>
      </w:r>
      <w:r>
        <w:rPr>
          <w:b w:val="0"/>
          <w:i/>
        </w:rPr>
        <w:t>Xem</w:t>
      </w:r>
      <w:r>
        <w:rPr>
          <w:b w:val="0"/>
          <w:i w:val="0"/>
        </w:rPr>
        <w:t xml:space="preserve"> Dennis E. Logue &amp; James K. Seward, </w:t>
      </w:r>
      <w:r>
        <w:rPr>
          <w:b w:val="0"/>
          <w:i/>
        </w:rPr>
        <w:t>Challenges to Corporate Governance: Anatomy of a Governance Transformation: The Case of Daimler-Benz</w:t>
      </w:r>
      <w:r>
        <w:rPr>
          <w:b w:val="0"/>
          <w:i w:val="0"/>
        </w:rPr>
        <w:t xml:space="preserve"> , 62 Law &amp; Contemp. Prob. 87, 106 (1999). Tuy nhiên, tỷ lệ sở hữu của người Mỹ nhanh chóng giảm xuống, một phần rõ ràng là do công ty không được đưa vào chỉ số S&amp;P Index.</w:t>
      </w:r>
    </w:p>
    <w:p>
      <w:pPr>
        <w:spacing w:after="80"/>
      </w:pPr>
      <w:r>
        <w:rPr>
          <w:b w:val="0"/>
          <w:i w:val="0"/>
        </w:rPr>
        <w:t xml:space="preserve">5. CEO của Daimler, Jürgen Schrempp, cho biết vụ sáp nhập sẽ tạo ra "công ty Đức đầu tiên mang văn hóa Bắc Mỹ." Một nơi mà văn hóa Bắc Mỹ dường như chiếm ưu thế là về thù lao điều hành. Chrysler trả số tiền cao hơn đáng kể so với Daimler. Các tuyên bố từ Daimler cho thấy vấn đề sẽ được giải quyết bằng cách áp dụng cách tiếp cận của Chrysler. </w:t>
      </w:r>
      <w:r>
        <w:rPr>
          <w:b w:val="0"/>
          <w:i/>
        </w:rPr>
        <w:t>Xem</w:t>
      </w:r>
      <w:r>
        <w:rPr>
          <w:b w:val="0"/>
          <w:i w:val="0"/>
        </w:rPr>
        <w:t xml:space="preserve"> Cunningham, </w:t>
      </w:r>
      <w:r>
        <w:rPr>
          <w:b w:val="0"/>
          <w:i/>
        </w:rPr>
        <w:t>supra</w:t>
      </w:r>
      <w:r>
        <w:rPr>
          <w:b w:val="0"/>
          <w:i w:val="0"/>
        </w:rPr>
        <w:t xml:space="preserve"> , 84 Cornell L. Rev. at 1295.</w:t>
      </w:r>
    </w:p>
    <w:p>
      <w:pPr>
        <w:spacing w:after="80"/>
      </w:pPr>
      <w:r>
        <w:rPr>
          <w:b w:val="0"/>
          <w:i w:val="0"/>
        </w:rPr>
        <w:t>—————</w:t>
      </w:r>
    </w:p>
    <w:p>
      <w:pPr>
        <w:spacing w:after="80"/>
      </w:pPr>
      <w:r>
        <w:rPr>
          <w:b w:val="0"/>
          <w:i w:val="0"/>
        </w:rPr>
        <w:t xml:space="preserve">Hai hệ thống có thực sự khác biệt đến vậy không? Một số người khẳng định rằng hai hệ thống thực tế đang hội tụ lại. </w:t>
      </w:r>
      <w:r>
        <w:rPr>
          <w:b w:val="0"/>
          <w:i/>
        </w:rPr>
        <w:t>Xem</w:t>
      </w:r>
      <w:r>
        <w:rPr>
          <w:b w:val="0"/>
          <w:i w:val="0"/>
        </w:rPr>
        <w:t xml:space="preserve"> Paul L. Davies &amp; Klaus J. Hopt, </w:t>
      </w:r>
      <w:r>
        <w:rPr>
          <w:b w:val="0"/>
          <w:i/>
        </w:rPr>
        <w:t>Corporate Boards in Europe—and Convergence, Accountability</w:t>
      </w:r>
      <w:r>
        <w:rPr>
          <w:b w:val="0"/>
          <w:i w:val="0"/>
        </w:rPr>
        <w:t xml:space="preserve"> , 61 Am. J. Comp. L. 301 (2013) ("không chỉ các hội đồng giám sát mà cả các hội đồng một tầng cũng phụ thuộc vào ban điều hành để có thông tin và lời khuyên, đôi khi đến mức ban điều hành nắm quyền kiểm soát."). Hãy đưa ra lập luận ủng hộ và phản đối sự hội tụ.</w:t>
      </w:r>
    </w:p>
    <w:p>
      <w:pPr>
        <w:pStyle w:val="Heading4"/>
      </w:pPr>
      <w:r>
        <w:rPr>
          <w:rFonts w:ascii="Calibri" w:hAnsi="Calibri"/>
          <w:b/>
          <w:i w:val="0"/>
          <w:sz w:val="23"/>
        </w:rPr>
        <w:t>4. Vai trò của các bên liên quan</w:t>
      </w:r>
    </w:p>
    <w:p>
      <w:pPr>
        <w:spacing w:after="80"/>
      </w:pPr>
      <w:r>
        <w:rPr>
          <w:b w:val="0"/>
          <w:i w:val="0"/>
        </w:rPr>
        <w:t>Các hệ thống lục địa đôi khi cũng quy định một vai trò rõ ràng trong quá trình quản trị cho những người không phải cổ đông. Người lao động là nhóm bên liên quan được đại diện phổ biến nhất. Ở Đức, các công ty có từ 500 nhân viên trở lên phải trao cho người lao động quyền bầu đại diện vào hội đồng giám sát. Đối với các công ty có hơn 2000 nhân viên, một nửa hội đồng phải do người lao động chọn. Nhiều quốc gia khác ở châu Âu yêu cầu đại diện của người lao động, mặc dù không ở mức độ như Đức.</w:t>
      </w:r>
    </w:p>
    <w:p>
      <w:pPr>
        <w:pStyle w:val="Heading4"/>
      </w:pPr>
      <w:r>
        <w:rPr>
          <w:rFonts w:ascii="Calibri" w:hAnsi="Calibri"/>
          <w:b/>
          <w:i w:val="0"/>
          <w:sz w:val="23"/>
        </w:rPr>
        <w:t>Paul L. Davies &amp; Klaus J. Hopt,</w:t>
      </w:r>
      <w:r>
        <w:br/>
      </w:r>
      <w:r>
        <w:rPr>
          <w:rFonts w:ascii="Calibri" w:hAnsi="Calibri"/>
          <w:b/>
          <w:i w:val="0"/>
          <w:sz w:val="23"/>
        </w:rPr>
        <w:t xml:space="preserve"> </w:t>
      </w:r>
      <w:r>
        <w:rPr>
          <w:rFonts w:ascii="Calibri" w:hAnsi="Calibri"/>
          <w:b/>
          <w:i/>
          <w:sz w:val="23"/>
        </w:rPr>
        <w:t>Corporate Boards in Europe—Accountability and Convergence</w:t>
      </w:r>
    </w:p>
    <w:p>
      <w:pPr>
        <w:spacing w:after="80"/>
      </w:pPr>
      <w:r>
        <w:rPr>
          <w:b w:val="0"/>
          <w:i w:val="0"/>
        </w:rPr>
        <w:t>61 Am. J. Comp. L. 301 (2013)</w:t>
      </w:r>
    </w:p>
    <w:p>
      <w:pPr>
        <w:spacing w:after="80"/>
      </w:pPr>
      <w:r>
        <w:rPr>
          <w:b w:val="0"/>
          <w:i w:val="0"/>
        </w:rPr>
        <w:t>3. Tỷ lệ đại diện của người lao động</w:t>
      </w:r>
    </w:p>
    <w:p>
      <w:pPr>
        <w:spacing w:after="80"/>
      </w:pPr>
      <w:r>
        <w:rPr>
          <w:b w:val="0"/>
          <w:i w:val="0"/>
        </w:rPr>
        <w:t>Mức độ đồng quyết định ở cấp hội đồng thay đổi đáng kể. Thông thường nhất, luật đồng quyết định quy định một phần ba hội đồng do người lao động bầu. Đây là trường hợp của nhiều quốc gia thành viên E.U. Ở một số quốc gia như Thụy Điển, trong những trường hợp nhất định, người lao động có được tối đa hai hoặc ba ghế trong hội đồng. Hình thức đồng quyết định ngang bằng trong phòng họp hội đồng chỉ tồn tại ở Đức. Nó cũng từng tồn tại, dưới hình thức đồng chọn, cho đến năm 2004 ở Hà Lan. Chế độ đồng quyết định của Đức, dù được biết đến nhiều nhất bên ngoài châu Âu, thực tế là một ngoại lệ vì đối với các công ty lớn, nó chính xác hơn là ở mức gần ngang bằng do chủ tịch do cổ đông bầu có phiếu quyết định. Tuy nhiên, phiếu quyết định này hầu như không bao giờ được sử dụng vì hậu quả rất tiêu cực của nó đối với bầu không khí làm việc trong công ty và những xung đột có thể xảy ra với các công đoàn. Hệ thống đồng quyết định sâu rộng này mang tính phụ thuộc lộ trình và có nguồn gốc từ những năm sau Thế chiến I (1922) và sau Thế chiến II (1950, 1952 và 1976) khi các lực lượng của tư bản và lao động phải cùng nhau tái thiết ngành công nghiệp Đức. Mức độ đồng quyết định phụ thuộc vào hình thức pháp lý của công ty và quy mô của nó (dưới 500 nhân viên: không bắt buộc có đại diện người lao động; từ 500 đến 2000 nhân viên: đại diện một phần ba, áp dụng cho khoảng 3.000 công ty; hơn 2.000 nhân viên: ngang bằng, áp dụng cho khoảng bốn mươi công ty). Các đại diện người lao động được lực lượng lao động bầu trực tiếp hoặc gián tiếp. Một số ghế trong hội đồng được dành cho đại diện của các công đoàn. Chế độ này và những quyền lợi cố hữu đi kèm đã ăn sâu vào truyền thống đến mức Đức đã cản trở các nỗ lực của E.U. nhằm hài hòa hóa luật công ty quốc gia về thành phần hội đồng hoặc cung cấp các hình thức thành lập công ty của E.U.—vì lo ngại từ phía các công đoàn rằng các công ty Đức sẽ tránh các quy tắc đồng quyết định quốc gia bằng cách tái thành lập ở các quốc gia thành viên khác hoặc với tư cách là công ty E.U. Cho đến nay, mọi nỗ lực cải cách trong nội bộ nước Đức đều đã thất bại.</w:t>
      </w:r>
    </w:p>
    <w:p>
      <w:pPr>
        <w:spacing w:after="80"/>
      </w:pPr>
      <w:r>
        <w:rPr>
          <w:b w:val="0"/>
          <w:i w:val="0"/>
        </w:rPr>
        <w:t>4. Tác động của việc bắt buộc có đại diện người lao động</w:t>
      </w:r>
    </w:p>
    <w:p>
      <w:pPr>
        <w:spacing w:after="80"/>
      </w:pPr>
      <w:r>
        <w:rPr>
          <w:b w:val="0"/>
          <w:i w:val="0"/>
        </w:rPr>
        <w:t>Câu hỏi khó khăn nhất, gây tranh cãi nhất và ít được xác nhận bằng thực nghiệm nhất là việc bắt buộc có đại diện người lao động ở cấp hội đồng có tác động gì. Ngoài tác động có vấn đề đối với quy mô của hội đồng, được cảm nhận rõ nhất dưới chế độ đồng quyết định ngang bằng ở Đức, và những chi phí cũng như việc làm chậm quá trình ra quyết định, phần lớn thông tin từ các công ty và công đoàn vẫn chỉ là giai thoại và thường mâu thuẫn.</w:t>
      </w:r>
    </w:p>
    <w:p>
      <w:pPr>
        <w:spacing w:after="80"/>
      </w:pPr>
      <w:r>
        <w:rPr>
          <w:b w:val="0"/>
          <w:i w:val="0"/>
        </w:rPr>
        <w:t>Về những tác động có thể có đối với công ty và quản trị công ty của nó, tác động lên các luồng thông tin là khả năng cao nhất. Sự hiện diện của đại diện người lao động trong hội đồng có thể cải thiện thông tin sẵn có cho hội đồng vì thông tin mà hội đồng (giám sát) nhận được từ công ty đã bị ban điều hành lọc lại. Các đại diện người lao động thường là thành viên của hội đồng công xưởng, và với tư cách đó có thông tin đầy đủ về những gì đang diễn ra ở cấp cơ sở. Nhưng thông tin đi theo cả hai chiều. Một số ghế phía lao động, ít nhất là ở Đức, được các công đoàn trực tiếp lấp đầy, và hầu hết các đại diện người lao động khác đều là thành viên công đoàn. Cử tri lao động và các công đoàn mong đợi được đại diện của họ thông báo. Mặc dù có quy tắc bắt buộc về bảo mật trong phòng họp hội đồng, trên thực tế điều này thường không được tôn trọng. Ngay cả thông tin nội bộ cũng rò rỉ ra cho người lao động và công đoàn, mặc dù Tòa án Công lý châu Âu đã tuyên bố rõ ràng rằng đồng quyết định không thể biện minh cho việc rò rỉ. Nguy cơ này có thể khiến ban điều hành miễn cưỡng thông báo cho hội đồng (giám sát) về dữ liệu nội bộ. Liệu dòng thông tin (không phải nội bộ) gia tăng về chiến lược công ty đến các công đoàn có làm giảm khả năng ban điều hành và công đoàn hiểu sai lập trường của nhau trong thương lượng tập thể hay không vẫn còn là vấn đề suy đoán.</w:t>
      </w:r>
    </w:p>
    <w:p>
      <w:pPr>
        <w:spacing w:after="80"/>
      </w:pPr>
      <w:r>
        <w:rPr>
          <w:b w:val="0"/>
          <w:i w:val="0"/>
        </w:rPr>
        <w:t>Một tác động khác lên việc ra quyết định xảy ra vì các vấn đề lao động rất có thể được đưa lên hội đồng từ lực lượng lao động trong công ty cũng như từ các công đoàn. Điều này có thể hữu ích vì các vấn đề lao động quan trọng có thể được thảo luận và giải quyết ở cấp hội đồng thay vì lơ lửng chưa giải quyết hoặc chỉ nổi lên trong quá trình thương lượng tập thể. Nhưng cũng có một sự đánh đổi: ban điều hành và hội đồng có thể bỏ qua hoặc trì hoãn các quyết định có lợi cho công ty, chẳng hạn như đầu tư nhiều hơn vào nước ngoài, điều sẽ có hậu quả đối với lực lượng lao động trong nước. Tuy nhiên, nếu cần thực hiện các biện pháp, kể cả những biện pháp quyết liệt, vì lợi ích của công ty, chúng thực tế có thể được tạo điều kiện thuận lợi nhờ đồng quyết định, như kinh nghiệm về các vụ giải cứu, sa thải và đóng cửa công ty sau khi nước Đức tái thống nhất đã cho thấy. Một số người kỳ vọng rằng đồng quyết định sẽ cho phép hội đồng kiểm soát tốt hơn việc ban điều hành chấp nhận rủi ro và thù lao của ban điều hành. Nhưng kinh nghiệm từ cuộc khủng hoảng tài chính và các sự cố như vụ Mannesmann khiến người ta nghi ngờ lý thuyết đó. Tuy nhiên, các quyết định gần đây ở Đức về thù lao của giám đốc đã được chuyển khỏi các ủy ban thù lao và bắt buộc giao cho toàn thể hội đồng.</w:t>
      </w:r>
    </w:p>
    <w:p>
      <w:pPr>
        <w:spacing w:after="80"/>
      </w:pPr>
      <w:r>
        <w:rPr>
          <w:b w:val="0"/>
          <w:i w:val="0"/>
        </w:rPr>
        <w:t>Đồng quyết định (codetermination) có thể gây ra tác động làm méo mó chức năng quản trị doanh nghiệp tổng thể của hội đồng quản trị. Đồng quyết định, ít nhất là đồng quyết định ở mức ngang bằng, dẫn đến sự chia rẽ thành hai phe ("ghế"). Các thành viên đại diện cho người lao động thường họp riêng trước với nhau và có xu hướng thảo luận và bỏ phiếu như một khối thống nhất, trừ khi có một đại diện đặc biệt cho các nhân viên cấp cao. Điều này lại khác đối với phía cổ đông, mặc dù Bộ Quy tắc Quản trị Doanh nghiệp Đức (German Corporate Governance Code) đã khuyến nghị rằng họ cũng nên có các cuộc họp trù bị riêng. Hiệu ứng làm méo mó này thậm chí có thể mạnh hơn nếu các công đoàn có đại diện riêng của mình trong hội đồng quản trị. Mặc dù các công đoàn có xu hướng có tầm nhìn rộng hơn, điều có thể hữu ích cho hội đồng quản trị trong một số trường hợp, họ có thể mang vào những lợi ích lao động từ bên ngoài công ty mà có thể không vì lợi ích của công ty và các cổ đông. Nhìn chung, sự phân cực này bằng cách cố định hóa các "ghế" là khá tiêu cực. Liệu hiệu ứng làm méo mó này có thể tránh được bằng cách có các giám đốc độc lập hay không vẫn còn đáng nghi ngờ, ngay cả khi phía người lao động cũng có các giám đốc độc lập.</w:t>
      </w:r>
    </w:p>
    <w:p>
      <w:pPr>
        <w:spacing w:after="80"/>
      </w:pPr>
      <w:r>
        <w:rPr>
          <w:b w:val="0"/>
          <w:i w:val="0"/>
        </w:rPr>
        <w:t>Đồng quyết định cũng có thể có ảnh hưởng đến quản trị doanh nghiệp bên ngoài, tức là đến thị trường thâu tóm. Thật vậy, đồng quyết định đôi khi được coi là một trong nhiều rào cản mang tính cấu trúc đối với sự phát triển của một thị trường thâu tóm sôi động. Điều này là bởi vì cả ban lãnh đạo lẫn người lao động đều có động cơ để chống lại các cuộc thâu tóm (thù địch) mà có thể dẫn đến việc bổ nhiệm ban lãnh đạo mới và cắt giảm chi phí lao động cũng như việc làm trong nước.</w:t>
      </w:r>
    </w:p>
    <w:p>
      <w:pPr>
        <w:spacing w:after="80"/>
      </w:pPr>
      <w:r>
        <w:rPr>
          <w:b w:val="0"/>
          <w:i w:val="0"/>
        </w:rPr>
        <w:t>Bằng chứng về những hệ quả của đồng quyết định vượt ra ngoài phạm vi công ty thậm chí còn mang tính giai thoại và suy đoán nhiều hơn. Đồng quyết định ở Đức được cho là đã góp phần tạo ra một bầu không khí hòa bình hơn giữa giới chủ và giới lao động, ít các cuộc đình công hơn, và sự hợp tác tốt hơn giữa hai bên vì lợi ích của toàn bộ nền kinh tế. Một số người đã gọi đồng quyết định là một hệ thống giám sát xã hội sớm.</w:t>
      </w:r>
    </w:p>
    <w:p>
      <w:pPr>
        <w:pStyle w:val="Heading5"/>
      </w:pPr>
      <w:r>
        <w:rPr>
          <w:rFonts w:ascii="Calibri" w:hAnsi="Calibri"/>
          <w:b/>
          <w:i/>
          <w:sz w:val="22"/>
        </w:rPr>
        <w:t>Bình luận và Câu hỏi</w:t>
      </w:r>
    </w:p>
    <w:p>
      <w:pPr>
        <w:spacing w:after="80"/>
      </w:pPr>
      <w:r>
        <w:rPr>
          <w:b w:val="0"/>
          <w:i w:val="0"/>
        </w:rPr>
        <w:t xml:space="preserve">1. Những lợi thế và bất lợi của việc có đại diện người lao động trong hội đồng quản trị là gì? Có những phương pháp thay thế nào để tăng cường ảnh hưởng của người lao động mà không nhất thiết phải đưa họ vào hội đồng quản trị không? Một số quốc gia như Hà Lan đã sử dụng hội đồng lao động (work councils). Những cơ quan này được người lao động bầu chọn và có quyền đồng ý với một số thực tiễn nhất định (đặc biệt là các vấn đề liên quan đến lao động) và quyền được tham vấn về những vấn đề khác (chẳng hạn như thay đổi quyền kiểm soát). </w:t>
      </w:r>
      <w:r>
        <w:rPr>
          <w:b w:val="0"/>
          <w:i/>
        </w:rPr>
        <w:t>Xem</w:t>
      </w:r>
      <w:r>
        <w:rPr>
          <w:b w:val="0"/>
          <w:i w:val="0"/>
        </w:rPr>
        <w:t xml:space="preserve"> Tom R. Ottervanger &amp; Ralph M. Pais, </w:t>
      </w:r>
      <w:r>
        <w:rPr>
          <w:b w:val="0"/>
          <w:i/>
        </w:rPr>
        <w:t>Employee Participation in Corporate Decision Making: The Dutch Model</w:t>
      </w:r>
      <w:r>
        <w:rPr>
          <w:b w:val="0"/>
          <w:i w:val="0"/>
        </w:rPr>
        <w:t xml:space="preserve"> , 15 Int'l Law. 393 (1981).</w:t>
      </w:r>
    </w:p>
    <w:p>
      <w:pPr>
        <w:spacing w:after="80"/>
      </w:pPr>
      <w:r>
        <w:rPr>
          <w:b w:val="0"/>
          <w:i w:val="0"/>
        </w:rPr>
        <w:t xml:space="preserve">2. Liệu cấu trúc đồng quyết định có thực sự có lợi cho người lao động không? Một số người cho rằng kết quả là không đồng nhất. </w:t>
      </w:r>
      <w:r>
        <w:rPr>
          <w:b w:val="0"/>
          <w:i/>
        </w:rPr>
        <w:t>Xem</w:t>
      </w:r>
      <w:r>
        <w:rPr>
          <w:b w:val="0"/>
          <w:i w:val="0"/>
        </w:rPr>
        <w:t xml:space="preserve"> Klaus J. Hopt, </w:t>
      </w:r>
      <w:r>
        <w:rPr>
          <w:b w:val="0"/>
          <w:i/>
        </w:rPr>
        <w:t>Comparative Corporate Governance: The State of the Art and International Regulation</w:t>
      </w:r>
      <w:r>
        <w:rPr>
          <w:b w:val="0"/>
          <w:i w:val="0"/>
        </w:rPr>
        <w:t xml:space="preserve"> , 59 Am. J. Comp. L. 1 (2011) (lưu ý những nghi ngờ về việc liệu hệ thống này có mang lại lợi ích gì ngoài quan hệ lao động tốt đẹp và việc tránh được các cuộc đình công hay không). Giả sử điều này là đúng, liệu đồng quyết định có gây ra những hệ quả tiêu cực không? </w:t>
      </w:r>
      <w:r>
        <w:rPr>
          <w:b w:val="0"/>
          <w:i/>
        </w:rPr>
        <w:t>Xem id.</w:t>
      </w:r>
      <w:r>
        <w:rPr>
          <w:b w:val="0"/>
          <w:i w:val="0"/>
        </w:rPr>
        <w:t xml:space="preserve"> ("Tác dụng thực sự của một quy tắc như vậy có thể chỉ là quyền tự quyết lớn hơn của hội đồng quản trị để hành động, điều này lại khiến việc buộc hội đồng quản trị phải chịu trách nhiệm trở nên khó khăn hơn.").</w:t>
      </w:r>
    </w:p>
    <w:p>
      <w:pPr>
        <w:spacing w:after="80"/>
      </w:pPr>
      <w:r>
        <w:rPr>
          <w:b w:val="0"/>
          <w:i w:val="0"/>
        </w:rPr>
        <w:t>3. Tuy nhiên, không phải tất cả các quốc gia theo hệ thống luật dân sự (civil law) đều quy định việc đại diện cho người lao động. Mười một trong số 27 quốc gia trong EU có quy định này (Áo, Cộng hòa Séc, Đan Mạch, Phần Lan, Đức, Hungary, Luxembourg, Hà Lan, Slovakia, Slovenia và Thụy Điển). Sáu quốc gia khác chỉ áp dụng điều này cho các công ty nhà nước (Bỉ, Pháp, Hy Lạp, Ireland, Ba Lan và Tây Ban Nha). Mười quốc gia không quy định bất kỳ hình thức đại diện người lao động nào (Bulgaria, Síp, Estonia, Ý, Latvia, Litva, Malta, Bồ Đào Nha, Romania và Vương quốc Anh). Đối với những nước yêu cầu có đại diện, một phần ba ban giám sát là tỷ lệ tối đa phổ biến nhất được dành cho người lao động. Tư cách thành viên hội đồng quản trị cũng có thể đi kèm với những hạn chế. Ví dụ, ở Thụy Điển, các đại diện công đoàn trong hội đồng quản trị có thể không được tham gia vào các vấn đề thương lượng dẫn đến xung đột lợi ích.</w:t>
      </w:r>
    </w:p>
    <w:p>
      <w:pPr>
        <w:spacing w:after="80"/>
      </w:pPr>
      <w:r>
        <w:rPr>
          <w:b w:val="0"/>
          <w:i w:val="0"/>
        </w:rPr>
        <w:t>4. Quyền được đảm bảo của các đại diện người lao động có tác động như thế nào đến việc phát triển các tiêu chuẩn năng lực cho hội đồng quản trị, bao gồm cả tính độc lập của giám đốc? Chẳng hạn, liệu có nên áp dụng bất kỳ yêu cầu độc lập nào, như trường hợp của Thụy Điển, chỉ đối với các giám đốc được cổ đông bầu chọn hay không? Điều này sẽ có tác động gì đến điều kiện đủ tư cách?</w:t>
      </w:r>
    </w:p>
    <w:p>
      <w:pPr>
        <w:spacing w:after="80"/>
      </w:pPr>
      <w:r>
        <w:rPr>
          <w:b w:val="0"/>
          <w:i w:val="0"/>
        </w:rPr>
        <w:t>—————</w:t>
      </w:r>
    </w:p>
    <w:p>
      <w:pPr>
        <w:spacing w:after="80"/>
      </w:pPr>
      <w:r>
        <w:rPr>
          <w:b w:val="0"/>
          <w:i w:val="0"/>
        </w:rPr>
        <w:t>Như bài viết trước đã chỉ ra, thông lệ ở Đức cho phép số lượng giám đốc đại diện người lao động ngang bằng trong ban giám sát của các công ty lớn nhất là một ngoại lệ.</w:t>
      </w:r>
    </w:p>
    <w:p>
      <w:pPr>
        <w:pStyle w:val="Heading4"/>
      </w:pPr>
      <w:r>
        <w:rPr>
          <w:rFonts w:ascii="Calibri" w:hAnsi="Calibri"/>
          <w:b/>
          <w:i w:val="0"/>
          <w:sz w:val="23"/>
        </w:rPr>
        <w:t xml:space="preserve">Aditi Bagchi, </w:t>
      </w:r>
      <w:r>
        <w:rPr>
          <w:rFonts w:ascii="Calibri" w:hAnsi="Calibri"/>
          <w:b/>
          <w:i/>
          <w:sz w:val="23"/>
        </w:rPr>
        <w:t>Varieties of Employee Ownership:</w:t>
      </w:r>
      <w:r>
        <w:br/>
      </w:r>
      <w:r>
        <w:rPr>
          <w:rFonts w:ascii="Calibri" w:hAnsi="Calibri"/>
          <w:b/>
          <w:i/>
          <w:sz w:val="23"/>
        </w:rPr>
        <w:t xml:space="preserve"> Some Unintended Consequences of Corporate Law and Labor Law</w:t>
      </w:r>
    </w:p>
    <w:p>
      <w:pPr>
        <w:spacing w:after="80"/>
      </w:pPr>
      <w:r>
        <w:rPr>
          <w:b w:val="0"/>
          <w:i w:val="0"/>
        </w:rPr>
        <w:t>10 U. Pa. J. Bus. &amp; Emp. L. 305, 327–28 (2008)</w:t>
      </w:r>
    </w:p>
    <w:p>
      <w:pPr>
        <w:spacing w:after="80"/>
      </w:pPr>
      <w:r>
        <w:rPr>
          <w:b w:val="0"/>
          <w:i w:val="0"/>
        </w:rPr>
        <w:t>Các đại diện lao động trong ban giám sát được người lao động, hoặc các đại cử tri của người lao động, bầu chọn thông qua một quy trình bầu cử rất phức tạp và được quy định chặt chẽ. Một số ghế được đảm bảo dành cho những người được các công đoàn đề cử, thay vì do người lao động tại công ty đề cử. Luật năm 1976 cũng dành ít nhất một ghế trong ban giám sát cho mỗi nhóm người lao động (lao động chân tay, lao động cổ trắng và các nhà quản lý cấp trung - cao cấp) và để các ghế lao động khác trong hội đồng quản trị tỷ lệ thuận với bảng lương. Ban giám sát bầu chọn một người làm chủ tịch bằng phiếu bầu hai phần ba. Nếu không ai đạt được hai phần ba, các cuộc bỏ phiếu riêng biệt sẽ được tổ chức bởi đại diện lao động và đại diện cổ đông, với phía lao động bầu chọn phó chủ tịch và phía cổ đông bầu chọn chủ tịch. Quy tắc này đảm bảo rằng không một ứng viên lao động nào cho vị trí chủ tịch có thể thắng mà không có sự đồng ý của cổ đông. Do đó, chức chủ tịch và lá phiếu bổ sung của chủ tịch thuộc về các cổ đông.</w:t>
      </w:r>
    </w:p>
    <w:p>
      <w:pPr>
        <w:spacing w:after="80"/>
      </w:pPr>
      <w:r>
        <w:rPr>
          <w:b w:val="0"/>
          <w:i w:val="0"/>
        </w:rPr>
        <w:t>Ủy ban Biedenkopf nhận thấy rằng các giám đốc đại diện người lao động Đức nhấn mạnh các khía cạnh xã hội trong các quyết định của hội đồng quản trị nhưng ít có ảnh hưởng đến các quyết định đầu tư, cổ tức và thâu tóm. Tuy nhiên, vai trò thông tin của đồng quyết định là đáng kể trong việc cho phép các công đoàn mở rộng phạm vi ảnh hưởng của mình. Lợi thế thông tin này của đồng quyết định bị làm suy yếu bởi các quy trình không chính thức mà các công ty sử dụng, có lẽ để tránh những hệ quả mà luật dự định mang lại. Các quyết định có thể được thương lượng trước các cuộc họp hội đồng quản trị (không thường xuyên) và có những dấu hiệu cho thấy dòng thông tin đến ban giám sát bị hạn chế nhằm đề phòng việc phía lao động tiếp cận thông tin. Nhưng tính không chính thức của quy trình diễn ra ở cả phía lao động lẫn phía cổ đông, cũng như giữa các bên với nhau. Một trong những hệ quả là hạn chế trách nhiệm giải trình, điều này tăng cường khả năng của các đại diện người lao động trong việc thương lượng các thỏa hiệp.</w:t>
      </w:r>
    </w:p>
    <w:p>
      <w:pPr>
        <w:spacing w:after="80"/>
      </w:pPr>
      <w:r>
        <w:rPr>
          <w:b w:val="0"/>
          <w:i w:val="0"/>
        </w:rPr>
        <w:t>Các công đoàn có thể chi phối đồng quyết định. Mặc dù người lao động có thể không muốn giao phó hoàn toàn quyền đồng quyết định của mình cho các công đoàn, theo nghĩa là họ sẽ bỏ phiếu cho các ứng viên không thuộc công đoàn trong các cuộc bầu cử sơ bộ vào ban giám sát, nhưng trong cuộc bầu cử thực tế, họ lại bỏ phiếu áp đảo cho các ứng viên công đoàn. Do đó, tác dụng chính của các ứng cử viên không thuộc công đoàn trong các cuộc bầu cử sơ bộ là hướng công đoàn đi theo "hướng đúng đắn" hơn là gây nguy hiểm cho sự kiểm soát của công đoàn. Quy trình nhiều bước để bầu chọn các thành viên hội đồng quản trị có lợi cho các công đoàn, bởi vì "việc lựa chọn, đề cử và bầu chọn các đại cử tri . . . dễ dàng được bộ máy công đoàn kiểm soát hơn so với các cuộc bầu cử trực tiếp. . . ."</w:t>
      </w:r>
    </w:p>
    <w:p>
      <w:pPr>
        <w:pStyle w:val="Heading5"/>
      </w:pPr>
      <w:r>
        <w:rPr>
          <w:rFonts w:ascii="Calibri" w:hAnsi="Calibri"/>
          <w:b/>
          <w:i/>
          <w:sz w:val="22"/>
        </w:rPr>
        <w:t>Bình luận và Câu hỏi</w:t>
      </w:r>
    </w:p>
    <w:p>
      <w:pPr>
        <w:spacing w:after="80"/>
      </w:pPr>
      <w:r>
        <w:rPr>
          <w:b w:val="0"/>
          <w:i w:val="0"/>
        </w:rPr>
        <w:t>1. Cấu trúc này—cả chính thức lẫn phi chính thức—gợi ý điều gì về vai trò của người lao động trong thực tiễn quản trị doanh nghiệp? Một số hàm ý thực tiễn là gì?</w:t>
      </w:r>
    </w:p>
    <w:p>
      <w:pPr>
        <w:spacing w:after="80"/>
      </w:pPr>
      <w:r>
        <w:rPr>
          <w:b w:val="0"/>
          <w:i w:val="0"/>
        </w:rPr>
        <w:t>2. Trong khi các công ty lớn có thể có sự phân chia bình đẳng trong hội đồng quản trị, luật Đức không yêu cầu phân chia bình đẳng trong các ủy ban của hội đồng quản trị. Không hiếm khi thấy thành viên ủy ban bao gồm đa số là giám đốc không phải người lao động. Ý nghĩa của thực tiễn này là gì?</w:t>
      </w:r>
    </w:p>
    <w:p>
      <w:pPr>
        <w:spacing w:after="80"/>
      </w:pPr>
      <w:r>
        <w:rPr>
          <w:b w:val="0"/>
          <w:i w:val="0"/>
        </w:rPr>
        <w:t xml:space="preserve">3. Ngoài người lao động, một số công ty Đức có các giám đốc do chính phủ chỉ định. Volkswagen là một ví dụ. </w:t>
      </w:r>
      <w:r>
        <w:rPr>
          <w:b w:val="0"/>
          <w:i/>
        </w:rPr>
        <w:t>Xem Trách nhiệm pháp lý của Giám đốc và Quan chức Công ty Phần 1: Các căn cứ thực chất để quy trách nhiệm (Báo cáo gửi Cơ quan Chứng khoán Nga)</w:t>
      </w:r>
      <w:r>
        <w:rPr>
          <w:b w:val="0"/>
          <w:i w:val="0"/>
        </w:rPr>
        <w:t xml:space="preserve"> , 2007 Colum. Bus. L. Rev. 628 (2007) (thảo luận về VW-Gesetz (Đạo luật Volkswagen) quy định Lower Saxony có đại diện trong ban giám sát của Volkswagen chừng nào họ còn là cổ đông). Lower Saxony giữ lại hai ghế của mình sau khi Volkswagen và Porsche sáp nhập. Điều này có thể có tác động gì đến quyết định của ban giám sát?</w:t>
      </w:r>
    </w:p>
    <w:p>
      <w:pPr>
        <w:spacing w:after="80"/>
      </w:pPr>
      <w:r>
        <w:rPr>
          <w:b w:val="0"/>
          <w:i w:val="0"/>
        </w:rPr>
        <w:t xml:space="preserve">4. Trung Quốc cũng quy định người lao động có mặt trong ban giám sát, mặc dù thường ít hơn mức đa số. </w:t>
      </w:r>
      <w:r>
        <w:rPr>
          <w:b w:val="0"/>
          <w:i/>
        </w:rPr>
        <w:t>Xem</w:t>
      </w:r>
      <w:r>
        <w:rPr>
          <w:b w:val="0"/>
          <w:i w:val="0"/>
        </w:rPr>
        <w:t xml:space="preserve"> Chao Xi, </w:t>
      </w:r>
      <w:r>
        <w:rPr>
          <w:b w:val="0"/>
          <w:i/>
        </w:rPr>
        <w:t>In Search of an Effective Monitoring Board Model: Board Reforms and the Political Economy of Corporate Law in China</w:t>
      </w:r>
      <w:r>
        <w:rPr>
          <w:b w:val="0"/>
          <w:i w:val="0"/>
        </w:rPr>
        <w:t xml:space="preserve"> , 22 Conn. J. Int'l L. 1 (2006). Họ chưa đặc biệt hiệu quả. </w:t>
      </w:r>
      <w:r>
        <w:rPr>
          <w:b w:val="0"/>
          <w:i/>
        </w:rPr>
        <w:t>Id.</w:t>
      </w:r>
      <w:r>
        <w:rPr>
          <w:b w:val="0"/>
          <w:i w:val="0"/>
        </w:rPr>
        <w:t xml:space="preserve"> (mô tả đại diện công đoàn là “một đối tác cấp dưới yếu ớt so với ban lãnh đạo” và là “bất lực và thụ động.”).</w:t>
      </w:r>
    </w:p>
    <w:p>
      <w:pPr>
        <w:pStyle w:val="Heading3"/>
      </w:pPr>
      <w:r>
        <w:rPr>
          <w:rFonts w:ascii="Calibri" w:hAnsi="Calibri"/>
          <w:b/>
          <w:i w:val="0"/>
          <w:sz w:val="26"/>
        </w:rPr>
        <w:t>C. Nghiên cứu tình huống: Ý</w:t>
      </w:r>
    </w:p>
    <w:p>
      <w:pPr>
        <w:spacing w:after="80"/>
      </w:pPr>
      <w:r>
        <w:rPr>
          <w:b w:val="0"/>
          <w:i w:val="0"/>
        </w:rPr>
        <w:t>Ý là một nghiên cứu tình huống hữu ích về sự phát triển của quản trị doanh nghiệp ở châu Âu lục địa. Giống như các quốc gia lục địa khác, Ý là một quốc gia theo hệ thống luật dân sự. Cấu trúc sở hữu của các công ty đại chúng cũng bị chi phối bởi các cổ đông kiểm soát, một đặc điểm phổ biến khác bên ngoài Hoa Kỳ. Đồng thời, quốc gia này đã trải qua một quá trình cải cách quản trị gần như liên tục nhờ nhiều yếu tố thúc đẩy.</w:t>
      </w:r>
    </w:p>
    <w:p>
      <w:pPr>
        <w:spacing w:after="80"/>
      </w:pPr>
      <w:r>
        <w:rPr>
          <w:b w:val="0"/>
          <w:i w:val="0"/>
        </w:rPr>
        <w:t>Các cải cách đã diễn ra dưới nhiều hình thức khác nhau. Chúng tìm cách củng cố các cấu trúc quản trị truyền thống của Ý. Chúng ngày càng chuyển sang các giám đốc độc lập như một nguồn giám sát. Có lẽ thú vị nhất là Ý đã tìm cách đảm bảo sự hiện diện của các giám đốc độc lập bằng cách cho phép các cổ đông thiểu số đề cử và bầu chọn ứng viên của riêng họ. Do đó, khác với Hoa Kỳ, các giám đốc “độc lập” không được hội đồng quản trị sàng lọc. Cuối cùng, Ý cũng đã thông qua luật cho phép các công ty lựa chọn cấu trúc quản trị của mình, bao gồm cấu trúc hội đồng đơn và hội đồng kép.</w:t>
      </w:r>
    </w:p>
    <w:p>
      <w:pPr>
        <w:spacing w:after="80"/>
      </w:pPr>
      <w:r>
        <w:rPr>
          <w:b w:val="0"/>
          <w:i w:val="0"/>
        </w:rPr>
        <w:t>Không có điều nào trong số này diễn ra theo đường thẳng. Các cải cách có nhiều yếu tố thúc đẩy khác nhau, bao gồm cả bê bối. Hơn nữa, trong khi quản trị doanh nghiệp ở các công ty Ý đã được củng cố, những nỗ lực này vận hành trong một môi trường pháp lý khiến việc thực thi đôi khi gặp vấn đề. Do đó, cải cách quản trị ở Ý không chỉ phải giải quyết mối quan hệ giữa chủ sở hữu và người quản lý mà còn cả bối cảnh văn hóa rộng lớn hơn.</w:t>
      </w:r>
    </w:p>
    <w:p>
      <w:pPr>
        <w:pStyle w:val="Heading4"/>
      </w:pPr>
      <w:r>
        <w:rPr>
          <w:rFonts w:ascii="Calibri" w:hAnsi="Calibri"/>
          <w:b/>
          <w:i w:val="0"/>
          <w:sz w:val="23"/>
        </w:rPr>
        <w:t xml:space="preserve">Carlo Drago, Francesco Millo, Roberto Ricciuti, Paolo Santella, </w:t>
      </w:r>
      <w:r>
        <w:rPr>
          <w:rFonts w:ascii="Calibri" w:hAnsi="Calibri"/>
          <w:b/>
          <w:i/>
          <w:sz w:val="23"/>
        </w:rPr>
        <w:t>Corporate Governance Reforms, Interlocking Directorship</w:t>
      </w:r>
      <w:r>
        <w:br/>
      </w:r>
      <w:r>
        <w:rPr>
          <w:rFonts w:ascii="Calibri" w:hAnsi="Calibri"/>
          <w:b/>
          <w:i/>
          <w:sz w:val="23"/>
        </w:rPr>
        <w:t xml:space="preserve"> and Company Performance in Italy</w:t>
      </w:r>
    </w:p>
    <w:p>
      <w:pPr>
        <w:spacing w:after="80"/>
      </w:pPr>
      <w:r>
        <w:rPr>
          <w:b w:val="0"/>
          <w:i w:val="0"/>
        </w:rPr>
        <w:t>41 Int'l Rev. L. &amp; Econ. 38 (2015)</w:t>
      </w:r>
    </w:p>
    <w:p>
      <w:pPr>
        <w:spacing w:after="80"/>
      </w:pPr>
      <w:r>
        <w:rPr>
          <w:b w:val="0"/>
          <w:i w:val="0"/>
        </w:rPr>
        <w:t>Ở Ý, quyền kiểm soát doanh nghiệp được thực thi bởi các “gia đình công nghiệp” thông qua các liên minh dựa trên sở hữu chéo, tạo ra sự ổn định trong kiểm soát, trong một bối cảnh mà các tập đoàn hình kim tự tháp được khai thác như một cách để tách quyền sở hữu khỏi quyền kiểm soát, sử dụng vốn do bên thứ ba cung cấp để tài trợ cho tăng trưởng. Điều này cho phép các gia đình kiểm soát không chỉ giữ quyền kiểm soát tập đoàn mà còn kiểm soát phần lớn cổ phần trong tất cả các công ty thuộc kim tự tháp với quyền sở hữu trực tiếp tập trung ở cấp cao nhất của chuỗi kiểm soát, giảm thiểu lượng vốn đầu tư để kiểm soát toàn bộ tập đoàn. Các công ty niêm yết của Ý cũng phát hành cổ phiếu có quyền biểu quyết hạn chế hoặc không có quyền biểu quyết để tăng vốn mà không làm pha loãng quyền kiểm soát của công ty mẹ. . . . Hơn nữa, khi cần thêm vốn, quyền kiểm soát được duy trì bằng cách thành lập liên minh với các tập đoàn khác. . . . Đây là một đặc điểm lâu đời của hệ thống doanh nghiệp Ý . . .</w:t>
      </w:r>
    </w:p>
    <w:p>
      <w:pPr>
        <w:spacing w:after="80"/>
      </w:pPr>
      <w:r>
        <w:rPr>
          <w:b w:val="0"/>
          <w:i w:val="0"/>
        </w:rPr>
        <w:t>—————</w:t>
      </w:r>
    </w:p>
    <w:p>
      <w:pPr>
        <w:spacing w:after="80"/>
      </w:pPr>
      <w:r>
        <w:rPr>
          <w:b w:val="0"/>
          <w:i w:val="0"/>
        </w:rPr>
        <w:t>Ngoài các gia đình kiểm soát, một “truyền thống” khác của các công ty Ý là dựa vào một hội đồng quản trị duy nhất và một “ban kiểm toán theo luật định” (“collegio sindaci”). Các kiểm toán viên theo luật định được cổ đông bầu chọn và có một số thẩm quyền giám sát hoạt động của hội đồng quản trị. Tuy nhiên, trong chừng mực các công ty Ý bị chi phối bởi các cổ đông kiểm soát, như bài viết trước chỉ ra, họ có thể quyết định thành viên của hội đồng quản trị và ban kiểm toán theo luật định. Nỗ lực nghiêm túc đầu tiên trong cải cách quản trị trùng với nỗ lực của chính phủ nhằm giảm vai trò của mình trong nền kinh tế bằng cách tư nhân hóa một phân khúc đáng kể của ngành công nghiệp.</w:t>
      </w:r>
    </w:p>
    <w:p>
      <w:pPr>
        <w:spacing w:after="80"/>
      </w:pPr>
      <w:r>
        <w:rPr>
          <w:b w:val="0"/>
          <w:i w:val="0"/>
        </w:rPr>
        <w:t>Các cải cách được thực hiện nhằm cải thiện quyền của cổ đông thiểu số. Mặc dù mang nhiều hình thức khác nhau, chúng đặc biệt nhấn mạnh những thay đổi đối với ban kiểm toán theo luật định.</w:t>
      </w:r>
    </w:p>
    <w:p>
      <w:pPr>
        <w:pStyle w:val="Heading4"/>
      </w:pPr>
      <w:r>
        <w:rPr>
          <w:rFonts w:ascii="Calibri" w:hAnsi="Calibri"/>
          <w:b/>
          <w:i w:val="0"/>
          <w:sz w:val="23"/>
        </w:rPr>
        <w:t xml:space="preserve">Lorenzo Segato, </w:t>
      </w:r>
      <w:r>
        <w:rPr>
          <w:rFonts w:ascii="Calibri" w:hAnsi="Calibri"/>
          <w:b/>
          <w:i/>
          <w:sz w:val="23"/>
        </w:rPr>
        <w:t>A Comparative Analysis of Shareholder</w:t>
      </w:r>
      <w:r>
        <w:br/>
      </w:r>
      <w:r>
        <w:rPr>
          <w:rFonts w:ascii="Calibri" w:hAnsi="Calibri"/>
          <w:b/>
          <w:i/>
          <w:sz w:val="23"/>
        </w:rPr>
        <w:t xml:space="preserve"> Protections in Italy and the United States:</w:t>
      </w:r>
      <w:r>
        <w:rPr>
          <w:rFonts w:ascii="Calibri" w:hAnsi="Calibri"/>
          <w:b/>
          <w:i w:val="0"/>
          <w:sz w:val="23"/>
        </w:rPr>
        <w:t xml:space="preserve"> Parmalat </w:t>
      </w:r>
      <w:r>
        <w:rPr>
          <w:rFonts w:ascii="Calibri" w:hAnsi="Calibri"/>
          <w:b/>
          <w:i/>
          <w:sz w:val="23"/>
        </w:rPr>
        <w:t>as a Case Study</w:t>
      </w:r>
    </w:p>
    <w:p>
      <w:pPr>
        <w:spacing w:after="80"/>
      </w:pPr>
      <w:r>
        <w:rPr>
          <w:b w:val="0"/>
          <w:i w:val="0"/>
        </w:rPr>
        <w:t>26 Nw. J. Int'l L. &amp; Bus 373, 380–81, 400–01 (2006)</w:t>
      </w:r>
    </w:p>
    <w:p>
      <w:pPr>
        <w:spacing w:after="80"/>
      </w:pPr>
      <w:r>
        <w:rPr>
          <w:b w:val="0"/>
          <w:i w:val="0"/>
        </w:rPr>
        <w:t>Hội đồng kiểm toán viên luật định có nhiệm vụ giám sát công ty từ bên trong. Điều 148 của Nghị định Lập pháp số 58/98 (còn gọi là "Testo Unico della Intermediazione Finanziaria" hay "T.U.I.F.") quy định rằng điều lệ công ty phải ghi rõ số lượng kiểm toán viên (không ít hơn ba) và đảm bảo rằng một (hoặc hai, tùy thuộc vào việc hội đồng có nhiều hơn ba kiểm toán viên hay không) trong số các kiểm toán viên được bổ nhiệm bởi các cổ đông thiểu số. Bằng cách này, hội đồng có thể thể hiện ý chí của tất cả các cổ đông. . . . Số lượng thành viên trong hội đồng kiểm toán viên luật định ảnh hưởng trực tiếp đến mức độ bảo vệ cổ đông thiểu số. Thực tế, một số quyền hạn (ví dụ, quyền triệu tập đại hội cổ đông do quyết định của giám đốc) chỉ có thể được thực thi bởi ít nhất hai thành viên của hội đồng cùng nhau. Trong một hội đồng gồm năm thành viên, cổ đông thiểu số có thể bầu hai kiểm toán viên luật định và do đó có khả năng triệu tập đại hội cổ đông.</w:t>
      </w:r>
    </w:p>
    <w:p>
      <w:pPr>
        <w:spacing w:after="80"/>
      </w:pPr>
      <w:r>
        <w:rPr>
          <w:b w:val="0"/>
          <w:i w:val="0"/>
        </w:rPr>
        <w:t>* * *</w:t>
      </w:r>
    </w:p>
    <w:p>
      <w:pPr>
        <w:spacing w:after="80"/>
      </w:pPr>
      <w:r>
        <w:rPr>
          <w:b w:val="0"/>
          <w:i w:val="0"/>
        </w:rPr>
        <w:t xml:space="preserve">Hội đồng kiểm toán viên, trong mô hình truyền thống của </w:t>
      </w:r>
      <w:r>
        <w:rPr>
          <w:b w:val="0"/>
          <w:i/>
        </w:rPr>
        <w:t>società per azioni</w:t>
      </w:r>
      <w:r>
        <w:rPr>
          <w:b w:val="0"/>
          <w:i w:val="0"/>
        </w:rPr>
        <w:t xml:space="preserve"> Ý, bao gồm ba hoặc năm thành viên và được bầu bởi đại hội cổ đông. Hội đồng kiểm toán viên có nhiệm vụ kiểm soát tính hợp pháp và hiệu quả của công ty; cụ thể hơn, giám sát việc tuân thủ pháp luật và điều lệ, và tuân thủ các nguyên tắc quản lý đúng đắn. Đặc biệt, hội đồng kiểm toán viên có quyền giám sát tính đầy đủ của tổ chức và cơ cấu hành chính, kế toán mà công ty áp dụng cũng như hoạt động của chúng (Điều 2403 của Bộ luật Dân sự).</w:t>
      </w:r>
    </w:p>
    <w:p>
      <w:pPr>
        <w:spacing w:after="80"/>
      </w:pPr>
      <w:r>
        <w:rPr>
          <w:b w:val="0"/>
          <w:i w:val="0"/>
        </w:rPr>
        <w:t>Điều 2407 của Bộ luật Dân sự quy định rằng các kiểm toán viên phải hoàn thành nhiệm vụ của mình với tính chuyên nghiệp và sự cẩn trọng mà bản chất của chức vụ đòi hỏi; họ chịu trách nhiệm về tính xác thực của các tuyên bố của mình, và phải giữ bí mật các sự kiện và tài liệu mà họ biết được nhờ chức vụ của mình. Kiểm toán viên chịu trách nhiệm cả với công ty và các chủ nợ của công ty về việc hoàn thành đúng đắn nhiệm vụ của họ. Kiểm toán viên cũng chịu trách nhiệm liên đới với các giám đốc về các hành vi và thiếu sót của giám đốc, khi thiệt hại sẽ không xảy ra nếu họ đã thực hiện giám sát phù hợp với nhiệm vụ của chức vụ mình.</w:t>
      </w:r>
    </w:p>
    <w:p>
      <w:pPr>
        <w:spacing w:after="80"/>
      </w:pPr>
      <w:r>
        <w:rPr>
          <w:b w:val="0"/>
          <w:i w:val="0"/>
        </w:rPr>
        <w:t>Kiểm toán viên của các công ty niêm yết có thêm nhiệm vụ và quyền hạn. Điều 149 của T.U.I.F. yêu cầu họ thông báo ngay cho CONSOB về bất kỳ bất thường nào được phát hiện và cũng phải gửi cho CONSOB biên bản các cuộc họp hội đồng, các đánh giá được thực hiện, và bất kỳ tài liệu nào khác được coi là hữu ích. Kiểm toán viên, ngay cả với tư cách cá nhân, có thể hỏi các giám đốc về tình trạng quản lý của công ty hoặc về các vấn đề cụ thể khác. Họ cũng có thể triệu tập cuộc họp của cả cổ đông và giám đốc. Cuối cùng, kiểm toán viên cũng có thể báo cáo sự việc lên tòa án khi họ phát hiện những bất thường nghiêm trọng trong việc quản lý của các giám đốc vi phạm nhiệm vụ của họ (Điều 151 của T.U.I.F.).</w:t>
      </w:r>
    </w:p>
    <w:p>
      <w:pPr>
        <w:pStyle w:val="Heading5"/>
      </w:pPr>
      <w:r>
        <w:rPr>
          <w:rFonts w:ascii="Calibri" w:hAnsi="Calibri"/>
          <w:b/>
          <w:i/>
          <w:sz w:val="22"/>
        </w:rPr>
        <w:t>Bình luận và Câu hỏi</w:t>
      </w:r>
    </w:p>
    <w:p>
      <w:pPr>
        <w:spacing w:after="80"/>
      </w:pPr>
      <w:r>
        <w:rPr>
          <w:b w:val="0"/>
          <w:i w:val="0"/>
        </w:rPr>
        <w:t>1. Các cải cách năm 1998, được gọi là Luật Draghi, bắt nguồn từ việc tư nhân hóa của chính phủ. Việc tư nhân hóa có thể đóng vai trò như một chất xúc tác cho cải cách quản trị như thế nào?</w:t>
      </w:r>
    </w:p>
    <w:p>
      <w:pPr>
        <w:spacing w:after="80"/>
      </w:pPr>
      <w:r>
        <w:rPr>
          <w:b w:val="0"/>
          <w:i w:val="0"/>
        </w:rPr>
        <w:t xml:space="preserve">2. Các cải cách tìm cách, trong số những điều khác, tăng cường vai trò của các kiểm toán viên luật định. Mặc dù có tên như vậy, hội đồng kiểm toán viên luật định không thực hiện kiểm toán, ít nhất là đối với các công ty đại chúng. Nhiệm vụ đó thuộc về một kiểm toán viên bên ngoài. Nói một cách rộng rãi, hội đồng kiểm toán viên luật định được giao "giám sát việc thực hiện nhiệm vụ của các giám đốc . . ." Andrea Melis, </w:t>
      </w:r>
      <w:r>
        <w:rPr>
          <w:b w:val="0"/>
          <w:i/>
        </w:rPr>
        <w:t>On the Role of the Board of Statutory Auditors in Italian Listed Companies</w:t>
      </w:r>
      <w:r>
        <w:rPr>
          <w:b w:val="0"/>
          <w:i w:val="0"/>
        </w:rPr>
        <w:t xml:space="preserve"> , 12 Corp. Governance 74, 77 (2004). Khả năng giám sát phụ thuộc ít nhất một phần vào khả năng biết được các mối lo ngại hoặc hành vi sai trái. Các thành viên được phép tham dự các cuộc họp hội đồng và được quyền nhận báo cáo thường xuyên từ hội đồng. TUIF, Điều 150. Điều này có đủ để đánh giá hành vi của ban quản lý không?</w:t>
      </w:r>
    </w:p>
    <w:p>
      <w:pPr>
        <w:spacing w:after="80"/>
      </w:pPr>
      <w:r>
        <w:rPr>
          <w:b w:val="0"/>
          <w:i w:val="0"/>
        </w:rPr>
        <w:t xml:space="preserve">3. Điều gì xảy ra khi hội đồng kiểm toán viên luật định biết được bất kỳ loại bất thường hoặc hoạt động không đúng đắn nào của ban quản lý? Một lựa chọn là báo cáo vấn đề cho CONSOB, Ủy ban Chứng khoán và Giao dịch Ý. </w:t>
      </w:r>
      <w:r>
        <w:rPr>
          <w:b w:val="0"/>
          <w:i/>
        </w:rPr>
        <w:t>Xem</w:t>
      </w:r>
      <w:r>
        <w:rPr>
          <w:b w:val="0"/>
          <w:i w:val="0"/>
        </w:rPr>
        <w:t xml:space="preserve"> TUIF, Điều 149. Giả sử việc chuyển hồ sơ yêu cầu đa số phiếu của hội đồng kiểm toán viên luật định, một số lý do tại sao điều này có thể không xảy ra ngay cả khi phát hiện những điều không đúng đắn là gì?</w:t>
      </w:r>
    </w:p>
    <w:p>
      <w:pPr>
        <w:spacing w:after="80"/>
      </w:pPr>
      <w:r>
        <w:rPr>
          <w:b w:val="0"/>
          <w:i w:val="0"/>
        </w:rPr>
        <w:t>4. Kiểm toán viên luật định tồn tại ở các quốc gia khác. Chúng ta đã thấy điều gì đó tương tự ở Nhật Bản. Tương tự, các công ty Thụy Sĩ dựa vào cơ cấu này. Tuy nhiên, nhiệm vụ của cơ quan này có thể khác nhau. Ở Thụy Sĩ, kiểm toán viên luật định chịu trách nhiệm kiểm toán báo cáo tài chính của công ty. Vai trò chính của kiểm toán viên luật định ở Nhật Bản là đảm bảo tuân thủ pháp luật. Hiệu quả của cơ quan này có thể phụ thuộc vào hệ thống bầu cử.</w:t>
      </w:r>
    </w:p>
    <w:p>
      <w:pPr>
        <w:spacing w:after="80"/>
      </w:pPr>
      <w:r>
        <w:rPr>
          <w:b w:val="0"/>
          <w:i w:val="0"/>
        </w:rPr>
        <w:t xml:space="preserve">5. Các cải cách được thông qua năm 1998 vượt xa những thay đổi đối với hội đồng kiểm toán viên luật định. Ngoài ra, các vụ kiện phái sinh lần đầu tiên được cho phép, mặc dù chúng chỉ có thể được đệ trình bởi các cổ đông sở hữu 5% hoặc nhiều hơn số cổ phần. Tỷ lệ cổ phần cần thiết để triệu tập một cuộc họp đặc biệt đã được giảm (từ 20% xuống còn 5% vẫn đáng kể) và quy trình ủy quyền đã được tự do hóa. Để thảo luận về những cải cách này, xem Bianchi L. Enriques, </w:t>
      </w:r>
      <w:r>
        <w:rPr>
          <w:b w:val="0"/>
          <w:i/>
        </w:rPr>
        <w:t>Corporate Governance in Italy After the 1998 Reform: What Role for Institutional Investors?</w:t>
      </w:r>
      <w:r>
        <w:rPr>
          <w:b w:val="0"/>
          <w:i w:val="0"/>
        </w:rPr>
        <w:t xml:space="preserve"> , Studie Ricerche (Jan. 2001). Bạn có nghĩ rằng những cải cách này đã gia tăng đáng kể quyền của cổ đông thiểu số không?</w:t>
      </w:r>
    </w:p>
    <w:p>
      <w:pPr>
        <w:spacing w:after="80"/>
      </w:pPr>
      <w:r>
        <w:rPr>
          <w:b w:val="0"/>
          <w:i w:val="0"/>
        </w:rPr>
        <w:t>6. Ý vào năm 1998 cũng đã thông qua Bộ quy tắc Preda, một bộ quy tắc quản trị công ty tự nguyện được soạn thảo dưới sự bảo trợ của Stefano Preda, chủ tịch của Borsa Italiana. Như với các bộ quy tắc quản trị khác, việc tuân thủ là tự nguyện. Được xây dựng xung quanh nguyên tắc tuân thủ hoặc giải thích, các công ty niêm yết tuy nhiên phải báo cáo hàng năm về sự phù hợp của họ với Bộ quy tắc. Bộ quy tắc Preda kể từ đó đã trải qua một số lần sửa đổi.</w:t>
      </w:r>
    </w:p>
    <w:p>
      <w:pPr>
        <w:spacing w:after="80"/>
      </w:pPr>
      <w:r>
        <w:rPr>
          <w:b w:val="0"/>
          <w:i w:val="0"/>
        </w:rPr>
        <w:t>—————</w:t>
      </w:r>
    </w:p>
    <w:p>
      <w:pPr>
        <w:spacing w:after="80"/>
      </w:pPr>
      <w:r>
        <w:rPr>
          <w:b w:val="0"/>
          <w:i w:val="0"/>
        </w:rPr>
        <w:t>Một loạt cải cách khác được thúc đẩy bởi một tập hợp các cân nhắc rất khác. Khi kinh doanh trở nên toàn cầu hơn và các công ty Ý tương tác và sáp nhập với doanh nghiệp nước ngoài, áp lực xuất hiện đòi hỏi một cơ cấu quản trị linh hoạt hơn. Chính phủ đã giải quyết những lo ngại này vào năm 2004.</w:t>
      </w:r>
    </w:p>
    <w:p>
      <w:pPr>
        <w:pStyle w:val="Heading4"/>
      </w:pPr>
      <w:r>
        <w:rPr>
          <w:rFonts w:ascii="Calibri" w:hAnsi="Calibri"/>
          <w:b/>
          <w:i w:val="0"/>
          <w:sz w:val="23"/>
        </w:rPr>
        <w:t xml:space="preserve">Marco Ventoruzzo, </w:t>
      </w:r>
      <w:r>
        <w:rPr>
          <w:rFonts w:ascii="Calibri" w:hAnsi="Calibri"/>
          <w:b/>
          <w:i/>
          <w:sz w:val="23"/>
        </w:rPr>
        <w:t>Experiments in Comparative Corporate Law:</w:t>
      </w:r>
      <w:r>
        <w:br/>
      </w:r>
      <w:r>
        <w:rPr>
          <w:rFonts w:ascii="Calibri" w:hAnsi="Calibri"/>
          <w:b/>
          <w:i/>
          <w:sz w:val="23"/>
        </w:rPr>
        <w:t xml:space="preserve"> The Recent Italian Reform and the Dubious Virtues of a Market for</w:t>
      </w:r>
      <w:r>
        <w:br/>
      </w:r>
      <w:r>
        <w:rPr>
          <w:rFonts w:ascii="Calibri" w:hAnsi="Calibri"/>
          <w:b/>
          <w:i/>
          <w:sz w:val="23"/>
        </w:rPr>
        <w:t xml:space="preserve"> Rules in the Absence of Effective Regulatory Competition</w:t>
      </w:r>
    </w:p>
    <w:p>
      <w:pPr>
        <w:spacing w:after="80"/>
      </w:pPr>
      <w:r>
        <w:rPr>
          <w:b w:val="0"/>
          <w:i w:val="0"/>
        </w:rPr>
        <w:t>40 Tex. Int'l L.J. 113, 146–148 (2004)</w:t>
      </w:r>
    </w:p>
    <w:p>
      <w:pPr>
        <w:spacing w:after="80"/>
      </w:pPr>
      <w:r>
        <w:rPr>
          <w:b w:val="0"/>
          <w:i w:val="0"/>
        </w:rPr>
        <w:t>Cuộc cải cách [có hiệu lực từ ngày 1 tháng 1 năm 2004] đã giới thiệu, ngoài mô hình quản trị doanh nghiệp truyền thống này, những biến thể mới cho phép ít nhất ba, và có khả năng là bốn, mô hình quản trị doanh nghiệp khác nhau. Mô hình khả thi đầu tiên là mô hình cổ điển, truyền thống [dựa trên ban kiểm soát viên theo luật định], tương tự như những mô hình được áp dụng ở Pháp, Tây Ban Nha và hầu hết các nước Nam và Trung Mỹ. Ngoài ra, hiện nay cũng có thể (như sẽ được thảo luận dưới đây) áp dụng mô hình "nhị nguyên" (dualistic), lấy cảm hứng từ hệ thống quản trị doanh nghiệp của Đức, hoặc hệ thống "nhất nguyên" (monistic), lấy cảm hứng từ các hệ thống quản trị doanh nghiệp Anh-Mỹ.</w:t>
      </w:r>
    </w:p>
    <w:p>
      <w:pPr>
        <w:spacing w:after="80"/>
      </w:pPr>
      <w:r>
        <w:rPr>
          <w:b w:val="0"/>
          <w:i w:val="0"/>
        </w:rPr>
        <w:t>Ngay cả trong mô hình truyền thống, cũng có một số sửa đổi. Như đã nêu ở trên, trước Cuộc cải cách, ban kiểm soát viên trong các công ty không niêm yết kiểm soát hoạt động kế toán và bảng cân đối kế toán của công ty, trong khi ở các công ty niêm yết, ban kiểm soát viên nội bộ chỉ kiểm soát hệ thống thông tin của công ty, còn kiểm toán viên bên ngoài kiểm soát hoạt động kế toán và bảng cân đối kế toán. Theo Cuộc cải cách, hiện nay cả công ty niêm yết và không niêm yết đều có thể giao cho kiểm toán viên bên ngoài quyền kiểm soát hoạt động kế toán và bảng cân đối kế toán, để lại cho ban kiểm soát viên nội bộ nhiệm vụ kiểm soát hệ thống thông tin của công ty.</w:t>
      </w:r>
    </w:p>
    <w:p>
      <w:pPr>
        <w:spacing w:after="80"/>
      </w:pPr>
      <w:r>
        <w:rPr>
          <w:b w:val="0"/>
          <w:i w:val="0"/>
        </w:rPr>
        <w:t>Ngoài mô hình truyền thống, một công ty có thể áp dụng hệ thống "nhị nguyên", lấy cảm hứng từ luật doanh nghiệp Đức. Theo mô hình này, công ty không chỉ định hai cơ quan khác nhau là hội đồng quản trị và ban kiểm soát viên. Thay vào đó, theo mô hình này, đại hội cổ đông chỉ chỉ định một ban giám sát, mà theo luật Đức gọi là Aufsichtsrat. Ban giám sát này có nhiệm vụ chỉ định hội đồng giám đốc điều hành, mà theo luật Đức gọi là Vorstand. Trên thực tế, có hai hội đồng quản trị: ban giám sát và hội đồng giám đốc điều hành. Đại hội cổ đông không trực tiếp chỉ định và không thể bãi miễn hội đồng giám đốc điều hành, mà quyền đó thuộc về ban giám sát, do đại hội cổ đông chỉ định.</w:t>
      </w:r>
    </w:p>
    <w:p>
      <w:pPr>
        <w:spacing w:after="80"/>
      </w:pPr>
      <w:r>
        <w:rPr>
          <w:b w:val="0"/>
          <w:i w:val="0"/>
        </w:rPr>
        <w:t>Một đặc điểm quan trọng của mô hình này là ban giám sát có trách nhiệm đối với một số chức năng kiểm soát mà trong mô hình truyền thống được giao cho ban kiểm soát viên, và cả một số chức năng theo truyền thống được dành cho đại hội cổ đông trong mô hình truyền thống. Một ví dụ là bảng cân đối kế toán được ban giám sát phê duyệt. Đây là sự thay đổi so với hệ thống truyền thống, trong đó bảng cân đối kế toán do hội đồng quản trị lập ra nhưng được đại hội cổ đông phê duyệt.</w:t>
      </w:r>
    </w:p>
    <w:p>
      <w:pPr>
        <w:spacing w:after="80"/>
      </w:pPr>
      <w:r>
        <w:rPr>
          <w:b w:val="0"/>
          <w:i w:val="0"/>
        </w:rPr>
        <w:t>Trong mô hình thứ ba, hệ thống "nhất nguyên" dựa trên các hệ thống Anh-Mỹ, đại hội cổ đông chỉ chỉ định một hội đồng quản trị, nhưng một phần ba số thành viên hội đồng phải đáp ứng các yêu cầu về tính độc lập tương tự như những yêu cầu được quy định cho các thành viên ban kiểm soát viên trong mô hình truyền thống và được quy định bởi Điều 2399 của Bộ luật Dân sự. Sau đó, hội đồng quản trị chỉ định, trong nội bộ hội đồng, một ủy ban kiểm toán trong số các giám đốc đáp ứng các yêu cầu về tính độc lập nêu trên. Không có một cơ quan riêng biệt nào kiểm soát hoạt động của các giám đốc điều hành, mà thay vào đó là một cơ quan nội bộ gồm các giám đốc độc lập.</w:t>
      </w:r>
    </w:p>
    <w:p>
      <w:pPr>
        <w:spacing w:after="80"/>
      </w:pPr>
      <w:r>
        <w:rPr>
          <w:b w:val="0"/>
          <w:i w:val="0"/>
        </w:rPr>
        <w:t>Từ tổng quan ngắn gọn này, rõ ràng rằng Cuộc cải cách đã mở rộng đáng kể quyền tự do hợp đồng trong việc cấu trúc quản trị doanh nghiệp. Thay vì một mô hình, hiện nay có ba mô hình, bốn nếu tính cả việc giữ lại mô hình truyền thống ban đầu, và mỗi mô hình có những quy tắc khác biệt đáng kể. Các mô hình mới tạo ra khả năng điều chỉnh cấu trúc quản trị doanh nghiệp chính xác hơn theo nhu cầu cụ thể của từng công ty. Ví dụ, mô hình nhị nguyên, với ban giám sát và ban điều hành, có thể được sử dụng bởi một công ty rất lớn, nơi cần có một ban chỉ giải quyết các vấn đề chung, cũng như một ban điều hành chuyên trách hơn cho việc quản lý công ty hàng ngày. Hệ thống này cũng có thể khiến một công ty khó bị thâu tóm thù địch hơn, vì các cổ đông kiểm soát hiện tại sẽ phải thay đổi không chỉ một hội đồng quản trị, mà là hai hội đồng riêng biệt. Trước tiên sẽ cần phải chấm dứt nhiệm kỳ của các thành viên ban giám sát, và sau đó các thành viên mới được chỉ định của ban giám sát phải chỉ định các thành viên mới của hội đồng giám đốc điều hành. Mặc dù rào cản này có lẽ không phải là một biện pháp phòng vệ về mặt kỹ thuật, nhưng nó vẫn có thể khiến việc thâu tóm một công ty trở nên khó khăn và tốn kém hơn, ít nhất là so với mô hình nhất nguyên.</w:t>
      </w:r>
    </w:p>
    <w:p>
      <w:pPr>
        <w:pStyle w:val="Heading5"/>
      </w:pPr>
      <w:r>
        <w:rPr>
          <w:rFonts w:ascii="Calibri" w:hAnsi="Calibri"/>
          <w:b/>
          <w:i/>
          <w:sz w:val="22"/>
        </w:rPr>
        <w:t>Bình luận và Câu hỏi</w:t>
      </w:r>
    </w:p>
    <w:p>
      <w:pPr>
        <w:spacing w:after="80"/>
      </w:pPr>
      <w:r>
        <w:rPr>
          <w:b w:val="0"/>
          <w:i w:val="0"/>
        </w:rPr>
        <w:t>1. Toàn cầu hóa có khả năng đã đóng một vai trò quan trọng trong việc áp dụng những cải cách này. Tính linh hoạt trong việc lựa chọn một mô hình quản trị phù hợp cho phép một công ty mẹ ở Ý và một công ty con được thành lập ở các quốc gia khác có cùng cấu trúc quản trị. Tương tự, cách tiếp cận này cho phép các công ty Ý niêm yết ở các khu vực pháp lý khác áp dụng một cấu trúc quản trị dễ được công nhận hơn ở những thị trường đó. Ví dụ, một công ty Ý niêm yết trên NYSE có thể chọn hệ thống hội đồng nhất nguyên.</w:t>
      </w:r>
    </w:p>
    <w:p>
      <w:pPr>
        <w:spacing w:after="80"/>
      </w:pPr>
      <w:r>
        <w:rPr>
          <w:b w:val="0"/>
          <w:i w:val="0"/>
        </w:rPr>
        <w:t>2. Tại sao một công ty có thể ưa chuộng mô hình này hơn mô hình kia? Ưu điểm và nhược điểm của mỗi mô hình là gì? Giáo sư Ventoruzzo lưu ý rằng cấu trúc hai ban có thể hữu ích cho việc chuyển giao quyền sở hữu của một doanh nghiệp gia đình. "Những người thừa kế của những người sáng lập công ty có thể là thành viên của hội đồng giám đốc điều hành, trong khi những người sáng lập có thể là thành viên của ban giám sát kiểm soát."</w:t>
      </w:r>
    </w:p>
    <w:p>
      <w:pPr>
        <w:spacing w:after="80"/>
      </w:pPr>
      <w:r>
        <w:rPr>
          <w:b w:val="0"/>
          <w:i w:val="0"/>
        </w:rPr>
        <w:t xml:space="preserve">3. Hầu hết các công ty đại chúng ở Ý vẫn tiếp tục dựa vào cấu trúc truyền thống (một hội đồng quản trị và một ban kiểm soát viên theo luật định), với ít công ty niêm yết chọn các biến thể khác. </w:t>
      </w:r>
      <w:r>
        <w:rPr>
          <w:b w:val="0"/>
          <w:i/>
        </w:rPr>
        <w:t>Xem</w:t>
      </w:r>
      <w:r>
        <w:rPr>
          <w:b w:val="0"/>
          <w:i w:val="0"/>
        </w:rPr>
        <w:t xml:space="preserve"> Báo cáo năm 2014 về Quản trị Doanh nghiệp của các Công ty Niêm yết Ý, CONSOB (tháng 12 năm 2014) ("Bằng chứng về các hội đồng quản trị của các công ty niêm yết Ý khẳng định sự chiếm ưu thế của hệ thống quản lý và kiểm soát truyền thống, với chỉ 7 công ty trong số 244 dự kiến áp dụng một hệ thống thay thế vào cuối năm 2013"). Một số ngân hàng ban đầu đã áp dụng cấu trúc ban giám sát, mặc dù cấu trúc này vẫn tương đối không phổ biến. Mediobanca, một ngân hàng đầu tư của Ý, đã làm như vậy rồi chuyển trở lại cấu trúc hội đồng quản trị truyền thống với một Ban Kiểm soát viên theo Luật định. Bạn nghĩ điều gì giải thích cho sự kháng cự này?</w:t>
      </w:r>
    </w:p>
    <w:p>
      <w:pPr>
        <w:spacing w:after="80"/>
      </w:pPr>
      <w:r>
        <w:rPr>
          <w:b w:val="0"/>
          <w:i w:val="0"/>
        </w:rPr>
        <w:t xml:space="preserve">4. Ý không phải là quốc gia duy nhất cung cấp tính linh hoạt trong việc lựa chọn cấu trúc quản trị phù hợp. Chúng ta đã lưu ý đến ví dụ của Nhật Bản. Các quốc gia khác cũng đã làm điều tương tự. </w:t>
      </w:r>
      <w:r>
        <w:rPr>
          <w:b w:val="0"/>
          <w:i/>
        </w:rPr>
        <w:t>Xem</w:t>
      </w:r>
      <w:r>
        <w:rPr>
          <w:b w:val="0"/>
          <w:i w:val="0"/>
        </w:rPr>
        <w:t xml:space="preserve"> Klaus J. Hopt, </w:t>
      </w:r>
      <w:r>
        <w:rPr>
          <w:b w:val="0"/>
          <w:i/>
        </w:rPr>
        <w:t>Comparative Corporate Governance: The State of the Art and International Regulation</w:t>
      </w:r>
      <w:r>
        <w:rPr>
          <w:b w:val="0"/>
          <w:i w:val="0"/>
        </w:rPr>
        <w:t xml:space="preserve"> , 59 Am. J. Comp. L. 1, 23 (Mùa đông 2011) (lưu ý rằng Pháp, Hà Lan, Bỉ, Luxembourg, Phần Lan, Bồ Đào Nha và Đan Mạch cho phép một số lựa chọn về cấu trúc quản trị). Liệu đây có thể là một giải pháp thay thế cho sự hội tụ? Hoặc, liệu cách tiếp cận này có dẫn đến sự hội tụ không?</w:t>
      </w:r>
    </w:p>
    <w:p>
      <w:pPr>
        <w:spacing w:after="80"/>
      </w:pPr>
      <w:r>
        <w:rPr>
          <w:b w:val="0"/>
          <w:i w:val="0"/>
        </w:rPr>
        <w:t>—————</w:t>
      </w:r>
    </w:p>
    <w:p>
      <w:pPr>
        <w:spacing w:after="80"/>
      </w:pPr>
      <w:r>
        <w:rPr>
          <w:b w:val="0"/>
          <w:i w:val="0"/>
        </w:rPr>
        <w:t>Ý trong thiên niên kỷ mới đã phải chịu đựng những vụ bê bối doanh nghiệp ở mức độ của Enron và Worldcom. Vào tháng 12 năm 2003, Parmalat, công ty lớn thứ 8 của Ý và là một công ty do một gia đình chi phối, đã vỡ nợ thanh toán trái phiếu và ngay sau đó đã nộp đơn xin phá sản. Sự sụp đổ này đã làm dấy lên một số câu hỏi về cấu trúc quản trị ở Ý, đặc biệt là vai trò của ban kiểm soát viên theo luật định.</w:t>
      </w:r>
    </w:p>
    <w:p>
      <w:pPr>
        <w:pStyle w:val="Heading4"/>
      </w:pPr>
      <w:r>
        <w:rPr>
          <w:rFonts w:ascii="Calibri" w:hAnsi="Calibri"/>
          <w:b/>
          <w:i w:val="0"/>
          <w:sz w:val="23"/>
        </w:rPr>
        <w:t>In re Parmalat Securities Litigation</w:t>
      </w:r>
    </w:p>
    <w:p>
      <w:pPr>
        <w:spacing w:after="80"/>
      </w:pPr>
      <w:r>
        <w:rPr>
          <w:b w:val="0"/>
          <w:i w:val="0"/>
        </w:rPr>
        <w:t>Tòa án Quận Hoa Kỳ, Quận Nam New York</w:t>
      </w:r>
      <w:r>
        <w:br/>
      </w:r>
      <w:r>
        <w:rPr>
          <w:b w:val="0"/>
          <w:i w:val="0"/>
        </w:rPr>
        <w:t xml:space="preserve"> 376 F. Supp. 2d 449 (2005)</w:t>
      </w:r>
    </w:p>
    <w:p>
      <w:pPr>
        <w:spacing w:after="80"/>
      </w:pPr>
      <w:r>
        <w:rPr>
          <w:b w:val="0"/>
          <w:i w:val="0"/>
        </w:rPr>
        <w:t>KAPLAN , THẨM PHÁN QUẬN :</w:t>
      </w:r>
    </w:p>
    <w:p>
      <w:pPr>
        <w:spacing w:after="80"/>
      </w:pPr>
      <w:r>
        <w:rPr>
          <w:b w:val="0"/>
          <w:i w:val="0"/>
        </w:rPr>
        <w:t>Maria Martellini là công dân và cư dân Ý. Bà là giáo sư kinh tế tại Universita degli Studi de Brescia, nơi bà đã giảng dạy về kinh doanh và kinh tế trong gần 15 năm. Bà là bị đơn trong vụ án này vì bà là đại diện cổ đông thiểu số trong Ban Kiểm soát (Ban Kiểm soát theo luật định – “Statutory Board”) của công ty mẹ Parmalat, Parmalat Finanziaria, S.p.A (“Finanziaria”), trong giai đoạn bắt đầu từ Báo cáo Bán niên 1999 của Ban Kiểm soát và kết thúc bằng Báo cáo Thường niên 2001 của ban này. Bà chưa bao giờ là cán bộ điều hành hay giám đốc của Finanziaria hoặc bất kỳ công ty con nào của nó.</w:t>
      </w:r>
    </w:p>
    <w:p>
      <w:pPr>
        <w:spacing w:after="80"/>
      </w:pPr>
      <w:r>
        <w:rPr>
          <w:b w:val="0"/>
          <w:i w:val="0"/>
        </w:rPr>
        <w:t>Đơn khởi kiện về cơ bản cáo buộc rằng các báo cáo do Ban Kiểm soát phát hành trong nhiệm kỳ của Giáo sư Martellini tuyên bố rằng Ban này (1) đã “xác minh tính đầy đủ của các hệ thống hành chính/kế toán và kiểm toán nội bộ” cũng như “việc tuân thủ các quy định pháp luật liên quan đến việc lập và trình bày báo cáo tài chính theo luật định và hợp nhất cùng báo cáo của ban giám đốc thông qua các kiểm tra trực tiếp và thông tin nhận được từ” Deloitte, (2) đã “thực hiện các kiểm tra theo yêu cầu pháp luật phù hợp với các nguyên tắc dành cho ban kiểm soát theo luật định do giới kế toán Ý thiết lập,” (3) không biết về bất kỳ giao dịch bất thường hoặc không phổ biến nào với các bên liên quan hoặc giữa các công ty trong tập đoàn và rằng phần thuyết minh báo cáo tài chính liên quan đến các giao dịch đó là đầy đủ, (4) đã thực hiện nghĩa vụ giám sát việc quản lý công ty và đã kiểm tra tính đầy đủ của các kiểm soát nội bộ cùng hệ thống hành chính và kế toán, và (5) Parmalat đã tuân thủ về cơ bản Bộ Quy tắc Thực hành Tốt nhất Tự nguyện do sở giao dịch chứng khoán Ý thiết lập. Nguyên đơn cáo buộc rằng trên thực tế Ban này nằm dưới sự kiểm soát của ban điều hành công ty, rằng ban đã cẩu thả không giám sát tính chính xác của báo cáo tài chính Parmalat và không đảm bảo rằng các kiểm soát nội bộ hoạt động hiệu quả, rằng ban đã cẩu thả không nhận ra rằng mạng lưới các công ty liên kết và thực thể mục đích đặc biệt của Parmalat không được hạch toán đúng cách, rằng các thành viên Ban Kiểm soát và những người khác “với tư cách cá nhân và tập thể phải chịu trách nhiệm về việc . . . lập và xem xét các báo cáo tài chính đã kiểm toán và chưa kiểm toán của [Parmalat],” rằng các thành viên Ban này đã cẩu thả khi không biết—hoặc đã chỉ đạo hay tham gia vào—việc Parmalat gian lận khai khống tài sản và lợi nhuận cũng như khai thiếu nợ phải trả, và rằng họ đã cẩu thả hoặc cố ý phát hành các báo cáo sai sự thật.</w:t>
      </w:r>
    </w:p>
    <w:p>
      <w:pPr>
        <w:spacing w:after="80"/>
      </w:pPr>
      <w:r>
        <w:rPr>
          <w:b w:val="0"/>
          <w:i w:val="0"/>
        </w:rPr>
        <w:t>* * *</w:t>
      </w:r>
    </w:p>
    <w:p>
      <w:pPr>
        <w:spacing w:after="80"/>
      </w:pPr>
      <w:r>
        <w:rPr>
          <w:b w:val="0"/>
          <w:i w:val="0"/>
        </w:rPr>
        <w:t>Nguyên đơn lập luận rằng đơn khởi kiện cáo buộc đầy đủ rằng các thành viên Ban Kiểm soát, bao gồm Giáo sư Martellini, đã cẩu thả không giám sát tính chính xác của các kiểm soát tài chính và không làm tròn vai trò kiểm soát đối với các thực hành tài chính không đúng đắn. Cụ thể hơn, họ cho rằng Ban này, bao gồm Giáo sư Martellini, (1) đã không điều tra các khiếu nại do cổ đông đưa ra vào ngày 14 tháng 4 năm 2003, (2) đã không điều tra những lo ngại do CONSOB, cơ quan quản lý chứng khoán Ý, bày tỏ “vào năm 2002 hoặc 2003” liên quan đến Quỹ Epicurum, và (3) đã che giấu các câu hỏi do các đối tác Deloitte địa phương nêu ra liên quan đến một công ty con của Parmalat tại Argentina. Tuy nhiên, những lập luận này không đứng vững.</w:t>
      </w:r>
    </w:p>
    <w:p>
      <w:pPr>
        <w:spacing w:after="80"/>
      </w:pPr>
      <w:r>
        <w:rPr>
          <w:b w:val="0"/>
          <w:i w:val="0"/>
        </w:rPr>
        <w:t>Đầu tiên, đơn khởi kiện cáo buộc rằng nhiệm kỳ của Giáo sư Martellini trong Ban Kiểm soát đã kết thúc bằng Báo cáo Thường niên 2001, báo cáo này dường như được phát hành vào tháng 4 năm 2002. Do đó, không có cơ sở để cho rằng Giáo sư Martellini có liên quan gì đến các khiếu nại của cổ đông vào năm 2003.</w:t>
      </w:r>
    </w:p>
    <w:p>
      <w:pPr>
        <w:spacing w:after="80"/>
      </w:pPr>
      <w:r>
        <w:rPr>
          <w:b w:val="0"/>
          <w:i w:val="0"/>
        </w:rPr>
        <w:t>Khẳng định liên quan đến những lo ngại của CONSOB cũng ngụy biện không kém. Bản ghi nhớ của nguyên đơn nói rằng Ban Kiểm soát “vào năm 2002 hoặc 2003” đã phớt lờ một “dấu hiệu cảnh báo rõ ràng” do một cuộc điều tra của CONSOB nêu ra liên quan đến các giao dịch bị cho là đáng ngờ liên quan đến quỹ Epicurum. Tuy nhiên, đơn khởi kiện cáo buộc rằng Epicurum được thành lập vào tháng 9 năm 2002 và, trái với tuyên bố trong bản ghi nhớ của nguyên đơn, không ghi rõ ngày của cuộc điều tra CONSOB. Xét việc đơn khởi kiện cáo buộc rằng Giáo sư Martellini đã rời Ban Kiểm soát nhiều tháng trước khi Epicurum thậm chí được thành lập, đơn giản là không có gì ở đây để hỗ trợ cáo buộc về sự cẩu thả hay tệ hơn nữa từ phía bà.</w:t>
      </w:r>
    </w:p>
    <w:p>
      <w:pPr>
        <w:spacing w:after="80"/>
      </w:pPr>
      <w:r>
        <w:rPr>
          <w:b w:val="0"/>
          <w:i w:val="0"/>
        </w:rPr>
        <w:t>Cuối cùng, lập luận của nguyên đơn về những lo ngại do Deloitte nêu ra đối với công ty con tại Argentina đã tự do diễn giải hồ sơ. Bản ghi nhớ của họ nêu rằng:</w:t>
      </w:r>
    </w:p>
    <w:p>
      <w:pPr>
        <w:spacing w:after="80"/>
      </w:pPr>
      <w:r>
        <w:rPr>
          <w:b w:val="0"/>
          <w:i w:val="0"/>
        </w:rPr>
        <w:t xml:space="preserve">“Ngoài ra, trong nhiệm kỳ của Martellini trong Ban Kiểm soát vào năm 2000, các đối tác Deloitte địa phương đã nêu câu hỏi về việc hạch toán các hoạt động của Parmalat tại Argentina, nhưng khi họ yêu cầu một số thông tin nhất định, Tonna đã giận dữ thu hồi hợp đồng kiểm toán của Deloitte tại Argentina. Mamoli, đối tác của Deloitte tại Ý, đã gặp Tonna </w:t>
      </w:r>
      <w:r>
        <w:rPr>
          <w:b w:val="0"/>
          <w:i/>
        </w:rPr>
        <w:t>và cả Ban Kiểm soát của Parmalat—mà vào thời điểm đó có bao gồm Martellini.</w:t>
      </w:r>
      <w:r>
        <w:rPr>
          <w:b w:val="0"/>
          <w:i w:val="0"/>
        </w:rPr>
        <w:t xml:space="preserve"> Các vấn đề do kiểm toán viên Deloitte địa phương tại Argentina nêu ra chưa bao giờ được giải quyết, và Martellini cùng các Kiểm soát viên đã che giấu chúng. PP 1033–39.”</w:t>
      </w:r>
    </w:p>
    <w:p>
      <w:pPr>
        <w:spacing w:after="80"/>
      </w:pPr>
      <w:r>
        <w:rPr>
          <w:b w:val="0"/>
          <w:i w:val="0"/>
        </w:rPr>
        <w:t>Trên thực tế, đơn khởi kiện kể một câu chuyện có phần khác.</w:t>
      </w:r>
    </w:p>
    <w:p>
      <w:pPr>
        <w:spacing w:after="80"/>
      </w:pPr>
      <w:r>
        <w:rPr>
          <w:b w:val="0"/>
          <w:i w:val="0"/>
        </w:rPr>
        <w:t>Theo đơn khởi kiện, các vấn đề phát sinh giữa kiểm toán viên khu vực của Deloitte tại Argentina với văn phòng Ý của Deloitte và Parmalat. Sau một yêu cầu cung cấp thông tin từ các đối tác Deloitte không được nêu rõ, Tonna đã thu hồi hợp đồng tại Argentina của Deloitte. Mamoli, đối tác phụ trách tại Deloitte Ý, sau đó bày tỏ hy vọng rằng Deloitte Argentina và Deloitte Ý sẽ hợp tác hơn để tránh xúc phạm Parmalat. Esteban, rõ ràng là đối tác Argentina, tuy nhiên vẫn khẳng định lại lập trường của mình. Đơn khởi kiện sau đó nêu rằng “sau một cuộc họp với Tonna và Ban Kiểm soát của Parmalat, nhưng không giải quyết các vấn đề mà Esteban đã nêu. . ., Mamoli thông báo cho Esteban rằng vấn đề Argentina đã được giải quyết. . . .”</w:t>
      </w:r>
    </w:p>
    <w:p>
      <w:pPr>
        <w:spacing w:after="80"/>
      </w:pPr>
      <w:r>
        <w:rPr>
          <w:b w:val="0"/>
          <w:i w:val="0"/>
        </w:rPr>
        <w:t>Điểm quan trọng cần lưu ý ở đây là bản ghi nhớ của nguyên đơn—bằng cách nói rằng Ban Kiểm soát đã che giấu vấn đề—ngụ ý rằng Ban này biết về những lo ngại do Esteban và Deloitte Argentina nêu ra. Nhưng đơn khởi kiện không nói điều gì như vậy. Nó chỉ nói rằng Mamoli, sau một cuộc họp với Ban mà không được mô tả dưới bất kỳ khía cạnh nào, đã thông báo cho Esteban rằng vấn đề đã được giải quyết. Đơn không cáo buộc rằng các sự kiện đó từng được Ban này biết đến.</w:t>
      </w:r>
    </w:p>
    <w:p>
      <w:pPr>
        <w:spacing w:after="80"/>
      </w:pPr>
      <w:r>
        <w:rPr>
          <w:b w:val="0"/>
          <w:i w:val="0"/>
        </w:rPr>
        <w:t xml:space="preserve">Cuối cùng, nguyên đơn cho rằng </w:t>
      </w:r>
      <w:r>
        <w:rPr>
          <w:b w:val="0"/>
          <w:i/>
        </w:rPr>
        <w:t>scienter</w:t>
      </w:r>
      <w:r>
        <w:rPr>
          <w:b w:val="0"/>
          <w:i w:val="0"/>
        </w:rPr>
        <w:t xml:space="preserve"> (ý chí phạm tội) có thể được suy ra từ việc Giáo sư Martellini đã không xem xét hoặc kiểm tra thông tin mà bà có nghĩa vụ giám sát và đã có quyền tiếp cận thông tin cho thấy các tuyên bố công khai của Ban Kiểm soát là không chính xác. Mặc dù ở đây nguyên đơn trích dẫn ý kiến của Tòa Phúc thẩm Vòng hai trong vụ </w:t>
      </w:r>
      <w:r>
        <w:rPr>
          <w:b w:val="0"/>
          <w:i/>
        </w:rPr>
        <w:t>Novak v. Kasaks</w:t>
      </w:r>
      <w:r>
        <w:rPr>
          <w:b w:val="0"/>
          <w:i w:val="0"/>
        </w:rPr>
        <w:t>, họ không đề cập đến lời giải thích của tòa trong vụ đó rằng những cáo buộc như vậy sẽ là đủ khi nguyên đơn cáo buộc bị đơn đã phớt lờ những trường hợp cụ thể của gian lận rõ ràng hoặc hành vi đáng ngờ, hoặc, trong trường hợp có quyền tiếp cận thông tin trái ngược, khi nguyên đơn xác định được các báo cáo được cho là chứa thông tin trái ngược đó. Nguyên đơn không đưa ra cáo buộc cụ thể nào như vậy ở đây. Do đó, không có cơ sở hợp lệ nào để kết luận rằng các thành viên Ban này đã hành động cẩu thả.</w:t>
      </w:r>
    </w:p>
    <w:p>
      <w:pPr>
        <w:pStyle w:val="Heading5"/>
      </w:pPr>
      <w:r>
        <w:rPr>
          <w:rFonts w:ascii="Calibri" w:hAnsi="Calibri"/>
          <w:b/>
          <w:i/>
          <w:sz w:val="22"/>
        </w:rPr>
        <w:t>Bình luận và Câu hỏi</w:t>
      </w:r>
    </w:p>
    <w:p>
      <w:pPr>
        <w:spacing w:after="80"/>
      </w:pPr>
      <w:r>
        <w:rPr>
          <w:b w:val="0"/>
          <w:i w:val="0"/>
        </w:rPr>
        <w:t xml:space="preserve">1. Vụ bê bối tại Parmalat không hề tinh vi. </w:t>
      </w:r>
      <w:r>
        <w:rPr>
          <w:b w:val="0"/>
          <w:i/>
        </w:rPr>
        <w:t>Xem</w:t>
      </w:r>
      <w:r>
        <w:rPr>
          <w:b w:val="0"/>
          <w:i w:val="0"/>
        </w:rPr>
        <w:t xml:space="preserve"> David A. Skeel, Jr., </w:t>
      </w:r>
      <w:r>
        <w:rPr>
          <w:b w:val="0"/>
          <w:i/>
        </w:rPr>
        <w:t>Book Review: Governance in the Ruins: Law and Capitalism: What Corporate Crises Reveal About Legal Systems and Economic Development Around the World</w:t>
      </w:r>
      <w:r>
        <w:rPr>
          <w:b w:val="0"/>
          <w:i w:val="0"/>
        </w:rPr>
        <w:t xml:space="preserve">, 122 Harv. L. Rev. 696, 728 (2008) (“Gian lận của Parmalat đáng chú ý hơn vì sự táo bạo và quy mô của nó hơn là vì tính phức tạp.”). Một tòa án đã mô tả các hoạt động của Parmalat là “đại loại giống như một mô hình Ponzi.” </w:t>
      </w:r>
      <w:r>
        <w:rPr>
          <w:b w:val="0"/>
          <w:i/>
        </w:rPr>
        <w:t>In re Parmalat Sec. Litig.</w:t>
      </w:r>
      <w:r>
        <w:rPr>
          <w:b w:val="0"/>
          <w:i w:val="0"/>
        </w:rPr>
        <w:t>, 594 F. Supp. 2d 444, 448 (S.D.N.Y. 2009). Điều này đặt ra những lo ngại gì về hệ thống quản trị ở Ý?</w:t>
      </w:r>
    </w:p>
    <w:p>
      <w:pPr>
        <w:spacing w:after="80"/>
      </w:pPr>
      <w:r>
        <w:rPr>
          <w:b w:val="0"/>
          <w:i w:val="0"/>
        </w:rPr>
        <w:t xml:space="preserve">2. Là một phần của chức năng giám sát, ban kiểm soát theo luật định có vai trò trong quy trình công bố thông tin tài chính. Chẳng hạn, ban này thường chịu trách nhiệm đảm bảo tính độc lập của công ty kiểm toán bên ngoài và giám sát bất kỳ dịch vụ nào không liên quan đến kế toán do công ty đó cung cấp. Hơn nữa, các công ty niêm yết có ủy ban kiểm soát nội bộ (đôi khi được gọi là ủy ban kiểm toán) được kỳ vọng báo cáo hoạt động của mình cho ban kiểm soát theo luật định và cho phép chủ tịch “tham gia” vào các cuộc họp. Cuối cùng, ban kiểm soát theo luật định và kiểm toán viên bên ngoài được kỳ vọng trao đổi thông tin mặc dù họ độc lập với nhau. Với thẩm quyền này, tại sao gian lận tại Parmalat lại có thể không bị ban kiểm soát theo luật định phát hiện? </w:t>
      </w:r>
      <w:r>
        <w:rPr>
          <w:b w:val="0"/>
          <w:i/>
        </w:rPr>
        <w:t>Xem</w:t>
      </w:r>
      <w:r>
        <w:rPr>
          <w:b w:val="0"/>
          <w:i w:val="0"/>
        </w:rPr>
        <w:t xml:space="preserve"> Guido Ferrarini &amp; Paolo Giudici, </w:t>
      </w:r>
      <w:r>
        <w:rPr>
          <w:b w:val="0"/>
          <w:i/>
        </w:rPr>
        <w:t>Financial Scandals and the Role of Private Enforcement: The Parmalat Case</w:t>
      </w:r>
      <w:r>
        <w:rPr>
          <w:b w:val="0"/>
          <w:i w:val="0"/>
        </w:rPr>
        <w:t xml:space="preserve">, </w:t>
      </w:r>
      <w:r>
        <w:rPr>
          <w:b w:val="0"/>
          <w:i/>
        </w:rPr>
        <w:t>in</w:t>
      </w:r>
      <w:r>
        <w:rPr>
          <w:b w:val="0"/>
          <w:i w:val="0"/>
        </w:rPr>
        <w:t xml:space="preserve"> After Enron: Improving Corporate Law And Modernising Securities Regulation in Europe and the U.S. 187 (John Armour &amp; Joseph A. McCahery eds., 2006) (mô tả ban kiểm soát theo luật định là kém hiệu quả “trong việc phát hiện quản lý yếu kém và gian lận,” cũng như tự mãn).</w:t>
      </w:r>
    </w:p>
    <w:p>
      <w:pPr>
        <w:spacing w:after="80"/>
      </w:pPr>
      <w:r>
        <w:rPr>
          <w:b w:val="0"/>
          <w:i w:val="0"/>
        </w:rPr>
        <w:t xml:space="preserve">3. Sự sụp đổ của Parmalat đã minh họa cách các cải cách được thiết kế để đảm bảo quản trị đúng đắn có thể bị lách qua. Luật Ý vào thời điểm đó yêu cầu kiểm toán viên bên ngoài phải được luân chuyển cứ chín năm một lần. Điều 159. Phù hợp với yêu cầu đó, Parmalat đã ngoan ngoãn thay thế kiểm toán viên hiện tại của mình nhưng không thay kiểm toán viên cho tất cả các công ty con. Điều này có thể làm suy yếu nghĩa vụ luân chuyển công ty kế toán như thế nào? </w:t>
      </w:r>
      <w:r>
        <w:rPr>
          <w:b w:val="0"/>
          <w:i/>
        </w:rPr>
        <w:t>Xem In re Parmalat Sec. Litig.</w:t>
      </w:r>
      <w:r>
        <w:rPr>
          <w:b w:val="0"/>
          <w:i w:val="0"/>
        </w:rPr>
        <w:t>, 594 F. Supp. 2d 444, 448 (S.D.N.Y. 2009) (các khẳng định rằng, để chuẩn bị cho sự thay đổi kiểm toán viên, các “giao dịch tài chính hư cấu” bị cáo buộc đã được chuyển đến các khu vực tài phán không nằm trong kế hoạch kiểm toán của Deloitte).</w:t>
      </w:r>
    </w:p>
    <w:p>
      <w:pPr>
        <w:spacing w:after="80"/>
      </w:pPr>
      <w:r>
        <w:rPr>
          <w:b w:val="0"/>
          <w:i w:val="0"/>
        </w:rPr>
        <w:t>4. Parmalat là một doanh nghiệp do gia đình kiểm soát. Quyền sở hữu gia đình, như đã đề cập, từ trước đến nay vốn là một đặc điểm phổ biến trong quản trị doanh nghiệp Ý. Theo bạn, với những gì xảy ra ở Parmalat, cùng toàn cầu hóa và các yếu tố khác đang tác động đến cách tiếp cận truyền thống về quản trị, liệu điều này có thể đang thay đổi không? Xem Báo cáo 2014 về Quản trị Doanh nghiệp của các Công ty Niêm yết Ý, CONSOB, tháng 12 năm 2014 ("Các gia đình đóng vai trò chính với tư cách 'cổ đông kiểm soát tối hậu' tại 61 phần trăm số doanh nghiệp (khoảng 30 phần trăm tổng vốn hóa thị trường), đặc biệt là các công ty nhỏ hơn hoạt động trong lĩnh vực công nghiệp."). Điều này gợi ý gì về hướng cải cách quản trị ở Ý?</w:t>
      </w:r>
    </w:p>
    <w:p>
      <w:pPr>
        <w:spacing w:after="80"/>
      </w:pPr>
      <w:r>
        <w:rPr>
          <w:b w:val="0"/>
          <w:i w:val="0"/>
        </w:rPr>
        <w:t>—————</w:t>
      </w:r>
    </w:p>
    <w:p>
      <w:pPr>
        <w:spacing w:after="80"/>
      </w:pPr>
      <w:r>
        <w:rPr>
          <w:b w:val="0"/>
          <w:i w:val="0"/>
        </w:rPr>
        <w:t>Những bài học từ Parmalat đã tạo áp lực đòi cải cách nhằm củng cố hệ thống quản trị. Cụ thể, những thay đổi này nhằm tăng vai trò của cả nhà đầu tư thiểu số lẫn thành viên hội đồng quản trị độc lập trong quá trình quản trị.</w:t>
      </w:r>
    </w:p>
    <w:p>
      <w:pPr>
        <w:pStyle w:val="Heading4"/>
      </w:pPr>
      <w:r>
        <w:rPr>
          <w:rFonts w:ascii="Calibri" w:hAnsi="Calibri"/>
          <w:b/>
          <w:i w:val="0"/>
          <w:sz w:val="23"/>
        </w:rPr>
        <w:t xml:space="preserve">David A. Skeel, Jr. và cộng sự, </w:t>
      </w:r>
      <w:r>
        <w:rPr>
          <w:rFonts w:ascii="Calibri" w:hAnsi="Calibri"/>
          <w:b/>
          <w:i/>
          <w:sz w:val="23"/>
        </w:rPr>
        <w:t>Quản trị Doanh nghiệp Từ Trong Ra Ngoài</w:t>
      </w:r>
    </w:p>
    <w:p>
      <w:pPr>
        <w:spacing w:after="80"/>
      </w:pPr>
      <w:r>
        <w:rPr>
          <w:b w:val="0"/>
          <w:i w:val="0"/>
        </w:rPr>
        <w:t>37 J. Corp. L. 147 (2011)</w:t>
      </w:r>
    </w:p>
    <w:p>
      <w:pPr>
        <w:spacing w:after="80"/>
      </w:pPr>
      <w:r>
        <w:rPr>
          <w:b w:val="0"/>
          <w:i w:val="0"/>
        </w:rPr>
        <w:t>. . . Trên cơ sở luật năm 2005, tất cả các công ty niêm yết được yêu cầu sửa đổi điều lệ để đưa quy định này vào hiệu lực và đảm bảo rằng ít nhất một thành viên hội đồng quản trị được bầu thông qua cái gọi là danh sách thay thế để đại diện cho lợi ích của cổ đông thiểu số. Luật trao cho các công ty sự linh hoạt trong việc xác định mức cổ phần tối thiểu mà một cổ đông thiểu số hoặc một nhóm cần có để tự đề cử "danh sách" ứng viên hội đồng quản trị, nhưng yêu cầu tỷ lệ phần trăm này không được vượt quá 2,5%.</w:t>
      </w:r>
    </w:p>
    <w:p>
      <w:pPr>
        <w:spacing w:after="80"/>
      </w:pPr>
      <w:r>
        <w:rPr>
          <w:b w:val="0"/>
          <w:i w:val="0"/>
        </w:rPr>
        <w:t>Đáng để dừng lại lưu ý xem cách tiếp cận của Ý trong việc bảo vệ cổ đông thiểu số khác xa đến mức nào so với quản trị doanh nghiệp ở Mỹ. Ở Mỹ, kim chỉ nam là quyền lực cổ đông và quyền tiếp cận ủy quyền (proxy access) được thiết kế để việc bỏ phiếu của cổ đông trở nên có ý nghĩa hơn. Ngược lại, ở Ý, việc bỏ phiếu của cổ đông chỉ là thứ yếu; mục tiêu là đưa đại diện thiểu số vào hội đồng quản trị. Lời giải thích rõ ràng nhất cho sự khác biệt này là sự phổ biến của các khối cổ đông kiểm soát ở Ý, so với tính chất linh động hơn của việc nắm giữ cổ phần ở Mỹ. Nhưng sự khác biệt này dường như cũng phản ánh những trọng tâm khác nhau ở hai quốc gia: bỏ phiếu được ưu tiên ở Mỹ, còn thương lượng (với cổ đông thiểu số được trao một chỗ ngồi tại bàn) được ưu tiên ở Ý.</w:t>
      </w:r>
    </w:p>
    <w:p>
      <w:pPr>
        <w:spacing w:after="80"/>
      </w:pPr>
      <w:r>
        <w:rPr>
          <w:b w:val="0"/>
          <w:i w:val="0"/>
        </w:rPr>
        <w:t>Trước lần sửa đổi tháng 3 năm 2006 đối với quy tắc quản trị doanh nghiệp của Sở Giao dịch Chứng khoán Ý, việc bầu thành viên hội đồng quản trị được thực hiện bằng hình thức bỏ phiếu kín. Điều này gây ra một vấn đề nghiêm trọng trong việc đảm bảo rằng cổ đông thiểu số chọn được đại diện thiểu số, vì không thể xác định được cổ đông nào đang bỏ phiếu cho các danh sách thành viên hội đồng quản trị khác nhau. Vào tháng 3 năm 2006, Sở Giao dịch Chứng khoán Ý đã sửa đổi Quy tắc Quản trị Doanh nghiệp của mình để khuyến nghị rằng: "(a) các công ty niêm yết Ý, trong khi tuân thủ yêu cầu bỏ phiếu kín, vẫn phải 'đảm bảo tính minh bạch trong quá trình lựa chọn và bổ nhiệm thành viên hội đồng quản trị' và (b) các cổ đông đủ điều kiện của các công ty niêm yết Ý (bao gồm cổ đông kiểm soát và nhà đầu tư tổ chức) tự nguyện công bố lá phiếu của mình tại các cuộc họp cổ đông để bổ nhiệm thành viên hội đồng quản trị."</w:t>
      </w:r>
    </w:p>
    <w:p>
      <w:pPr>
        <w:spacing w:after="80"/>
      </w:pPr>
      <w:r>
        <w:rPr>
          <w:b w:val="0"/>
          <w:i w:val="0"/>
        </w:rPr>
        <w:t>Một vấn đề đã tạo ra nhiều cuộc thảo luận rộng rãi ở Ý, và cũng có thể có liên quan đến Mỹ, là câu hỏi liệu cổ đông thiểu số có thực sự đưa được thành viên hội đồng quản trị vào hội đồng của hầu hết các công ty lớn ở Ý hay không. Số lượng thành viên hội đồng quản trị đại diện thiểu số vẫn còn khá ít; một số nhà quan sát nghi ngờ rằng cổ đông kiểm soát của một số công ty đã thỏa thuận ngầm với các cổ đông thiểu số lớn nhất, đổi lấy lời hứa của các cổ đông này là không đề cử danh sách thành viên hội đồng quản trị. Nhận xét này lặp lại những lo ngại rằng quyền tiếp cận ủy quyền ở Mỹ sẽ bị sử dụng một cách chiến lược, dù những lo ngại này theo một nghĩa nào đó là hình ảnh phản chiếu của nhau: ở Ý, vấn đề là các thỏa thuận ngầm; ở Mỹ, như sẽ bàn trong Phần tiếp theo, vấn đề là việc người ngoài sử dụng một cách chiến lược "chiếc loa phóng thanh" của quá trình bầu cử hội đồng quản trị công khai.</w:t>
      </w:r>
    </w:p>
    <w:p>
      <w:pPr>
        <w:pStyle w:val="Heading5"/>
      </w:pPr>
      <w:r>
        <w:rPr>
          <w:rFonts w:ascii="Calibri" w:hAnsi="Calibri"/>
          <w:b/>
          <w:i/>
          <w:sz w:val="22"/>
        </w:rPr>
        <w:t>Bình luận và Câu hỏi</w:t>
      </w:r>
    </w:p>
    <w:p>
      <w:pPr>
        <w:spacing w:after="80"/>
      </w:pPr>
      <w:r>
        <w:rPr>
          <w:b w:val="0"/>
          <w:i w:val="0"/>
        </w:rPr>
        <w:t xml:space="preserve">1. Các cải cách về cơ bản đã tạo ra một hệ thống cho phép cổ đông thiểu số đề cử và bầu các ứng viên vào hội đồng quản trị. Tuy nhiên, bài viết lưu ý rằng vẫn còn bỏ ngỏ liệu cổ đông thiểu số có thực sự sử dụng quyền này hay không. Thật vậy, hầu hết các công ty niêm yết đều không có thành viên hội đồng quản trị do cổ đông thiểu số đề cử. </w:t>
      </w:r>
      <w:r>
        <w:rPr>
          <w:b w:val="0"/>
          <w:i/>
        </w:rPr>
        <w:t>Xem</w:t>
      </w:r>
      <w:r>
        <w:rPr>
          <w:b w:val="0"/>
          <w:i w:val="0"/>
        </w:rPr>
        <w:t xml:space="preserve"> Báo cáo 2014 về Quản trị Doanh nghiệp của các Công ty Niêm yết Ý, CONSOB (tháng 12 năm 2014) (92 trong số 237 công ty niêm yết có dữ liệu khả dụng có một thành viên hội đồng quản trị đại diện thiểu số). Tại sao lại như vậy? Những trở ngại nào khiến cổ đông thiểu số không tận dụng quyền được thiết kế để bảo vệ lợi ích của chính họ?</w:t>
      </w:r>
    </w:p>
    <w:p>
      <w:pPr>
        <w:spacing w:after="80"/>
      </w:pPr>
      <w:r>
        <w:rPr>
          <w:b w:val="0"/>
          <w:i w:val="0"/>
        </w:rPr>
        <w:t>2. Thông thường, các quốc gia muốn tăng tính độc lập của hội đồng quản trị chỉ đơn giản yêu cầu đưa các thành viên hội đồng quản trị độc lập vào hội đồng. Trong hệ thống như vậy, chính ban điều hành là bên tìm kiếm và đề cử những thành viên này. Theo bạn, tại sao Ý lại không chọn cách tiếp cận đó? Những ưu điểm và nhược điểm của cách tiếp cận mà Ý đã chọn là gì?</w:t>
      </w:r>
    </w:p>
    <w:p>
      <w:pPr>
        <w:spacing w:after="80"/>
      </w:pPr>
      <w:r>
        <w:rPr>
          <w:b w:val="0"/>
          <w:i w:val="0"/>
        </w:rPr>
        <w:t>3. Hãy thảo luận về sự căng thẳng giữa việc sử dụng bỏ phiếu kín và yêu cầu rằng cổ đông thiểu số có quyền bầu chọn ứng viên của riêng mình. Liệu giải pháp này có giải quyết triệt để những lo ngại đó không?</w:t>
      </w:r>
    </w:p>
    <w:p>
      <w:pPr>
        <w:spacing w:after="80"/>
      </w:pPr>
      <w:r>
        <w:rPr>
          <w:b w:val="0"/>
          <w:i w:val="0"/>
        </w:rPr>
        <w:t xml:space="preserve">4. Ý không phải là quốc gia duy nhất trao cho cổ đông thiểu số quyền đại diện trong hội đồng quản trị. </w:t>
      </w:r>
      <w:r>
        <w:rPr>
          <w:b w:val="0"/>
          <w:i/>
        </w:rPr>
        <w:t>Xem</w:t>
      </w:r>
      <w:r>
        <w:rPr>
          <w:b w:val="0"/>
          <w:i w:val="0"/>
        </w:rPr>
        <w:t xml:space="preserve"> Marco Ventoruzzo, </w:t>
      </w:r>
      <w:r>
        <w:rPr>
          <w:b w:val="0"/>
          <w:i/>
        </w:rPr>
        <w:t>Trao quyền cho Cổ đông trong Bầu cử Thành viên Hội đồng Quản trị: Một Cuộc Cách mạng Đang Hình thành</w:t>
      </w:r>
      <w:r>
        <w:rPr>
          <w:b w:val="0"/>
          <w:i w:val="0"/>
        </w:rPr>
        <w:t xml:space="preserve"> , ECGI Working Paper Series in Law, Working Paper No. 147/2010, tháng 3 năm 2010, tr. 35 (lưu ý rằng ngoài Ý, Iceland, Nga và Tây Ban Nha "đã áp dụng một số hình thức đại diện của cổ đông thiểu số trong hội đồng quản trị"). Tuy nhiên, danh sách này khá ngắn. Tại sao lại có thể như vậy?</w:t>
      </w:r>
    </w:p>
    <w:p>
      <w:pPr>
        <w:spacing w:after="80"/>
      </w:pPr>
      <w:r>
        <w:rPr>
          <w:b w:val="0"/>
          <w:i w:val="0"/>
        </w:rPr>
        <w:t>5. Các cải cách sau hậu quả của Parmalat cũng tìm cách củng cố vị thế của cổ đông thiểu số đối với ban kiểm toán theo luật định. Thứ nhất, cổ đông thiểu số có quyền bầu ít nhất một đại diện vào BSA. Hơn nữa, chủ tịch phải được chọn từ các thành viên thiểu số của BSA. Chủ tịch có quyền tham dự các cuộc họp của ủy ban kiểm soát nội bộ (kiểm toán) của công ty. Ngoài ra, ban kiểm toán theo luật định được trao quyền khởi kiện thay mặt công ty (derivative suit), tuy nhiên chỉ khi có sự chấp thuận của hai phần ba số thành viên. Tác động có thể có của những cải cách này là gì? Liệu chỉ riêng sự hiện diện của các thành viên hội đồng quản trị độc lập trong hội đồng có cải thiện được quản trị không?</w:t>
      </w:r>
    </w:p>
    <w:p>
      <w:pPr>
        <w:spacing w:after="80"/>
      </w:pPr>
      <w:r>
        <w:rPr>
          <w:b w:val="0"/>
          <w:i w:val="0"/>
        </w:rPr>
        <w:t>6. Liệu việc đưa các đại diện thiểu số vào hội đồng quản trị có đủ không? Rõ ràng họ không thể kiểm soát được kết quả của các quyết định. Làm thế nào để tăng cường quyền hạn của họ?</w:t>
      </w:r>
    </w:p>
    <w:p>
      <w:pPr>
        <w:spacing w:after="80"/>
      </w:pPr>
      <w:r>
        <w:rPr>
          <w:b w:val="0"/>
          <w:i w:val="0"/>
        </w:rPr>
        <w:t xml:space="preserve">7. Mô hình sở hữu với cổ đông kiểm soát là điểm khác biệt giữa Ý và Mỹ. Liệu đây có thể là một lợi thế so sánh? </w:t>
      </w:r>
      <w:r>
        <w:rPr>
          <w:b w:val="0"/>
          <w:i/>
        </w:rPr>
        <w:t>Xem</w:t>
      </w:r>
      <w:r>
        <w:rPr>
          <w:b w:val="0"/>
          <w:i w:val="0"/>
        </w:rPr>
        <w:t xml:space="preserve"> Maria DiMeo Calvelli, </w:t>
      </w:r>
      <w:r>
        <w:rPr>
          <w:b w:val="0"/>
          <w:i/>
        </w:rPr>
        <w:t>In Defense of the Business Cultural Values Reflected in the Italian Securities Markets: What the US 2008 Financial Meltdown Can Teach Us</w:t>
      </w:r>
      <w:r>
        <w:rPr>
          <w:b w:val="0"/>
          <w:i w:val="0"/>
        </w:rPr>
        <w:t xml:space="preserve"> , 5 Brook. J. Corp. Fin &amp; Com. L. 317, 338 (2011) ("Mặc dù vẫn còn dư địa để tiếp tục cải thiện quản trị công ty, đã đến lúc Ý cần tập trung cải cách nhằm tận dụng cả những lợi thế độc đáo mà hệ thống cổ đông kiểm soát hay chi phối mang lại lẫn những tiến bộ đã đạt được trong việc bảo vệ cổ đông thiểu số."). Điều này có thể đúng trong trường hợp nào?</w:t>
      </w:r>
    </w:p>
    <w:p>
      <w:pPr>
        <w:spacing w:after="80"/>
      </w:pPr>
      <w:r>
        <w:rPr>
          <w:b w:val="0"/>
          <w:i w:val="0"/>
        </w:rPr>
        <w:t>8. Các cải cách bổ sung đã tìm cách tăng vai trò của giám đốc độc lập trong lĩnh vực thù lao điều hành. Bộ quy tắc Preda khuyến nghị thành lập một ủy ban thù lao bao gồm các giám đốc không điều hành, trong đó đa số phải là độc lập. Ít nhất một giám đốc phải có "kiến thức và kinh nghiệm đầy đủ về tài chính hoặc các chính sách thù lao . . ." Cấu trúc này có khả năng tác động như thế nào đến các công ty có cổ đông kiểm soát?</w:t>
      </w:r>
    </w:p>
    <w:p>
      <w:pPr>
        <w:spacing w:after="80"/>
      </w:pPr>
      <w:r>
        <w:rPr>
          <w:b w:val="0"/>
          <w:i w:val="0"/>
        </w:rPr>
        <w:t>—————</w:t>
      </w:r>
    </w:p>
    <w:p>
      <w:pPr>
        <w:spacing w:after="80"/>
      </w:pPr>
      <w:r>
        <w:rPr>
          <w:b w:val="0"/>
          <w:i w:val="0"/>
        </w:rPr>
        <w:t>Các cải cách khác đã tìm cách trao quyền cho nhà đầu tư thiểu số bằng việc loại bỏ các rào cản đối với việc thực thi tư nhân.</w:t>
      </w:r>
    </w:p>
    <w:p>
      <w:pPr>
        <w:pStyle w:val="Heading4"/>
      </w:pPr>
      <w:r>
        <w:rPr>
          <w:rFonts w:ascii="Calibri" w:hAnsi="Calibri"/>
          <w:b/>
          <w:i w:val="0"/>
          <w:sz w:val="23"/>
        </w:rPr>
        <w:t xml:space="preserve">Luca Enriques, </w:t>
      </w:r>
      <w:r>
        <w:rPr>
          <w:rFonts w:ascii="Calibri" w:hAnsi="Calibri"/>
          <w:b/>
          <w:i/>
          <w:sz w:val="23"/>
        </w:rPr>
        <w:t>Corporate Governance Reforms in Italy:</w:t>
      </w:r>
      <w:r>
        <w:br/>
      </w:r>
      <w:r>
        <w:rPr>
          <w:rFonts w:ascii="Calibri" w:hAnsi="Calibri"/>
          <w:b/>
          <w:i/>
          <w:sz w:val="23"/>
        </w:rPr>
        <w:t xml:space="preserve"> What Has Been Done and What Is Left to Do</w:t>
      </w:r>
    </w:p>
    <w:p>
      <w:pPr>
        <w:spacing w:after="80"/>
      </w:pPr>
      <w:r>
        <w:rPr>
          <w:b w:val="0"/>
          <w:i w:val="0"/>
        </w:rPr>
        <w:t>10 Eur. Bus. Org. L. Rev. 477–513 (2009)</w:t>
      </w:r>
    </w:p>
    <w:p>
      <w:pPr>
        <w:spacing w:after="80"/>
      </w:pPr>
      <w:r>
        <w:rPr>
          <w:b w:val="0"/>
          <w:i w:val="0"/>
        </w:rPr>
        <w:t>Thực thi tư nhân là một thứ xấu cần thiết đối với các chế độ quản trị công ty hiệu quả, trừ khi và cho đến khi quyền kiểm soát các công ty niêm yết nằm trong tay các nhà đầu tư tổ chức (như ở Anh). Nếu không có thực thi tư nhân, việc tự thực thi (tiếng nói của cổ đông) cũng bị vô hiệu hóa, bởi vì không thể có cam kết đáng tin cậy để đạt được công lý thông qua thực thi chính thức, và ngay cả thực thi công cũng kém hiệu quả hơn, do áp lực "cạnh tranh" lên các cơ quan giám sát thấp hơn.</w:t>
      </w:r>
    </w:p>
    <w:p>
      <w:pPr>
        <w:spacing w:after="80"/>
      </w:pPr>
      <w:r>
        <w:rPr>
          <w:b w:val="0"/>
          <w:i w:val="0"/>
        </w:rPr>
        <w:t>* * *</w:t>
      </w:r>
    </w:p>
    <w:p>
      <w:pPr>
        <w:spacing w:after="80"/>
      </w:pPr>
      <w:r>
        <w:rPr>
          <w:b w:val="0"/>
          <w:i w:val="0"/>
        </w:rPr>
        <w:t>Vấn đề là các thiết chế thực thi tư nhân của Ý hiện đang ở trong tình trạng tồi tệ đến mức người ta ngần ngại thúc đẩy việc mở rộng khả năng tiếp cận công lý cho cổ đông thiểu số trước khi những thiết chế đó được cải thiện. Đồng thời, không thể kỳ vọng có sự cải thiện nghiêm túc nào của các thiết chế thực thi tư nhân nếu vẫn còn những quy định về cơ bản ngăn cản nguyên đơn khởi kiện, hay nói cách khác, nếu các thiết chế thực thi tư nhân không được trao cơ hội để tích lũy kinh nghiệm thực tế. Để phá vỡ thế bế tắc này, cần khuyến khích khả năng tiếp cận công lý của cổ đông chính vì mục đích làm cho những nỗ lực cải cách dài hạn cần thiết để cải thiện các thiết chế thực thi tư nhân trở nên nổi bật về mặt chính trị.</w:t>
      </w:r>
    </w:p>
    <w:p>
      <w:pPr>
        <w:spacing w:after="80"/>
      </w:pPr>
      <w:r>
        <w:rPr>
          <w:b w:val="0"/>
          <w:i w:val="0"/>
        </w:rPr>
        <w:t xml:space="preserve">Việc bãi bỏ lệnh cấm phí theo kết quả (contingency fees) vào năm 2006 là một bước đi đầu tiên quan trọng theo hướng loại bỏ các rào cản đối với việc cổ đông khởi kiện, nhưng còn rất nhiều việc có thể làm trước khi chúng ta tiến gần đến mức thái quá của thực thi tư nhân ở Mỹ. Một danh sách đơn giản là đủ cho mục đích hiện tại: không có ngưỡng cho các vụ kiện phái sinh (có thể kèm điều khoản "opt-up" cho phép áp đặt ngưỡng thấp hơn ngưỡng hiện hành), các cơ chế khám phá chứng cứ (discovery), kiện dựa trên thông báo (notice pleading) thay vì kiện dựa trên sự kiện (fact pleading), một quy tắc kiểu Mỹ có chọn lọc ngăn thẩm phán buộc cổ đông nguyên đơn thua kiện phải gánh phí và chi phí của bị đơn ngoại trừ trường hợp kiện nhằm tống tiền (strike suits), các cơ chế hợp tác tốt hơn giữa các cơ quan giám sát như Consob và những người thực thi tư nhân (dưới hình thức </w:t>
      </w:r>
      <w:r>
        <w:rPr>
          <w:b w:val="0"/>
          <w:i/>
        </w:rPr>
        <w:t>amicus curiae</w:t>
      </w:r>
      <w:r>
        <w:rPr>
          <w:b w:val="0"/>
          <w:i w:val="0"/>
        </w:rPr>
        <w:t xml:space="preserve"> và hỗ trợ tòa án trong việc thu thập chứng cứ). Tất cả những biện pháp này sẽ khuyến khích cổ đông khởi kiện khi có hành vi sai trái của người nội bộ công ty, đồng thời không gây ra những vấn đề gắn liền với sự thái quá ở Mỹ.</w:t>
      </w:r>
    </w:p>
    <w:p>
      <w:pPr>
        <w:spacing w:after="80"/>
      </w:pPr>
      <w:r>
        <w:rPr>
          <w:b w:val="0"/>
          <w:i w:val="0"/>
        </w:rPr>
        <w:t>* * *</w:t>
      </w:r>
    </w:p>
    <w:p>
      <w:pPr>
        <w:spacing w:after="80"/>
      </w:pPr>
      <w:r>
        <w:rPr>
          <w:b w:val="0"/>
          <w:i w:val="0"/>
        </w:rPr>
        <w:t>Tất nhiên, một nhà hoạch định chính sách có tư duy cải cách nên bắt đầu càng sớm càng tốt việc giải quyết căn bệnh kinh niên của hệ thống tư pháp dân sự Ý, tức là thời gian xét xử kéo dài và mức độ chuyên môn hóa trung bình thấp của các tòa án, và tất nhiên không chỉ để cải thiện quản trị công ty của các công ty niêm yết. Để làm được điều đó, các cải cách nên giải quyết chính việc quản trị các thiết chế tư pháp dân sự, sao cho động cơ của thẩm phán phù hợp hơn với lợi ích của người dân về một dịch vụ công lý nhanh hơn và chất lượng cao hơn.</w:t>
      </w:r>
    </w:p>
    <w:p>
      <w:pPr>
        <w:spacing w:after="80"/>
      </w:pPr>
      <w:r>
        <w:rPr>
          <w:b w:val="0"/>
          <w:i w:val="0"/>
        </w:rPr>
        <w:t>Một nền văn hóa chính trị thân thiện với thị trường hơn sẽ có tác động lớn hơn nhiều đến khả năng cạnh tranh của thị trường vốn Ý so với bất kỳ cải cách luật công ty nào. Trên thực tế, việc các chính trị gia thuộc cả hai đảng liên tục can thiệp vào việc phân bổ quyền kiểm soát trong các công ty niêm yết và cam kết rõ ràng, đáng tin cậy của họ nhằm giữ quyền kiểm soát trong tay người Ý, nếu một người nước ngoài phát động một cuộc chào mua thù địch (hoặc thậm chí thân thiện) đối với bất kỳ công ty lớn nào của Ý, theo trực giác khiến việc đầu tư vào các công ty niêm yết của Ý trở nên kém hấp dẫn hơn.</w:t>
      </w:r>
    </w:p>
    <w:p>
      <w:pPr>
        <w:spacing w:after="80"/>
      </w:pPr>
      <w:r>
        <w:rPr>
          <w:b w:val="0"/>
          <w:i w:val="0"/>
        </w:rPr>
        <w:t>Từ một góc nhìn khác, vai trò trung tâm mà chính trị vẫn còn nắm giữ trong các hoạt động kinh tế, dù thông qua quy định hay thông qua can thiệp không chính thức, khiến cho việc các công ty niêm yết có những cổ đông chi phối làm cầu nối với các chính trị gia vì lợi ích của cả cổ đông thiểu số trở nên có giá trị. Nói cách khác, trong một môi trường như vậy, các cổ đông chi phối là cái xấu ít tệ hơn: bởi vì họ có thể chống lại bàn tay vơ vét của Nhà nước tốt hơn so với các nhà quản lý không sở hữu, quyền sở hữu (cùng với các mối quan hệ chính trị) trao cho các cổ đông chi phối tính chính danh về mặt xã hội và chính trị cần thiết để bảo vệ công ty. Việc do đó không thể loại bỏ các cổ đông chi phối (có quan hệ chính trị tốt) cũng gây bất lợi cho việc phân bổ quyền kiểm soát hiệu quả và cho hoạt động của thị trường kiểm soát công ty như một công cụ kỷ luật, bởi vì không một người ngoài nào (tức là không một người nước ngoài nào) có thể mong đợi đóng vai trò đó, chứ chưa nói đến việc đóng vai trò đó một cách hiệu quả.</w:t>
      </w:r>
    </w:p>
    <w:p>
      <w:pPr>
        <w:spacing w:after="80"/>
      </w:pPr>
      <w:r>
        <w:rPr>
          <w:b w:val="0"/>
          <w:i w:val="0"/>
        </w:rPr>
        <w:t>Cuối cùng, chủ nghĩa hình thức pháp lý và tư duy pháp lý giáo điều vẫn còn chiếm ưu thế trong các tòa án, các khoa luật và các nghề luật. Điều đó ảnh hưởng tiêu cực đến chất lượng của các thiết chế quản trị công ty, bởi vì để luật pháp bảo vệ hữu hiệu những người nắm giữ cổ phần, thực chất luôn phải thắng hình thức và các chuẩn mực cần được áp dụng một cách sáng tạo (dù với cách tiếp cận thân thiện với thị trường). Trên thực tế, các cổ đông chi phối có nhiều cách để lách các quy tắc rõ ràng hoặc tuân thủ hình thức đúng theo câu chữ của luật. Nếu các tòa án, như tôi đã lập luận ở nơi khác, có xu hướng hình thức chủ nghĩa và phục tùng các quyết định của người nội bộ công ty ngay cả khi những quyết định đó bị vấy bẩn bởi xung đột lợi ích, thì ngay cả các quy tắc thủ tục thân thiện với cổ đông nguyên đơn cũng sẽ tỏ ra không đủ để bảo vệ cổ đông thiểu số. Tương tự, để Consob thực hiện hiệu quả các chức năng bảo vệ nhà đầu tư của mình, cần cho phép nó vượt ra ngoài cách giải thích hình thức chủ nghĩa đối với các quy tắc của chính mình. Tuy nhiên, đó không phải là một hướng hành động thực tế, bởi vì các tòa án hình thức chủ nghĩa xem xét lại các nghị quyết của nó.</w:t>
      </w:r>
    </w:p>
    <w:p>
      <w:pPr>
        <w:spacing w:after="80"/>
      </w:pPr>
      <w:r>
        <w:rPr>
          <w:b w:val="0"/>
          <w:i w:val="0"/>
        </w:rPr>
        <w:t>Liệu có chút cơ hội nào để tiến theo hướng một nền văn hóa pháp lý và chính trị kiểu thông luật hơn, thân thiện với công bằng hơn ở Ý không? Đáng tiếc là có rất ít, nếu không muốn nói là không có gì, có thể làm để thay đổi nền văn hóa chính trị thù địch với thị trường đang chiếm ưu thế rộng khắp, nhưng thực sự có thể nghĩ ra điều gì đó để hiện đại hóa văn hóa pháp lý Ý về lâu dài. Thứ nhất, các quỹ công, bán công (như quỹ của các tổ chức ngân hàng) và tư nhân có thể được huy động để gửi sinh viên tốt nghiệp luật Ý sang Mỹ hoặc Anh theo học các chương trình LLM. Thứ hai, và tham vọng hơn nhiều, có thể thử một cuộc cải cách từ dưới lên đối với giáo dục luật ở Ý. Từ dưới lên, ý tôi là một khởi đầu tốt sẽ là nếu các nhóm học giả, dù nhỏ đến đâu, và tốt nhất là trong cùng một vài khoa luật trên mức trung bình, đầu tư vào việc dạy luật cho sinh viên từ góc độ chức năng. Một lần nữa, các quỹ tư nhân, bán công và có lẽ cả công có thể được sử dụng để trao cho những học giả đó động cơ đầu tư vào nỗ lực như vậy, bù đắp cho chi phí cơ hội cao của họ.</w:t>
      </w:r>
    </w:p>
    <w:p>
      <w:pPr>
        <w:pStyle w:val="Heading5"/>
      </w:pPr>
      <w:r>
        <w:rPr>
          <w:rFonts w:ascii="Calibri" w:hAnsi="Calibri"/>
          <w:b/>
          <w:i/>
          <w:sz w:val="22"/>
        </w:rPr>
        <w:t>Bình luận và Câu hỏi</w:t>
      </w:r>
    </w:p>
    <w:p>
      <w:pPr>
        <w:spacing w:after="80"/>
      </w:pPr>
      <w:r>
        <w:rPr>
          <w:b w:val="0"/>
          <w:i w:val="0"/>
        </w:rPr>
        <w:t>1. Bài viết của Giáo sư Enriques gợi ý về nhu cầu cần tăng cường thực thi tư nhân (private enforcement), đặc biệt thông qua việc mở rộng sử dụng các vụ kiện phái sinh (derivative suits). Tuy nhiên, ông cũng lưu ý rằng các thiết chế thực thi tư nhân ở quốc gia này còn yếu và đặc biệt đề cập đến những vấn đề với hệ thống tư pháp dân sự của Ý. Liệu cái này có thể vận hành mà không cần cái kia không? Điều này gợi ý gì về tính phức tạp của cải cách quản trị?</w:t>
      </w:r>
    </w:p>
    <w:p>
      <w:pPr>
        <w:spacing w:after="80"/>
      </w:pPr>
      <w:r>
        <w:rPr>
          <w:b w:val="0"/>
          <w:i w:val="0"/>
        </w:rPr>
        <w:t xml:space="preserve">2. Còn vấn đề chậm trễ tư pháp thì sao? </w:t>
      </w:r>
      <w:r>
        <w:rPr>
          <w:b w:val="0"/>
          <w:i/>
        </w:rPr>
        <w:t>Xem</w:t>
      </w:r>
      <w:r>
        <w:rPr>
          <w:b w:val="0"/>
          <w:i w:val="0"/>
        </w:rPr>
        <w:t xml:space="preserve"> Marco Ventoruzzo, </w:t>
      </w:r>
      <w:r>
        <w:rPr>
          <w:b w:val="0"/>
          <w:i/>
        </w:rPr>
        <w:t>Issuing New Shares and Preemptive Rights: A Comparative Analysis</w:t>
      </w:r>
      <w:r>
        <w:rPr>
          <w:b w:val="0"/>
          <w:i w:val="0"/>
        </w:rPr>
        <w:t xml:space="preserve"> , 12 Rich. J. Global L. &amp; Bus. 517, 535–35 (2013) (mô tả những trở ngại đối với việc kiện tụng vì vi phạm nghĩa vụ tín thác là “thời gian kéo dài cực kỳ lâu của các vụ kiện dân sự”). Điều này cản trở thực thi tư nhân như thế nào và một số giải pháp khả thi là gì?</w:t>
      </w:r>
    </w:p>
    <w:p>
      <w:pPr>
        <w:spacing w:after="80"/>
      </w:pPr>
      <w:r>
        <w:rPr>
          <w:b w:val="0"/>
          <w:i w:val="0"/>
        </w:rPr>
        <w:t>3. Bài viết này gợi ý gì về vai trò của văn hóa và chính trị trong hệ thống quản trị doanh nghiệp? Làm thế nào để thiết lập một “văn hóa chính trị thân thiện với thị trường” hơn? Bạn có đồng ý rằng một giải pháp (dù chỉ là một phần) là gửi nhiều sinh viên hơn đến Mỹ và Anh để học LLM không? Điều này sẽ đạt được điều gì?</w:t>
      </w:r>
    </w:p>
    <w:p>
      <w:pPr>
        <w:pStyle w:val="Heading2"/>
      </w:pPr>
      <w:r>
        <w:rPr>
          <w:rFonts w:ascii="Calibri" w:hAnsi="Calibri"/>
          <w:b/>
          <w:i w:val="0"/>
          <w:sz w:val="32"/>
        </w:rPr>
        <w:t>IV. Vai trò của Liên minh Châu Âu là gì?</w:t>
      </w:r>
    </w:p>
    <w:p>
      <w:pPr>
        <w:spacing w:after="80"/>
      </w:pPr>
      <w:r>
        <w:rPr>
          <w:b w:val="0"/>
          <w:i w:val="0"/>
        </w:rPr>
        <w:t>Cải cách quản trị thường xảy ra như là kết quả của các chất xúc tác. Một số, như sự sụp đổ của Parmalat, là trong nước. Tuy nhiên, những cái khác lại là bên ngoài. Ở Liên minh Châu Âu, cải cách có thể xảy ra vì nhu cầu thực hiện các quy định nghiêm ngặt của một chỉ thị (directive) liên quan.</w:t>
      </w:r>
    </w:p>
    <w:p>
      <w:pPr>
        <w:spacing w:after="80"/>
      </w:pPr>
      <w:r>
        <w:rPr>
          <w:b w:val="0"/>
          <w:i w:val="0"/>
        </w:rPr>
        <w:t>EU đã và đang thực hiện một thử nghiệm rộng lớn trong việc hài hòa hóa cách tiếp cận quản trị giữa các quốc gia thành viên. Nhiệm vụ phức tạp này phải giải quyết một loạt các cách tiếp cận đa dạng đối với quản trị doanh nghiệp, dù là luật chung hay luật dân sự, hướng đến các bên liên quan hay cổ đông, đang phát triển hay đã phát triển. Trong một công việc thường có thể diễn ra chậm chạp, các chỉ thị xuất phát từ quá trình này sau đó phải được các quốc gia thành viên thực hiện.</w:t>
      </w:r>
    </w:p>
    <w:p>
      <w:pPr>
        <w:pStyle w:val="Heading4"/>
      </w:pPr>
      <w:r>
        <w:rPr>
          <w:rFonts w:ascii="Calibri" w:hAnsi="Calibri"/>
          <w:b/>
          <w:i w:val="0"/>
          <w:sz w:val="23"/>
        </w:rPr>
        <w:t xml:space="preserve">Arthur R. Pinto, </w:t>
      </w:r>
      <w:r>
        <w:rPr>
          <w:rFonts w:ascii="Calibri" w:hAnsi="Calibri"/>
          <w:b/>
          <w:i/>
          <w:sz w:val="23"/>
        </w:rPr>
        <w:t>The European Union's Shareholder Voting</w:t>
      </w:r>
      <w:r>
        <w:br/>
      </w:r>
      <w:r>
        <w:rPr>
          <w:rFonts w:ascii="Calibri" w:hAnsi="Calibri"/>
          <w:b/>
          <w:i/>
          <w:sz w:val="23"/>
        </w:rPr>
        <w:t xml:space="preserve"> Rights Directive from an American Perspective:</w:t>
      </w:r>
      <w:r>
        <w:br/>
      </w:r>
      <w:r>
        <w:rPr>
          <w:rFonts w:ascii="Calibri" w:hAnsi="Calibri"/>
          <w:b/>
          <w:i/>
          <w:sz w:val="23"/>
        </w:rPr>
        <w:t xml:space="preserve"> Some Comparisons and Observations</w:t>
      </w:r>
    </w:p>
    <w:p>
      <w:pPr>
        <w:spacing w:after="80"/>
      </w:pPr>
      <w:r>
        <w:rPr>
          <w:b w:val="0"/>
          <w:i w:val="0"/>
        </w:rPr>
        <w:t>32 Fordham Int'l L.J. 587, 604–09 (2009)</w:t>
      </w:r>
    </w:p>
    <w:p>
      <w:pPr>
        <w:spacing w:after="80"/>
      </w:pPr>
      <w:r>
        <w:rPr>
          <w:b w:val="0"/>
          <w:i w:val="0"/>
        </w:rPr>
        <w:t>III. QUÁ TRÌNH HÀI HÒA HÓA LUẬT CÔNG TY</w:t>
      </w:r>
    </w:p>
    <w:p>
      <w:pPr>
        <w:spacing w:after="80"/>
      </w:pPr>
      <w:r>
        <w:rPr>
          <w:b w:val="0"/>
          <w:i w:val="0"/>
        </w:rPr>
        <w:t>Cho đến năm 1989, đã có chín chỉ thị về luật công ty và một quy định được thực hiện. Từ năm 1989 đến năm 2001, giai đoạn này được mô tả là một thời kỳ trì trệ với những tranh cãi về nhiều vấn đề khác nhau của luật công ty như quy định về thâu tóm và SE, và không có luật công ty quan trọng nào được thông qua ở cấp EU.</w:t>
      </w:r>
    </w:p>
    <w:p>
      <w:pPr>
        <w:spacing w:after="80"/>
      </w:pPr>
      <w:r>
        <w:rPr>
          <w:b w:val="0"/>
          <w:i w:val="0"/>
        </w:rPr>
        <w:t>Nhưng vào cuối những năm 1990, có một nỗ lực mạnh mẽ của EU nhằm cải thiện thị trường vốn và cải thiện thị trường đơn nhất cho các dịch vụ tài chính thông qua kế hoạch hành động dịch vụ tài chính của mình. Với thành công đó, vào năm 2001, Ủy ban đã thành lập Nhóm Chuyên gia Cấp cao về Luật Công ty—còn được gọi là “Nhóm Winter”—để xây dựng kế hoạch hành động cho luật công ty. Nhóm này “để xác định các ưu tiên mới cho sự phát triển rộng lớn hơn trong tương lai của luật công ty ở Liên minh Châu Âu.” Ngoài ra còn có nhu cầu giải quyết việc Nghị viện Châu Âu bác bỏ Chỉ thị Thâu tóm sau hơn một thập kỷ nỗ lực ban hành nó. Trong quá trình làm việc, đã có những vụ bê bối doanh nghiệp ở Hoa Kỳ và việc ban hành Sarbanes-Oxley. Các khuyến nghị của Nhóm Winter đã trở thành cơ sở để Ủy ban EU công bố vào năm 2003 “Modernising Company Law and Enhancing Corporate Governance in the European Union—A Plan to Move Forward,” (“CLAP”).</w:t>
      </w:r>
    </w:p>
    <w:p>
      <w:pPr>
        <w:spacing w:after="80"/>
      </w:pPr>
      <w:r>
        <w:rPr>
          <w:b w:val="0"/>
          <w:i w:val="0"/>
        </w:rPr>
        <w:t>CLAP giải quyết một số vấn đề rộng lớn bao gồm: 1) quản trị doanh nghiệp, 2) duy trì và thay đổi vốn pháp định, 3) các nhóm công ty, 4) tái cơ cấu và dịch chuyển, 5) các hình thức kinh doanh mới của Châu Âu, và 6) tăng cường tính minh bạch. Nhưng mối quan tâm chính của Ủy ban là quản trị doanh nghiệp.</w:t>
      </w:r>
    </w:p>
    <w:p>
      <w:pPr>
        <w:spacing w:after="80"/>
      </w:pPr>
      <w:r>
        <w:rPr>
          <w:b w:val="0"/>
          <w:i w:val="0"/>
        </w:rPr>
        <w:t>IV. CHỈ THỊ VỀ QUYỀN BIỂU QUYẾT</w:t>
      </w:r>
    </w:p>
    <w:p>
      <w:pPr>
        <w:spacing w:after="80"/>
      </w:pPr>
      <w:r>
        <w:rPr>
          <w:b w:val="0"/>
          <w:i w:val="0"/>
        </w:rPr>
        <w:t>Có một số đề xuất về các vấn đề quản trị doanh nghiệp là một phần của CLAP và một số đã được ban hành nhanh chóng, bao gồm Chỉ thị về Quyền Biểu quyết. Có nhiều lý do khác nhau đằng sau việc ban hành Chỉ thị này. Ở phần lớn Châu Âu, không có truyền thống lâu đời về việc bỏ phiếu ủy quyền dễ dàng trực tiếp bởi cổ đông mà không có nhiều ràng buộc, và Chỉ thị về Quyền Biểu quyết giờ đây có thể tăng cường việc bỏ phiếu đó. Đó là việc thúc đẩy quản trị doanh nghiệp tốt thông qua sự tham gia bỏ phiếu của cổ đông, bảo vệ các cổ đông EU không cư trú tại quốc gia nơi công ty của họ đặt trụ sở, bảo vệ các cổ đông cá nhân nhỏ, lo ngại rằng việc tăng quyền sở hữu của các nhà đầu tư nước ngoài có thể tạo ra các công ty với những nhà đầu tư thụ động, sự công nhận việc đầu tư xuyên biên giới gia tăng và tầm quan trọng của các thị trường tích hợp.</w:t>
      </w:r>
    </w:p>
    <w:p>
      <w:pPr>
        <w:spacing w:after="80"/>
      </w:pPr>
      <w:r>
        <w:rPr>
          <w:b w:val="0"/>
          <w:i w:val="0"/>
        </w:rPr>
        <w:t>Chỉ thị về Quyền Biểu quyết đã công nhận rằng các chỉ thị chứng khoán EU trước đây đã cung cấp thông tin công bố cho cổ đông, nhưng cũng có nhu cầu về một số tiêu chuẩn tối thiểu nhất định để bảo vệ nhà đầu tư và thúc đẩy việc thực hiện tự do quyền bỏ phiếu. Mối quan tâm đặc biệt đối với Ủy ban và những người được tham vấn là những trở ngại đối với việc bỏ phiếu xuyên biên giới như “yêu cầu phải phong tỏa cổ phần trước đại hội đồng cổ đông. . ., việc tiếp cận thông tin liên quan đến đại hội đồng cổ đông một cách khó khăn và muộn, và sự phức tạp của việc bỏ phiếu ủy quyền xuyên biên giới.” Do đó, Chỉ thị được thiết kế để cung cấp một số tiêu chuẩn tối thiểu.</w:t>
      </w:r>
    </w:p>
    <w:p>
      <w:pPr>
        <w:spacing w:after="80"/>
      </w:pPr>
      <w:r>
        <w:rPr>
          <w:b w:val="0"/>
          <w:i w:val="0"/>
        </w:rPr>
        <w:t>Chỉ thị về Quyền Biểu quyết là sự pha trộn giữa các nguyên tắc, các quy tắc bắt buộc và các quy tắc trao cho công ty quyền lựa chọn. Các điều khoản chính bao gồm:</w:t>
      </w:r>
    </w:p>
    <w:p>
      <w:pPr>
        <w:spacing w:after="80"/>
      </w:pPr>
      <w:r>
        <w:rPr>
          <w:b w:val="0"/>
          <w:i w:val="0"/>
        </w:rPr>
        <w:t>1. Đối xử bình đẳng với cổ đông về việc tham gia và biểu quyết tại đại hội đồng cổ đông;</w:t>
      </w:r>
    </w:p>
    <w:p>
      <w:pPr>
        <w:spacing w:after="80"/>
      </w:pPr>
      <w:r>
        <w:rPr>
          <w:b w:val="0"/>
          <w:i w:val="0"/>
        </w:rPr>
        <w:t>2. Yêu cầu thông báo về đại hội đồng cổ đông ít nhất 30 ngày và một số thông tin bắt buộc;</w:t>
      </w:r>
    </w:p>
    <w:p>
      <w:pPr>
        <w:spacing w:after="80"/>
      </w:pPr>
      <w:r>
        <w:rPr>
          <w:b w:val="0"/>
          <w:i w:val="0"/>
        </w:rPr>
        <w:t>3. Quyền đưa các mục vào chương trình nghị sự của đại hội đồng cổ đông và đề xuất các dự thảo nghị quyết;</w:t>
      </w:r>
    </w:p>
    <w:p>
      <w:pPr>
        <w:spacing w:after="80"/>
      </w:pPr>
      <w:r>
        <w:rPr>
          <w:b w:val="0"/>
          <w:i w:val="0"/>
        </w:rPr>
        <w:t>4. Loại bỏ các yêu cầu về bất kỳ cơ chế ngăn chặn nào như ký gửi cổ phần vốn hạn chế cổ đông tham gia đại hội đồng cổ đông;</w:t>
      </w:r>
    </w:p>
    <w:p>
      <w:pPr>
        <w:spacing w:after="80"/>
      </w:pPr>
      <w:r>
        <w:rPr>
          <w:b w:val="0"/>
          <w:i w:val="0"/>
        </w:rPr>
        <w:t>5. Quyền của cổ đông đặt câu hỏi về các mục trong chương trình nghị sự và phải được trả lời; và</w:t>
      </w:r>
    </w:p>
    <w:p>
      <w:pPr>
        <w:spacing w:after="80"/>
      </w:pPr>
      <w:r>
        <w:rPr>
          <w:b w:val="0"/>
          <w:i w:val="0"/>
        </w:rPr>
        <w:t>6. Cho phép và tạo điều kiện thuận lợi cho việc biểu quyết thông qua người đại diện theo từng cá nhân và thông qua tài khoản chứng khoán.</w:t>
      </w:r>
    </w:p>
    <w:p>
      <w:pPr>
        <w:spacing w:after="80"/>
      </w:pPr>
      <w:r>
        <w:rPr>
          <w:b w:val="0"/>
          <w:i w:val="0"/>
        </w:rPr>
        <w:t>Chỉ thị cũng cố gắng giải quyết tiềm năng của internet và do đó một trong những mục tiêu của nó là "loại bỏ mọi rào cản pháp lý đối với việc tham gia điện tử vào các đại hội đồng cổ đông." Do những lo ngại về công nghệ và bảo mật, điều này không được quy định là bắt buộc. Chỉ thị có yêu cầu đăng một số thông tin trên internet, chẳng hạn như thông báo họp, số lượng cổ phần và quyền biểu quyết, nội dung của các nghị quyết dự kiến và các tài liệu liên quan cùng các biểu mẫu có thể được sử dụng để biểu quyết. Các câu hỏi cũng có thể được đặt ra bằng phương tiện điện tử trước cuộc họp và câu trả lời có thể được đưa ra nếu thông tin liên quan có sẵn trên trang internet của công ty. Người được ủy quyền đại diện có thể được chỉ định bằng phương tiện điện tử và các Quốc gia Thành viên phải cấm các yêu cầu gây cản trở việc thực hiện quyền biểu quyết bằng phương tiện điện tử, trừ khi cần thiết cho việc nhận dạng cổ đông.</w:t>
      </w:r>
    </w:p>
    <w:p>
      <w:pPr>
        <w:pStyle w:val="Heading5"/>
      </w:pPr>
      <w:r>
        <w:rPr>
          <w:rFonts w:ascii="Calibri" w:hAnsi="Calibri"/>
          <w:b/>
          <w:i/>
          <w:sz w:val="22"/>
        </w:rPr>
        <w:t>Bình luận và Câu hỏi</w:t>
      </w:r>
    </w:p>
    <w:p>
      <w:pPr>
        <w:spacing w:after="80"/>
      </w:pPr>
      <w:r>
        <w:rPr>
          <w:b w:val="0"/>
          <w:i w:val="0"/>
        </w:rPr>
        <w:t xml:space="preserve">1. Việc thông qua các chỉ thị được mô tả là một "quá trình phức tạp và tốn thời gian." Michael C. Schouten, </w:t>
      </w:r>
      <w:r>
        <w:rPr>
          <w:b w:val="0"/>
          <w:i/>
        </w:rPr>
        <w:t>The Political Economy of Cross-Border Voting in Europe</w:t>
      </w:r>
      <w:r>
        <w:rPr>
          <w:b w:val="0"/>
          <w:i w:val="0"/>
        </w:rPr>
        <w:t xml:space="preserve"> , 16 Colum. J. Eur. L. 1, 9 (2009–10). Quá trình hình thành Chỉ thị bắt đầu vào năm 2003 nhưng phải đến năm 2007 và trải qua một "quá trình tham vấn kéo dài" thì Chỉ thị mới ra đời. Luca Enriques &amp; Matteo Gatti, </w:t>
      </w:r>
      <w:r>
        <w:rPr>
          <w:b w:val="0"/>
          <w:i/>
        </w:rPr>
        <w:t>EC Reforms of Corporate Governance and Capital Markets Law: Do They Tackle Insiders' Opportunism?</w:t>
      </w:r>
      <w:r>
        <w:rPr>
          <w:b w:val="0"/>
          <w:i w:val="0"/>
        </w:rPr>
        <w:t xml:space="preserve"> , 28 Nw. J. Int'l L. &amp; Bus. 1, 27 (2007).</w:t>
      </w:r>
    </w:p>
    <w:p>
      <w:pPr>
        <w:spacing w:after="80"/>
      </w:pPr>
      <w:r>
        <w:rPr>
          <w:b w:val="0"/>
          <w:i w:val="0"/>
        </w:rPr>
        <w:t>2. Các quốc gia thành viên được cho đến tháng 8 năm 2009 để tuân thủ Chỉ thị về Quyền Biểu quyết. Tuy nhiên, việc tuân thủ diễn ra chậm chạp. Đức thực hiện các thay đổi vào năm 2009; Ý vào năm 2010. Dù vậy, đến đầu năm 2010, Ủy ban Châu Âu đã gửi thông báo không tuân thủ đến một số quốc gia, bao gồm Bỉ, Tây Ban Nha, Pháp, Hà Lan và Thụy Điển. Điều này gợi ý gì về những khó khăn liên quan đến việc hài hòa hóa các yêu cầu quản trị công ty trong EU?</w:t>
      </w:r>
    </w:p>
    <w:p>
      <w:pPr>
        <w:spacing w:after="80"/>
      </w:pPr>
      <w:r>
        <w:rPr>
          <w:b w:val="0"/>
          <w:i w:val="0"/>
        </w:rPr>
        <w:t xml:space="preserve">3. Chỉ thị quy định rằng "[c]ác cổ đông về nguyên tắc nên có khả năng đưa các mục vào chương trình nghị sự của đại hội đồng cổ đông và đề xuất các dự thảo nghị quyết cho các mục trong chương trình nghị sự." Chỉ thị đặc biệt cho phép quyền này bị hạn chế dựa trên ngưỡng sở hữu không vượt quá 5%. </w:t>
      </w:r>
      <w:r>
        <w:rPr>
          <w:b w:val="0"/>
          <w:i/>
        </w:rPr>
        <w:t>Xem</w:t>
      </w:r>
      <w:r>
        <w:rPr>
          <w:b w:val="0"/>
          <w:i w:val="0"/>
        </w:rPr>
        <w:t xml:space="preserve"> Voting Right Directive, Council Directive No. 2007/36, O.J. L 184/17 (2007). Điều này so sánh thế nào với quyền của cổ đông ở Hoa Kỳ? Với ngưỡng cao như vậy, liệu quyền này có khả năng có nhiều tác dụng không?</w:t>
      </w:r>
    </w:p>
    <w:p>
      <w:pPr>
        <w:spacing w:after="80"/>
      </w:pPr>
      <w:r>
        <w:rPr>
          <w:b w:val="0"/>
          <w:i w:val="0"/>
        </w:rPr>
        <w:t xml:space="preserve">4. Mặc dù được thảo luận nhiều, Chỉ thị đã không bắt buộc một cổ phần một phiếu. Tại sao không? Để có một lời giải thích khả dĩ, </w:t>
      </w:r>
      <w:r>
        <w:rPr>
          <w:b w:val="0"/>
          <w:i/>
        </w:rPr>
        <w:t>xem</w:t>
      </w:r>
      <w:r>
        <w:rPr>
          <w:b w:val="0"/>
          <w:i w:val="0"/>
        </w:rPr>
        <w:t xml:space="preserve"> Jennifer G. Hill, </w:t>
      </w:r>
      <w:r>
        <w:rPr>
          <w:b w:val="0"/>
          <w:i/>
        </w:rPr>
        <w:t>What We Can Learn From Other Statutory Schemes: Regulatory Show and Tell: Lessons from International Statutory Regimes</w:t>
      </w:r>
      <w:r>
        <w:rPr>
          <w:b w:val="0"/>
          <w:i w:val="0"/>
        </w:rPr>
        <w:t xml:space="preserve"> , 33 Del. J. Corp. L. 819, 827 n.60 (2008) ("Có vẻ như các quốc gia có tỷ lệ cao các công ty thuộc sở hữu gia đình, chẳng hạn như các nước Scandinavia, Pháp và Tây Ban Nha, là những nước phản đối chính đối với đề xuất này."). Cũng lưu ý rằng Thụy Điển sử dụng rộng rãi cơ chế biểu quyết hai loại cổ phần, điều này sẽ không nhất quán với nguyên tắc một cổ phần một phiếu.</w:t>
      </w:r>
    </w:p>
    <w:p>
      <w:pPr>
        <w:spacing w:after="80"/>
      </w:pPr>
      <w:r>
        <w:rPr>
          <w:b w:val="0"/>
          <w:i w:val="0"/>
        </w:rPr>
        <w:t>—————</w:t>
      </w:r>
    </w:p>
    <w:p>
      <w:pPr>
        <w:spacing w:after="80"/>
      </w:pPr>
      <w:r>
        <w:rPr>
          <w:b w:val="0"/>
          <w:i w:val="0"/>
        </w:rPr>
        <w:t>Tuy nhiên, có một câu hỏi cơ bản hơn về việc EU quản lý quản trị công ty: Liệu điều đó có quan trọng không?</w:t>
      </w:r>
    </w:p>
    <w:p>
      <w:pPr>
        <w:pStyle w:val="Heading4"/>
      </w:pPr>
      <w:r>
        <w:rPr>
          <w:rFonts w:ascii="Calibri" w:hAnsi="Calibri"/>
          <w:b/>
          <w:i w:val="0"/>
          <w:sz w:val="23"/>
        </w:rPr>
        <w:t xml:space="preserve">Luca Enriques, </w:t>
      </w:r>
      <w:r>
        <w:rPr>
          <w:rFonts w:ascii="Calibri" w:hAnsi="Calibri"/>
          <w:b/>
          <w:i/>
          <w:sz w:val="23"/>
        </w:rPr>
        <w:t>EC Company Law Directives and Regulations:</w:t>
      </w:r>
      <w:r>
        <w:br/>
      </w:r>
      <w:r>
        <w:rPr>
          <w:rFonts w:ascii="Calibri" w:hAnsi="Calibri"/>
          <w:b/>
          <w:i/>
          <w:sz w:val="23"/>
        </w:rPr>
        <w:t xml:space="preserve"> How Trivial Are They?</w:t>
      </w:r>
    </w:p>
    <w:p>
      <w:pPr>
        <w:spacing w:after="80"/>
      </w:pPr>
      <w:r>
        <w:rPr>
          <w:b w:val="0"/>
          <w:i w:val="0"/>
        </w:rPr>
        <w:t>27 U. Pa. J. Int'l Econ. L. 1, 12–17 (2007)</w:t>
      </w:r>
    </w:p>
    <w:p>
      <w:pPr>
        <w:spacing w:after="80"/>
      </w:pPr>
      <w:r>
        <w:rPr>
          <w:b w:val="0"/>
          <w:i w:val="0"/>
        </w:rPr>
        <w:t>Ủy ban [châu Âu] vốn dĩ thiếu nguồn lực để giám sát việc các Quốc gia Thành viên tuân thủ các chỉ thị về luật công ty; chưa từng có hoạt động thực thi đáng kể nào "từ cơ sở", dưới hình thức thủ tục tham vấn sơ bộ của Tòa án Công lý châu Âu ("ECJ") từ các tòa án quốc gia, bù đắp được cho điều này. Cho đến nay, ECJ (cơ quan không có quyền kiểm soát danh mục vụ án) đã ra phán quyết cho chưa đến hai mươi lăm thủ tục tham vấn sơ bộ liên quan đến luật công ty thứ cấp của EC.</w:t>
      </w:r>
    </w:p>
    <w:p>
      <w:pPr>
        <w:spacing w:after="80"/>
      </w:pPr>
      <w:r>
        <w:rPr>
          <w:b w:val="0"/>
          <w:i w:val="0"/>
        </w:rPr>
        <w:t>Tất nhiên, các Quốc gia Thành viên vẫn thực hiện các chỉ thị, dù thường với độ trễ đáng kể. Tuy nhiên, có thể tìm thấy nhiều trường hợp lớn về các quy tắc thực thi rõ ràng trái với nội dung của các chỉ thị trên khắp EU. . . .</w:t>
      </w:r>
    </w:p>
    <w:p>
      <w:pPr>
        <w:spacing w:after="80"/>
      </w:pPr>
      <w:r>
        <w:rPr>
          <w:b w:val="0"/>
          <w:i w:val="0"/>
        </w:rPr>
        <w:t>Nguy hiểm hơn nữa là việc các Quốc gia Thành viên đôi khi đã không thực thi các quy tắc thực thi. Một lần nữa, Đức là ví dụ điển hình liên quan đến nghĩa vụ công bố báo cáo tài chính hằng năm theo Chỉ thị Hội đồng lần thứ tư. Mặc dù hầu hết các công ty tư nhân ("GmbH") đều không tuân thủ, nhưng không có chế tài nào được áp dụng, bởi vì các quy tắc về chế tài đã được soạn thảo theo cách khiến chúng gần như không thể áp dụng trên thực tế. Mười lăm năm sau thời hạn thực hiện các quy định liên quan của EC, ECJ cuối cùng đã tuyên bố rằng Đức đã không tuân thủ các nghĩa vụ của mình theo luật EC. Bất chấp những thay đổi trong các quy tắc điều chỉnh nghĩa vụ công bố nhằm giúp việc áp dụng chế tài dễ dàng hơn, hầu hết các công ty Đức vẫn không công bố báo cáo tài chính của mình. Điều này dấy lên nghi ngờ (dĩ nhiên, chỉ là nghi ngờ) rằng các quy tắc kế toán thực thi Chỉ thị Hội đồng lần thứ tư cũng có thể thường bị vi phạm: khi không công bố cho công chúng, chắc chắn sẽ có ít động lực hơn để cung cấp báo cáo tài chính trung thực và hợp lý.</w:t>
      </w:r>
    </w:p>
    <w:p>
      <w:pPr>
        <w:spacing w:after="80"/>
      </w:pPr>
      <w:r>
        <w:rPr>
          <w:b w:val="0"/>
          <w:i w:val="0"/>
        </w:rPr>
        <w:t>Luật chứng khoán của EC, như Báo cáo Lamfalussy đã thừa nhận, cũng là một lĩnh vực mà các Quốc gia Thành viên thường vi phạm luật Cộng đồng với rất ít hoạt động thực thi sau đó từ phía EC. Còn quá sớm để nói liệu làn sóng chỉ thị chứng khoán mới, cùng với cấu trúc Lamfalussy và đặc biệt là các công cụ quản lý Cấp 3 và Cấp 4 của nó, có thay đổi được tình trạng này hay không.</w:t>
      </w:r>
    </w:p>
    <w:p>
      <w:pPr>
        <w:spacing w:after="80"/>
      </w:pPr>
      <w:r>
        <w:rPr>
          <w:b w:val="0"/>
          <w:i w:val="0"/>
        </w:rPr>
        <w:t>Một quá trình "xói mòn có chủ ý hoặc vô ý" cũng có thể diễn ra, theo đó các luật quốc gia mới sửa đổi các quy tắc thực thi chỉ thị EC theo cách không nhất quán với chỉ thị, một hiện tượng "có thể xảy ra mà các cơ quan chức năng Cộng đồng không hề hay biết hoặc không có khả năng đánh giá tác động của nó."</w:t>
      </w:r>
    </w:p>
    <w:p>
      <w:pPr>
        <w:spacing w:after="80"/>
      </w:pPr>
      <w:r>
        <w:rPr>
          <w:b w:val="0"/>
          <w:i w:val="0"/>
        </w:rPr>
        <w:t>Có thể tìm thấy những ví dụ điển hình về sự xói mòn trong các diễn biến luật công ty gần đây ở Ý. Cuộc cải cách luật công ty toàn diện năm 2003 vi phạm trắng trợn Chỉ thị Hội đồng lần thứ hai ở một số khía cạnh. Chẳng hạn, trái với Điều 18, khoản 1 của Chỉ thị Hội đồng lần thứ hai, vốn cấm hoàn toàn việc đăng ký mua cổ phần của chính mình, Điều 2357-ter, khoản 2 của Bộ luật Dân sự Ý hiện quy định rằng đại hội cổ đông có thể cho phép công ty thực hiện quyền ưu tiên liên quan đến cổ phiếu quỹ của mình và do đó đăng ký mua cổ phần của chính mình. Ngoài ra, trái với Điều 13 của Chỉ thị Hội đồng lần thứ hai, các quy định về chuyển đổi công ty không yêu cầu báo cáo chuyên gia đánh giá rằng giá trị tài sản ròng của một công ty trách nhiệm hữu hạn tư nhân ("societa a responsabilita limitata") đang được chuyển đổi thành công ty đại chúng ("societa per azioni") ít nhất tương ứng với vốn pháp định của pháp nhân sau chuyển đổi.</w:t>
      </w:r>
    </w:p>
    <w:p>
      <w:pPr>
        <w:spacing w:after="80"/>
      </w:pPr>
      <w:r>
        <w:rPr>
          <w:b w:val="0"/>
          <w:i w:val="0"/>
        </w:rPr>
        <w:t>Cuối cùng, việc các chỉ thị không có hiệu lực trực tiếp theo chiều ngang càng làm giảm tác động của luật EC đối với luật công ty trong các Quốc gia Thành viên. Như ECJ đã nhiều lần nhắc lại, các chỉ thị hướng đến các Quốc gia Thành viên, và các bên tư nhân không thể viện dẫn chúng trong quan hệ với các bên tư nhân khác. Điều này có nghĩa là các luật công ty quốc gia xung đột với một chỉ thị vẫn còn hiệu lực đối với các bên tư nhân cho đến khi chúng bị cơ quan lập pháp quốc gia bãi bỏ, ngay cả khi trong lúc đó ECJ phát hiện rằng chúng vi phạm chỉ thị. Chắc chắn rằng, Tòa án cũng đã phán quyết rằng, khi áp dụng luật quốc gia, các tòa án quốc gia phải giải thích luật quốc gia "càng nhiều càng tốt, dựa trên nội dung và mục đích của chỉ thị để đạt được kết quả mà chỉ thị theo đuổi." . . .</w:t>
      </w:r>
    </w:p>
    <w:p>
      <w:pPr>
        <w:pStyle w:val="Heading5"/>
      </w:pPr>
      <w:r>
        <w:rPr>
          <w:rFonts w:ascii="Calibri" w:hAnsi="Calibri"/>
          <w:b/>
          <w:i/>
          <w:sz w:val="22"/>
        </w:rPr>
        <w:t>Bình luận và Câu hỏi</w:t>
      </w:r>
    </w:p>
    <w:p>
      <w:pPr>
        <w:spacing w:after="80"/>
      </w:pPr>
      <w:r>
        <w:rPr>
          <w:b w:val="0"/>
          <w:i w:val="0"/>
        </w:rPr>
        <w:t>1. Điều gì giải thích sự kháng cự đối với việc hài hòa hóa thường thấy một khi một chỉ thị đã được ban hành? Việc kỳ vọng các thành viên EU hài hòa hóa luật của họ với các Chỉ thị như chỉ thị về quyền cổ đông thực tế đến mức nào?</w:t>
      </w:r>
    </w:p>
    <w:p>
      <w:pPr>
        <w:spacing w:after="80"/>
      </w:pPr>
      <w:r>
        <w:rPr>
          <w:b w:val="0"/>
          <w:i w:val="0"/>
        </w:rPr>
        <w:t>2. Trong khi một số quốc gia chưa thực hiện Chỉ thị về Quyền Cổ đông đúng thời hạn đã định, nhiều quốc gia đã thực hiện. Điều gì giải thích sự khác biệt về mức độ tuân thủ? Điều đó có liên quan gì đến các chủ đề được đề cập không? Ví dụ, tại sao EU chưa ban hành chỉ thị về nghĩa vụ tín thác (fiduciary duties) hay các vụ kiện phái sinh (derivative suits)?</w:t>
      </w:r>
    </w:p>
    <w:p>
      <w:pPr>
        <w:spacing w:after="80"/>
      </w:pPr>
      <w:r>
        <w:rPr>
          <w:b w:val="0"/>
          <w:i w:val="0"/>
        </w:rPr>
        <w:t>3. Có cách nào tốt hơn để khuyến khích sự thống nhất không? Còn về việc cạnh tranh giữa các quốc gia châu Âu để giành điều lệ công ty, giống như cách các bang ở Mỹ cạnh tranh thì sao? Điều này có thể dẫn đến hài hòa hóa không? Nó có dẫn đến hài hòa hóa ở Mỹ không?</w:t>
      </w:r>
    </w:p>
    <w:p>
      <w:pPr>
        <w:spacing w:after="80"/>
      </w:pPr>
      <w:r>
        <w:rPr>
          <w:b w:val="0"/>
          <w:i w:val="0"/>
        </w:rPr>
        <w:t>4. Các quốc gia châu Âu có một phiên bản của học thuyết công việc nội bộ (internal affairs doctrine), mặc dù các tiêu chí kiểm tra có khác nhau. Một số áp dụng luật của quốc gia nơi công ty được thành lập. Số khác áp dụng luật nơi công ty đặt trụ sở chính (cái gọi là lý thuyết "trụ sở thực" - real seat). Những lý thuyết khác nhau này có thể có tác động gì đến mục tiêu hài hòa hóa?</w:t>
      </w:r>
    </w:p>
    <w:p>
      <w:pPr>
        <w:spacing w:after="80"/>
      </w:pPr>
      <w:r>
        <w:rPr>
          <w:b w:val="0"/>
          <w:i w:val="0"/>
        </w:rPr>
        <w:t xml:space="preserve">5. Giả sử có một số ứng dụng của học thuyết công việc nội bộ ở EU, liệu nó có hiệu quả mà không có quyền tái thành lập (reincorporate) không? Việc tái thành lập đã bị cấm hoặc hạn chế ở một số quốc gia châu Âu, mặc dù điều này rõ ràng đang thay đổi chậm chạp. </w:t>
      </w:r>
      <w:r>
        <w:rPr>
          <w:b w:val="0"/>
          <w:i/>
        </w:rPr>
        <w:t>Xem</w:t>
      </w:r>
      <w:r>
        <w:rPr>
          <w:b w:val="0"/>
          <w:i w:val="0"/>
        </w:rPr>
        <w:t xml:space="preserve"> Federico M. Mucciarelli, </w:t>
      </w:r>
      <w:r>
        <w:rPr>
          <w:b w:val="0"/>
          <w:i/>
        </w:rPr>
        <w:t>Freedom of Reincorporation and the Scope of Corporate Law in the U.S. and the E.U.</w:t>
      </w:r>
      <w:r>
        <w:rPr>
          <w:b w:val="0"/>
          <w:i w:val="0"/>
        </w:rPr>
        <w:t xml:space="preserve"> , NYU Center for Law, Economics and Organization, Law &amp; Economics Research Paper Series, Working Paper No. 11-07 (Mar. 2011). Điều này có thể có tác động gì đến mục tiêu hài hòa hóa luật công ty ở EU?</w:t>
      </w:r>
    </w:p>
    <w:p>
      <w:pPr>
        <w:spacing w:after="80"/>
      </w:pPr>
      <w:r>
        <w:rPr>
          <w:b w:val="0"/>
          <w:i w:val="0"/>
        </w:rPr>
        <w:t>—————</w:t>
      </w:r>
    </w:p>
    <w:p>
      <w:pPr>
        <w:spacing w:after="80"/>
      </w:pPr>
      <w:r>
        <w:rPr>
          <w:b w:val="0"/>
          <w:i w:val="0"/>
        </w:rPr>
        <w:t>Những khó khăn trong cách tiếp cận của EU đối với việc hài hòa hóa các thông lệ quản trị không hề bị bỏ qua. Người ta đã nỗ lực thực hiện một cách tiếp cận linh hoạt hơn, cho phép hài hòa hóa như kết quả của một "cuộc đua lên đỉnh" (race to the top).</w:t>
      </w:r>
    </w:p>
    <w:p>
      <w:pPr>
        <w:pStyle w:val="Heading4"/>
      </w:pPr>
      <w:r>
        <w:rPr>
          <w:rFonts w:ascii="Calibri" w:hAnsi="Calibri"/>
          <w:b/>
          <w:i w:val="0"/>
          <w:sz w:val="23"/>
        </w:rPr>
        <w:t xml:space="preserve">Shuangge Wen, </w:t>
      </w:r>
      <w:r>
        <w:rPr>
          <w:rFonts w:ascii="Calibri" w:hAnsi="Calibri"/>
          <w:b/>
          <w:i/>
          <w:sz w:val="23"/>
        </w:rPr>
        <w:t>Ít hơn là nhiều hơn—Một góc nhìn phê phán về hành động tiếp theo của EU</w:t>
      </w:r>
      <w:r>
        <w:br/>
      </w:r>
      <w:r>
        <w:rPr>
          <w:rFonts w:ascii="Calibri" w:hAnsi="Calibri"/>
          <w:b/>
          <w:i/>
          <w:sz w:val="23"/>
        </w:rPr>
        <w:t xml:space="preserve"> hướng tới một khuôn khổ quản trị doanh nghiệp</w:t>
      </w:r>
      <w:r>
        <w:br/>
      </w:r>
      <w:r>
        <w:rPr>
          <w:rFonts w:ascii="Calibri" w:hAnsi="Calibri"/>
          <w:b/>
          <w:i/>
          <w:sz w:val="23"/>
        </w:rPr>
        <w:t xml:space="preserve"> hài hòa sau khủng hoảng</w:t>
      </w:r>
    </w:p>
    <w:p>
      <w:pPr>
        <w:spacing w:after="80"/>
      </w:pPr>
      <w:r>
        <w:rPr>
          <w:b w:val="0"/>
          <w:i w:val="0"/>
        </w:rPr>
        <w:t>12 Wash. U. Global Stud. L. Rev. 41 (2013)</w:t>
      </w:r>
    </w:p>
    <w:p>
      <w:pPr>
        <w:spacing w:after="80"/>
      </w:pPr>
      <w:r>
        <w:rPr>
          <w:b w:val="0"/>
          <w:i w:val="0"/>
        </w:rPr>
        <w:t>Nhận thấy nhiều quốc gia thành viên kêu gọi sự linh hoạt hơn, sự kết hợp giữa luật pháp và luật mềm (soft law) nhằm cho phép hội tụ "từ dưới lên" và việc sử dụng rộng rãi hơn các công cụ thay thế cho luật chính đã được nêu là chủ đề chính trong hành động của EU về quản trị doanh nghiệp trong thiên niên kỷ mới. Người ta đề xuất rằng một khuôn khổ hài hòa nên đạt được theo thời gian thông qua "một sự phối hợp nhất định" giữa các bộ quy tắc thực hành quốc gia dựa trên "các thông lệ tốt nhất", phản ánh sự phát triển vượt bậc của các bộ quy tắc và hướng dẫn tự nguyện ở các quốc gia thành viên trong vài thập kỷ qua. So với các chỉ thị truyền thống, vốn tạo ra "một sự 'hóa đá' nhất định" đối với hoạt động doanh nghiệp, các bộ quy tắc quản trị doanh nghiệp này thường được xây dựng trên cơ sở quốc gia và "mang lại cho doanh nghiệp tính chính danh đáng kể" bằng cách phản ánh những gì mà các tổ chức công hoặc tư cho là thông lệ tốt nhất. Như được mô tả trong báo cáo toàn diện gần đây của EU về các bộ quy tắc quản trị doanh nghiệp, "[c]ác bộ quy tắc—cùng với áp lực thị trường—có thể đóng vai trò như một lực lượng hội tụ, bằng cách tập trung sự chú ý và thảo luận vào các vấn đề quản trị, đưa ra các khuyến nghị về thông lệ tốt nhất và khuyến khích các công ty áp dụng chúng."</w:t>
      </w:r>
    </w:p>
    <w:p>
      <w:pPr>
        <w:spacing w:after="80"/>
      </w:pPr>
      <w:r>
        <w:rPr>
          <w:b w:val="0"/>
          <w:i w:val="0"/>
        </w:rPr>
        <w:t>Khi phác họa cách tiếp cận dựa trên bộ quy tắc mới, một bộ quy tắc quản trị doanh nghiệp châu Âu thống nhất toàn diện đã bị bác bỏ với lý do rằng những đặc thù trong hệ thống quản trị doanh nghiệp của các quốc gia thành viên có ảnh hưởng mạnh mẽ đến mức một bộ quy tắc chung của EU hoặc sẽ trừu tượng một cách vô nghĩa, hoặc sẽ trở thành một văn bản rất phức tạp nhằm bao quát mọi tình huống phát sinh từ các thông lệ và quy tắc địa phương đa dạng, mà điều đó sẽ không mang lại thay đổi đáng kể nào cho bối cảnh hiện tại. Điều này phù hợp với quan điểm được chấp nhận rộng rãi rằng hội nhập châu Âu sẽ hoạt động tốt nhất khi nó hỗ trợ, chứ không phải làm suy yếu, các giá trị đặc thù của các quốc gia thành viên. Đặt điều này trong bối cảnh rộng hơn, có thể gợi ý rằng cách tiếp cận dựa trên bộ quy tắc này là một trong nhiều phản hồi đối với sự phê phán mạnh mẽ của giới học thuật về chủ nghĩa siêu quốc gia quá mức thể hiện trong thực tiễn hài hòa hóa ban đầu của Liên minh. Thật vậy, giờ đây ít ai phản đối rằng Liên minh chỉ nên đảm nhận vai trò can thiệp tích cực một cách thận trọng, khi có thể chứng minh được tính ưu việt của nó so với hành động quốc gia hoặc địa phương. Các nguyên tắc bổ trợ và tương xứng trong Điều 5 của TEU được xây dựng chính xác để giải quyết vấn đề này bằng cách thừa nhận sự cần thiết của can thiệp sâu của Liên minh trong một số lĩnh vực nhất định.</w:t>
      </w:r>
    </w:p>
    <w:p>
      <w:pPr>
        <w:spacing w:after="80"/>
      </w:pPr>
      <w:r>
        <w:rPr>
          <w:b w:val="0"/>
          <w:i w:val="0"/>
        </w:rPr>
        <w:t>Để tạo điều kiện cho xu hướng hội tụ từ dưới lên được dự đoán, Ủy ban châu Âu đã chuyển sự chú ý sang việc hài hòa hóa một cách tích cực không phải nội dung, mà là các cơ chế thực thi, mà như sẽ trở nên rõ ràng, đã là một quá trình khá đáng thất vọng. Hai bước đi tiếp theo đã được Ủy ban châu Âu đưa ra để đồng hành cùng các nỗ lực hài hòa hóa dựa trên bộ quy tắc. Đó là việc thành lập Diễn đàn Quản trị Doanh nghiệp châu Âu vào năm 2004 và việc ghi nhận cách tiếp cận Tuân thủ hoặc Giải thích (Comply-or-Explain) như được quy định bởi Chỉ thị 2006/46/EC. Theo Điều 46(a) của chỉ thị, một công ty niêm yết bắt buộc phải đưa vào báo cáo thường niên của mình một tuyên bố về quản trị doanh nghiệp có tham chiếu đến bộ quy tắc quản trị doanh nghiệp quốc gia mà công ty phải tuân theo. Trong khi các chỉ thị và khuyến nghị tiếp tục được đưa ra trong các lĩnh vực cụ thể, cách tiếp cận dựa trên bộ quy tắc được hỗ trợ bởi việc áp dụng bắt buộc nguyên tắc tuân thủ hoặc giải thích giờ đây được giới học thuật gọi là "hài hòa hóa thủ tục" (procedural harmonization), và nó hoạt động như cách tiếp cận châu Âu chính đối với quản trị doanh nghiệp.</w:t>
      </w:r>
    </w:p>
    <w:p>
      <w:pPr>
        <w:spacing w:after="80"/>
      </w:pPr>
      <w:r>
        <w:rPr>
          <w:b w:val="0"/>
          <w:i w:val="0"/>
        </w:rPr>
        <w:t>* * *</w:t>
      </w:r>
    </w:p>
    <w:p>
      <w:pPr>
        <w:spacing w:after="80"/>
      </w:pPr>
      <w:r>
        <w:rPr>
          <w:b w:val="0"/>
          <w:i w:val="0"/>
        </w:rPr>
        <w:t>Tuy nhiên, kinh nghiệm của EU với cách tiếp cận tuân thủ hoặc giải thích lại một lần nữa thách thức tính hiệu quả của các hoạt động hội nhập của Liên minh liên quan đến quản trị doanh nghiệp. Nó càng chứng minh quan điểm rằng một quy tắc quốc gia tốt về quản trị doanh nghiệp không nhất thiết hoạt động hiệu quả như vậy ở cấp độ châu Âu. Trước khi được đưa vào khuôn khổ quản trị doanh nghiệp của EU, cách tiếp cận tuân thủ hoặc giải thích được biết đến như "thương hiệu của quản trị doanh nghiệp ở Vương quốc Anh", và nó đã tồn tại từ khi các bộ quy tắc tự nguyện ra đời. Ở Vương quốc Anh, nơi nguyên tắc tuân thủ hoặc giải thích khởi nguồn và phát triển mạnh mẽ, cách tiếp cận này đã được các doanh nghiệp đón nhận nồng nhiệt và được đánh giá cao nhờ tính linh hoạt. Dữ liệu cũng cho thấy tỷ lệ tuân thủ cao một cách thỏa đáng đối với hầu hết các quy định của Bộ quy tắc Quản trị Doanh nghiệp Vương quốc Anh bởi các công ty thuộc mọi quy mô. Khi các công ty thực sự đi chệch khỏi Bộ quy tắc, hầu hết đều cố gắng trình bày rõ ràng lý do của họ và các biện pháp họ đưa ra để cung cấp các biện pháp bảo vệ thay thế. Tuy nhiên, tính hiệu quả của nguyên tắc tuân thủ hoặc giải thích đã bị thách thức kể từ khi nó xuất hiện trong luật châu Âu. Các nghiên cứu gần đây được mô tả trong Sách Xanh (Green Paper) đặt nghi ngờ về hiệu lực của nó như một chính sách của EU, gọi nó là thứ "làm giảm hiệu quả của khuôn khổ quản trị doanh nghiệp của EU và hạn chế tính hữu ích của hệ thống."</w:t>
      </w:r>
    </w:p>
    <w:p>
      <w:pPr>
        <w:spacing w:after="80"/>
      </w:pPr>
      <w:r>
        <w:rPr>
          <w:b w:val="0"/>
          <w:i w:val="0"/>
        </w:rPr>
        <w:t>Phần lớn những lời chỉ trích cho đến nay đều nhắm vào những khiếm khuyết cố hữu của tuân thủ hoặc giải thích mà không thách thức sự can thiệp quản lý không cần thiết của Liên minh. Hệ thống dựa trên bộ quy tắc linh hoạt đã được Vương quốc Anh ủng hộ trong mười lăm năm qua nhờ sự thịnh vượng của nền kinh tế dựa trên thị trường của Vương quốc Anh và vai trò mạnh mẽ của Sở Giao dịch Chứng khoán Luân Đôn như một cơ quan tự quản lý. Nguyên tắc tuân thủ hoặc giải thích, phản ánh môi trường gắn bó của nó, chủ yếu dựa trên vai trò mạnh mẽ của thị trường trong việc kiểm soát doanh nghiệp, chủ yếu kỷ luật các công ty không tuân thủ bằng cách hạ giá cổ phiếu của họ. Nền tảng kinh tế dựa trên thị trường và truyền thống tự quản lý này không hiện diện ở nhiều quốc gia thành viên khác, điều này đặt ra câu hỏi về tính phù hợp của cách tiếp cận này ở các quốc gia khác. Trên thực tế, việc thực hiện rộng khắp tuân thủ hoặc giải thích trên toàn châu Âu đã có tác động gây xáo trộn nhiều hơn đối với các hệ thống thực thi quốc gia, vốn được thiết lập và vận hành một cách mạch lạc trước biện pháp của cộng đồng. Trong hơn 60% các trường hợp đi chệch, nguyên tắc này đã bị các công ty lạm dụng khi họ không đưa ra lời giải thích đầy đủ khi chọn không áp dụng các khuyến nghị từ bộ quy tắc; "họ hoặc chỉ đơn thuần tuyên bố rằng họ đã đi chệch khỏi một khuyến nghị mà không có bất kỳ giải thích nào thêm, hoặc họ chỉ đưa ra một lời giải thích chung chung hoặc hạn chế." Người ta nghi ngờ rằng nhiều công ty ủng hộ khái niệm tuân thủ hoặc giải thích chỉ đơn giản vì họ có thể dễ dàng thoát khỏi việc đi chệch. Liên quan đến yêu cầu của Bộ quy tắc Quản trị Doanh nghiệp Đức về việc công bố thù lao của các giám đốc điều hành công ty trên cơ sở cá nhân, chỉ một thiểu số nhỏ các công ty (10 trong số 126 trong mẫu năm 2002 và 22 trong số 146 trong mẫu năm 2003) thực sự tuân thủ đề xuất này.</w:t>
      </w:r>
    </w:p>
    <w:p>
      <w:pPr>
        <w:spacing w:after="80"/>
      </w:pPr>
      <w:r>
        <w:rPr>
          <w:b w:val="0"/>
          <w:i w:val="0"/>
        </w:rPr>
        <w:t>Tính hiệu quả của nguyên tắc tuân thủ hoặc giải thích trong hài hòa hóa châu Âu càng trở nên đáng ngờ hơn vì EU bắt buộc thực hiện, nhưng lại không đáp ứng nhu cầu bổ sung về các cơ chế giám sát và kỷ luật phù hợp. Vấn đề này, theo Điều 60(a) của chỉ thị, được giải quyết thông qua "tự quản" ở các quốc gia thành viên, điều này tạo ra một bức tranh đa diện. Một số phương án khác nhau cho đến nay đã được các quốc gia thành viên sử dụng trong việc áp dụng ý tưởng tuân thủ hoặc giải thích, bao gồm: hòa nhập vào các quy tắc niêm yết địa phương, tự thể hiện trong các bộ quy tắc, hoặc ghi nhận trong một hỗn hợp các quy định công và tư—các quy tắc niêm yết tham chiếu đến bộ quy tắc và luật, trong khi quy định về chứng khoán áp đặt cách tiếp cận tuân thủ hoặc giải thích. Để tăng thêm sự phức tạp này, các phương pháp thực hiện quốc gia còn được phân biệt thêm bởi phạm vi của các bộ quy tắc quốc gia được tùy chỉnh cho các loại công ty đa dạng. Hiện nay, một số quốc gia thành viên có các bộ quy tắc quản trị doanh nghiệp cụ thể được thiết kế riêng cho các công ty niêm yết vừa và nhỏ. Tuy nhiên, ở các khu vực pháp lý khác, các bộ quy tắc được thiết kế để áp dụng cho tất cả các công ty niêm yết, với các quy định cụ thể dành cho các công ty nhỏ hơn. Những khác biệt địa phương trong việc áp dụng cách tiếp cận tuân thủ hoặc giải thích chắc chắn dẫn đến các kết quả thực thi đa dạng, và do đó góp phần vào bối cảnh quản trị doanh nghiệp châu Âu vẫn tiếp tục bị phân mảnh.</w:t>
      </w:r>
    </w:p>
    <w:p>
      <w:pPr>
        <w:pStyle w:val="Heading5"/>
      </w:pPr>
      <w:r>
        <w:rPr>
          <w:rFonts w:ascii="Calibri" w:hAnsi="Calibri"/>
          <w:b/>
          <w:i/>
          <w:sz w:val="22"/>
        </w:rPr>
        <w:t>Bình luận và Câu hỏi</w:t>
      </w:r>
    </w:p>
    <w:p>
      <w:pPr>
        <w:spacing w:after="80"/>
      </w:pPr>
      <w:r>
        <w:rPr>
          <w:b w:val="0"/>
          <w:i w:val="0"/>
        </w:rPr>
        <w:t>1. Bài viết gợi ý chuyển hướng khỏi các yêu cầu mang tính cấm đoán, thay thế bằng mục tiêu hội tụ thông qua phối hợp các bộ quy tắc quốc gia. Một số ưu điểm và nhược điểm của cách tiếp cận này là gì?</w:t>
      </w:r>
    </w:p>
    <w:p>
      <w:pPr>
        <w:spacing w:after="80"/>
      </w:pPr>
      <w:r>
        <w:rPr>
          <w:b w:val="0"/>
          <w:i w:val="0"/>
        </w:rPr>
        <w:t>2. Cho rằng hầu hết các quốc gia đã có các bộ quy tắc quản trị doanh nghiệp, vai trò chính xác của EU trong việc khuyến khích hội tụ là gì?</w:t>
      </w:r>
    </w:p>
    <w:p>
      <w:pPr>
        <w:spacing w:after="80"/>
      </w:pPr>
      <w:r>
        <w:rPr>
          <w:b w:val="0"/>
          <w:i w:val="0"/>
        </w:rPr>
        <w:t xml:space="preserve">3. Việc dựa vào hệ thống tuân thủ hoặc giải thích có lẽ được đặt nền tảng trên việc công bố chính xác các trường hợp đi chệch khỏi bất kỳ bộ quy tắc nào. EU đã bước vào lĩnh vực này. </w:t>
      </w:r>
      <w:r>
        <w:rPr>
          <w:b w:val="0"/>
          <w:i/>
        </w:rPr>
        <w:t>Xem</w:t>
      </w:r>
      <w:r>
        <w:rPr>
          <w:b w:val="0"/>
          <w:i w:val="0"/>
        </w:rPr>
        <w:t xml:space="preserve"> Điều 20(1) của Chỉ thị 2013/34/EU (yêu cầu các công ty niêm yết giải thích các trường hợp đi chệch khỏi các bộ quy tắc quản trị). Tuy nhiên, chất lượng công bố thông tin đã là một vấn đề. Nhận thấy rằng các công ty "không đưa ra lời giải thích phù hợp khi họ đi chệch" khỏi các bộ quy tắc này, EU đã thông qua một khuyến nghị nhằm "cải thiện chất lượng tổng thể của các tuyên bố quản trị doanh nghiệp". Tuy nhiên, hướng dẫn này không "có tính ràng buộc pháp lý." </w:t>
      </w:r>
      <w:r>
        <w:rPr>
          <w:b w:val="0"/>
          <w:i/>
        </w:rPr>
        <w:t>Xem</w:t>
      </w:r>
      <w:r>
        <w:rPr>
          <w:b w:val="0"/>
          <w:i w:val="0"/>
        </w:rPr>
        <w:t xml:space="preserve"> Khuyến nghị của Ủy ban về Chất lượng Báo cáo Quản trị Doanh nghiệp ('Tuân thủ hoặc Giải thích'), 2014/208/EU (ngày 9 tháng 4 năm 2014). Kết quả là, các quốc gia thành viên chỉ được khuyến nghị "lưu ý" cách giải thích này "đến các cơ quan chịu trách nhiệm về các bộ quy tắc quản trị doanh nghiệp quốc gia, các công ty niêm yết và các bên liên quan khác." Cách tiếp cận này có khả năng hiệu quả đến mức nào?</w:t>
      </w:r>
    </w:p>
    <w:p>
      <w:pPr>
        <w:spacing w:after="80"/>
      </w:pPr>
      <w:r>
        <w:rPr>
          <w:b w:val="0"/>
          <w:i w:val="0"/>
        </w:rPr>
        <w:t>4. Không phải mọi lĩnh vực đều được để cho tuân thủ hoặc giải thích. Vào năm 2014, Nghị viện châu Âu đã thông qua một chỉ thị yêu cầu các công ty niêm yết "công bố thông tin về các chính sách, rủi ro và kết quả liên quan đến các vấn đề môi trường, các khía cạnh xã hội và liên quan đến nhân viên, tôn trọng nhân quyền, các vấn đề chống tham nhũng và hối lộ, và sự đa dạng trong hội đồng quản trị."</w:t>
      </w:r>
    </w:p>
    <w:p>
      <w:pPr>
        <w:pStyle w:val="Heading2"/>
      </w:pPr>
      <w:r>
        <w:rPr>
          <w:rFonts w:ascii="Calibri" w:hAnsi="Calibri"/>
          <w:b/>
          <w:i w:val="0"/>
          <w:sz w:val="32"/>
        </w:rPr>
        <w:t>V. Quản trị Doanh nghiệp và Các Nước Đang Phát Triển</w:t>
      </w:r>
    </w:p>
    <w:p>
      <w:pPr>
        <w:spacing w:after="80"/>
      </w:pPr>
      <w:r>
        <w:rPr>
          <w:b w:val="0"/>
          <w:i w:val="0"/>
        </w:rPr>
        <w:t>Các nước đang phát triển có thể được cho là có những vấn đề riêng trong việc phát triển các hệ thống quản trị phù hợp. Các chất xúc tác cho cải cách có thể giống nhau. Đôi khi thay đổi phát sinh từ bê bối doanh nghiệp; lần khác nó là sản phẩm phụ của việc hòa nhập vào thị trường toàn cầu. Áp lực cũng có thể phát sinh từ nhu cầu khuyến khích đầu tư trong nước.</w:t>
      </w:r>
    </w:p>
    <w:p>
      <w:pPr>
        <w:spacing w:after="80"/>
      </w:pPr>
      <w:r>
        <w:rPr>
          <w:b w:val="0"/>
          <w:i w:val="0"/>
        </w:rPr>
        <w:t>Dù vì lý do gì, các quốc gia đang phát triển cũng phải đối mặt với một loạt vấn đề có thể cản trở việc xây dựng một hệ thống quản trị doanh nghiệp (corporate governance) hiệu quả. Họ thường thiếu các thể chế cần thiết, dù là cơ quan quản lý hữu hiệu hay tòa án. Họ thường thiếu thị trường vốn vững mạnh. Tham nhũng, dù hiện diện ở mọi thị trường, có thể là mối lo đặc biệt ở các quốc gia đang phát triển. Văn hóa và lịch sử, bao gồm di sản thuộc địa, cũng có thể tạo ra những biến số riêng.</w:t>
      </w:r>
    </w:p>
    <w:p>
      <w:pPr>
        <w:pStyle w:val="Heading3"/>
      </w:pPr>
      <w:r>
        <w:rPr>
          <w:rFonts w:ascii="Calibri" w:hAnsi="Calibri"/>
          <w:b/>
          <w:i w:val="0"/>
          <w:sz w:val="26"/>
        </w:rPr>
        <w:t>A. Pháp luật có quan trọng không?</w:t>
      </w:r>
    </w:p>
    <w:p>
      <w:pPr>
        <w:spacing w:after="80"/>
      </w:pPr>
      <w:r>
        <w:rPr>
          <w:b w:val="0"/>
          <w:i w:val="0"/>
        </w:rPr>
        <w:t>Những vấn đề này ngay từ đầu đã đặt ra một câu hỏi nền tảng. Pháp luật liệu có thực sự quan trọng không?</w:t>
      </w:r>
    </w:p>
    <w:p>
      <w:pPr>
        <w:pStyle w:val="Heading4"/>
      </w:pPr>
      <w:r>
        <w:rPr>
          <w:rFonts w:ascii="Calibri" w:hAnsi="Calibri"/>
          <w:b/>
          <w:i w:val="0"/>
          <w:sz w:val="23"/>
        </w:rPr>
        <w:t xml:space="preserve">Ali Adnan Ibrahim, </w:t>
      </w:r>
      <w:r>
        <w:rPr>
          <w:rFonts w:ascii="Calibri" w:hAnsi="Calibri"/>
          <w:b/>
          <w:i/>
          <w:sz w:val="23"/>
        </w:rPr>
        <w:t>Developing Governance and</w:t>
      </w:r>
      <w:r>
        <w:br/>
      </w:r>
      <w:r>
        <w:rPr>
          <w:rFonts w:ascii="Calibri" w:hAnsi="Calibri"/>
          <w:b/>
          <w:i/>
          <w:sz w:val="23"/>
        </w:rPr>
        <w:t xml:space="preserve"> Regulation for Emerging Capital and Securities Markets</w:t>
      </w:r>
    </w:p>
    <w:p>
      <w:pPr>
        <w:spacing w:after="80"/>
      </w:pPr>
      <w:r>
        <w:rPr>
          <w:b w:val="0"/>
          <w:i w:val="0"/>
        </w:rPr>
        <w:t>39 Rutgers L.J. 111, 138 (2007)</w:t>
      </w:r>
    </w:p>
    <w:p>
      <w:pPr>
        <w:spacing w:after="80"/>
      </w:pPr>
      <w:r>
        <w:rPr>
          <w:b w:val="0"/>
          <w:i w:val="0"/>
        </w:rPr>
        <w:t>Dù một số người không đồng tình với tính phổ quát của “luận điểm pháp luật quan trọng” (law matters thesis), tầm quan trọng của nó vẫn được xem là có liên quan đối với các nền kinh tế chuyển đổi. Tuy nhiên, một số học giả đã lập luận một cách thuyết phục rằng chỉ riêng pháp luật thì không đủ để phát triển các thị trường chứng khoán mạnh và sâu ở các nền kinh tế chuyển đổi, và nếu không có sự hỗ trợ của các thể chế tư nhân xung quanh, nhiệm vụ này có thể là bất khả thi. Những lập luận khác cho rằng “tổ chức xã hội và chính trị của xã hội” là yếu tố then chốt, bên cạnh các thể chế được đề xuất, để tạo ra các công ty đại chúng và một thị trường chứng khoán sâu rộng, đồng thời dành nhiều không gian hơn cho hành động tư nhân.</w:t>
      </w:r>
    </w:p>
    <w:p>
      <w:pPr>
        <w:spacing w:after="80"/>
      </w:pPr>
      <w:r>
        <w:rPr>
          <w:b w:val="0"/>
          <w:i w:val="0"/>
        </w:rPr>
        <w:t>Về “luận điểm pháp luật quan trọng”, bản chất của nó “là nói về quyền tài sản mạnh mẽ của cổ đông, thể hiện qua quyền kiểm soát mà cổ đông được trao đối với doanh nghiệp và những giới hạn pháp lý ràng buộc quyền tự quyết của ban điều hành và ban giám đốc; tất cả đều hướng tới việc bảo đảm rằng cổ đông không bị tước đoạt tài sản của mình.” Do đó, “luận điểm pháp luật quan trọng” cho rằng các cổ đông thiểu số sẽ xuất hiện nhờ vào những đạo luật bảo vệ quyền tài sản của họ. Tuy nhiên, các cổ đông tiềm năng có thể cần nhiều hơn là những đạo luật bảo vệ. Một khuôn khổ pháp lý khuyến khích doanh nhân huy động vốn qua thị trường chứng khoán mới là điều quan trọng hơn. Nói cách khác, sự kết hợp được hoạch định kỹ lưỡng giữa chiến lược đầu tư nước ngoài và việc hiện đại hóa luật tục sẽ phục vụ cổ đông thiểu số tốt hơn.</w:t>
      </w:r>
    </w:p>
    <w:p>
      <w:pPr>
        <w:pStyle w:val="Heading5"/>
      </w:pPr>
      <w:r>
        <w:rPr>
          <w:rFonts w:ascii="Calibri" w:hAnsi="Calibri"/>
          <w:b/>
          <w:i/>
          <w:sz w:val="22"/>
        </w:rPr>
        <w:t>Bình luận và Câu hỏi</w:t>
      </w:r>
    </w:p>
    <w:p>
      <w:pPr>
        <w:spacing w:after="80"/>
      </w:pPr>
      <w:r>
        <w:rPr>
          <w:b w:val="0"/>
          <w:i w:val="0"/>
        </w:rPr>
        <w:t>1. Như tác giả này lưu ý, pháp luật có quan trọng ở các quốc gia đang phát triển nhưng nó không phải là biến số duy nhất. Còn cần gì nữa để bảo đảm quản trị doanh nghiệp vững mạnh và thị trường vốn sôi động?</w:t>
      </w:r>
    </w:p>
    <w:p>
      <w:pPr>
        <w:spacing w:after="80"/>
      </w:pPr>
      <w:r>
        <w:rPr>
          <w:b w:val="0"/>
          <w:i w:val="0"/>
        </w:rPr>
        <w:t>2. Giám đốc độc lập và công bố thông tin là những đặc điểm chung của hầu hết các hệ thống quản trị doanh nghiệp. Liệu những khái niệm này có được áp dụng theo cùng một cách ở các nền kinh tế phát triển và đang phát triển không?</w:t>
      </w:r>
    </w:p>
    <w:p>
      <w:pPr>
        <w:spacing w:after="80"/>
      </w:pPr>
      <w:r>
        <w:rPr>
          <w:b w:val="0"/>
          <w:i w:val="0"/>
        </w:rPr>
        <w:t>3. Thường thì các công ty ở nền kinh tế đang phát triển không công bố thông tin mạnh mẽ về tình hình tài chính của mình. Họ có thể xem sự minh bạch là điều bất lợi, chẳng hạn vì nó báo cho cơ quan thuế biết thêm nguồn thu. Tuy nhiên, hệ quả là các nhà đầu tư thiểu số sẽ thiếu thông tin cần thiết để đưa ra quyết định sáng suốt. Bạn có thể đưa ra lời khuyên gì cho một quốc gia đang tìm cách giải quyết vấn đề thực tiễn này trong bộ luật doanh nghiệp của mình?</w:t>
      </w:r>
    </w:p>
    <w:p>
      <w:pPr>
        <w:spacing w:after="80"/>
      </w:pPr>
      <w:r>
        <w:rPr>
          <w:b w:val="0"/>
          <w:i w:val="0"/>
        </w:rPr>
        <w:t xml:space="preserve">4. Một số quốc gia đang phát triển đã cố gắng hài hòa hóa các thông lệ quản trị. Chẳng hạn, Tổ chức Hài hòa hóa Luật Kinh doanh ở châu Phi (Organization for Harmonization in Africa of Business Laws) đã cố gắng làm điều này giữa một nhóm các quốc gia Tây và Trung Phi. </w:t>
      </w:r>
      <w:r>
        <w:rPr>
          <w:b w:val="0"/>
          <w:i/>
        </w:rPr>
        <w:t>Xem</w:t>
      </w:r>
      <w:r>
        <w:rPr>
          <w:b w:val="0"/>
          <w:i w:val="0"/>
        </w:rPr>
        <w:t xml:space="preserve"> Claire Moore Dickerson, </w:t>
      </w:r>
      <w:r>
        <w:rPr>
          <w:b w:val="0"/>
          <w:i/>
        </w:rPr>
        <w:t>Harmonizing Business Laws in Africa: OHADA Calls the Tune</w:t>
      </w:r>
      <w:r>
        <w:rPr>
          <w:b w:val="0"/>
          <w:i w:val="0"/>
        </w:rPr>
        <w:t xml:space="preserve"> , 44 Colum. J. Transnat'l L. 17 (2005). Cách tiếp cận này có thể mang lại lợi thế gì cho khu vực đó trên thế giới?</w:t>
      </w:r>
    </w:p>
    <w:p>
      <w:pPr>
        <w:spacing w:after="80"/>
      </w:pPr>
      <w:r>
        <w:rPr>
          <w:b w:val="0"/>
          <w:i w:val="0"/>
        </w:rPr>
        <w:t xml:space="preserve">5. Tham nhũng đóng vai trò gì trong quá trình quản trị? Một số người xem vấn đề này là duy nhất. </w:t>
      </w:r>
      <w:r>
        <w:rPr>
          <w:b w:val="0"/>
          <w:i/>
        </w:rPr>
        <w:t>Xem</w:t>
      </w:r>
      <w:r>
        <w:rPr>
          <w:b w:val="0"/>
          <w:i w:val="0"/>
        </w:rPr>
        <w:t xml:space="preserve"> Naomi Cahn, </w:t>
      </w:r>
      <w:r>
        <w:rPr>
          <w:b w:val="0"/>
          <w:i/>
        </w:rPr>
        <w:t>Corporate Governance Divergence and Sub-Saharan Africa: Lessons from Out Here in the Fields</w:t>
      </w:r>
      <w:r>
        <w:rPr>
          <w:b w:val="0"/>
          <w:i w:val="0"/>
        </w:rPr>
        <w:t xml:space="preserve"> , 33 Stetson L. Rev. 893, 924 (2004) (“Ở các quốc gia đang phát triển, những vấn đề then chốt là tham nhũng và chính phủ kém hiệu quả, bất lương. Chỉ khi những vấn đề này được giải quyết thì các công ty, tổ chức đa phương và chính phủ mới có thể hướng sự chú ý đến việc cấu trúc thị trường vốn sao cho tốt nhất.”). Liệu có thể có một hệ thống quản trị bảo vệ nhà đầu tư ở những quốc gia mà tham nhũng tràn lan không?</w:t>
      </w:r>
    </w:p>
    <w:p>
      <w:pPr>
        <w:spacing w:after="80"/>
      </w:pPr>
      <w:r>
        <w:rPr>
          <w:b w:val="0"/>
          <w:i w:val="0"/>
        </w:rPr>
        <w:t>6. Có thể xem tham nhũng, ít nhất một phần, là một hiện tượng văn hóa không? Như một bài viết đã mô tả:</w:t>
      </w:r>
    </w:p>
    <w:p>
      <w:pPr>
        <w:spacing w:after="80"/>
      </w:pPr>
      <w:r>
        <w:rPr>
          <w:b w:val="0"/>
          <w:i w:val="0"/>
        </w:rPr>
        <w:t xml:space="preserve">Văn hóa của quốc gia nơi một giao dịch kinh doanh diễn ra thường quyết định tính chất của giao dịch đó. Ví dụ, các khoản chi trả chính trị là một nét đặc trưng của đời sống Trung Đông, nơi việc trả </w:t>
      </w:r>
      <w:r>
        <w:rPr>
          <w:b w:val="0"/>
          <w:i/>
        </w:rPr>
        <w:t>baksheesh</w:t>
      </w:r>
      <w:r>
        <w:rPr>
          <w:b w:val="0"/>
          <w:i w:val="0"/>
        </w:rPr>
        <w:t xml:space="preserve"> ở các quốc gia nói tiếng Ả Rập và tiếng Thổ Nhĩ Kỳ, và </w:t>
      </w:r>
      <w:r>
        <w:rPr>
          <w:b w:val="0"/>
          <w:i/>
        </w:rPr>
        <w:t>roshveh</w:t>
      </w:r>
      <w:r>
        <w:rPr>
          <w:b w:val="0"/>
          <w:i w:val="0"/>
        </w:rPr>
        <w:t xml:space="preserve"> ở Iran, đã ăn sâu vào cấu trúc xã hội và văn hóa của những quốc gia này. Ở Nigeria và các thuộc địa cũ khác của Anh ở Tây Phi, các viên chức thường mong đợi hoặc tìm kiếm một khoản tiền “bồi dưỡng”, được gọi là “dash”, cho các dịch vụ phục vụ công chúng. . . . Hối lộ ở một số quốc gia gắn bó chặt chẽ đến mức nằm trong thông lệ kinh doanh bình thường, đến nỗi nhiều quốc gia quê hương của những kẻ hối lộ doanh nghiệp tích cực, cho đến gần đây, vẫn có luật cho phép khấu trừ thuế đối với các khoản hối lộ.</w:t>
      </w:r>
    </w:p>
    <w:p>
      <w:pPr>
        <w:spacing w:after="80"/>
      </w:pPr>
      <w:r>
        <w:rPr>
          <w:b w:val="0"/>
          <w:i w:val="0"/>
        </w:rPr>
        <w:t xml:space="preserve">Barbara Crutchfield George &amp; Kathleen A. Lacey, </w:t>
      </w:r>
      <w:r>
        <w:rPr>
          <w:b w:val="0"/>
          <w:i/>
        </w:rPr>
        <w:t>A Coalition of Industrialized Nations, Developing Nations, Multilateral Development Banks, and Non-Governmental Organizations: A Pivotal Complement to Current Anti-Corruption Initiatives</w:t>
      </w:r>
      <w:r>
        <w:rPr>
          <w:b w:val="0"/>
          <w:i w:val="0"/>
        </w:rPr>
        <w:t xml:space="preserve"> , 33 Cornell Int'l L.J. 547, 554–55 (2000). Nó cũng có thể xảy ra vì nhu cầu kinh tế, do mức lương trả cho nhân viên chính phủ quá thấp. Nguồn gốc cơ bản của tham nhũng tạo ra sự khác biệt gì khi soạn thảo một chế độ pháp lý phù hợp?</w:t>
      </w:r>
    </w:p>
    <w:p>
      <w:pPr>
        <w:spacing w:after="80"/>
      </w:pPr>
      <w:r>
        <w:rPr>
          <w:b w:val="0"/>
          <w:i w:val="0"/>
        </w:rPr>
        <w:t xml:space="preserve">7. Không cần phải nói, tham nhũng không chỉ giới hạn ở các nước đang phát triển. SEC ở Hoa Kỳ đã phát hiện nhiều ví dụ phổ biến về việc các công ty đại chúng hối lộ quan chức chính phủ nước ngoài trong những năm 1970, cuối cùng dẫn đến việc ban hành Đạo luật Chống Hối lộ Nước ngoài (Foreign Corrupt Practices Act), đạo luật này cấm hành vi đó. Bất chấp việc ban hành luật này, SEC vẫn thường xuyên khởi kiện các vi phạm FCPA. </w:t>
      </w:r>
      <w:r>
        <w:rPr>
          <w:b w:val="0"/>
          <w:i/>
        </w:rPr>
        <w:t>Xem SEC v. IBM</w:t>
      </w:r>
      <w:r>
        <w:rPr>
          <w:b w:val="0"/>
          <w:i w:val="0"/>
        </w:rPr>
        <w:t xml:space="preserve"> , Litigation Release No. 21889 (D.D.C. Mar. 18, 2011) (công ty đã nộp phạt 10 triệu đô la vì vi phạm FCPA).</w:t>
      </w:r>
    </w:p>
    <w:p>
      <w:pPr>
        <w:pStyle w:val="Heading3"/>
      </w:pPr>
      <w:r>
        <w:rPr>
          <w:rFonts w:ascii="Calibri" w:hAnsi="Calibri"/>
          <w:b/>
          <w:i w:val="0"/>
          <w:sz w:val="26"/>
        </w:rPr>
        <w:t>B. Vấn đề thực thi pháp luật ở các thị trường mới nổi</w:t>
      </w:r>
    </w:p>
    <w:p>
      <w:pPr>
        <w:spacing w:after="80"/>
      </w:pPr>
      <w:r>
        <w:rPr>
          <w:b w:val="0"/>
          <w:i w:val="0"/>
        </w:rPr>
        <w:t>Một vấn đề then chốt ở các nước đang phát triển liên quan đến việc thực thi pháp luật. Vấn đề này trở nên đặc biệt rõ ràng trong bối cảnh sự sụp đổ của Liên bang Xô viết vào đầu những năm 1990. Liên bang Xô viết đã thúc đẩy kế hoạch hóa tập trung và tránh xa sở hữu tư nhân. Không có công ty và cũng không có luật công ty. Khi các phần của Liên bang Xô viết cũ trở nên độc lập, họ phải thiết lập cơ sở hạ tầng pháp lý cần thiết để cho phép thành lập doanh nghiệp.</w:t>
      </w:r>
    </w:p>
    <w:p>
      <w:pPr>
        <w:spacing w:after="80"/>
      </w:pPr>
      <w:r>
        <w:rPr>
          <w:b w:val="0"/>
          <w:i w:val="0"/>
        </w:rPr>
        <w:t>Tuy nhiên, luật pháp thôi thì không đủ. Ngay cả khi các quyền được bảo đảm về mặt pháp lý, các cổ đông vẫn cần một cơ chế nào đó để thực thi. Tuy nhiên, các tòa án thiếu năng lực đầy đủ và các cơ quan quản lý có thể nói là thiếu ý chí đầy đủ, nếu không muốn nói là thiếu thẩm quyền. Điều này dẫn đến một đề xuất cấp tiến hơn: Một hệ thống quản trị công ty mà ở một mức độ nào đó tìm cách lách qua các thể chế này.</w:t>
      </w:r>
    </w:p>
    <w:p>
      <w:pPr>
        <w:pStyle w:val="Heading4"/>
      </w:pPr>
      <w:r>
        <w:rPr>
          <w:rFonts w:ascii="Calibri" w:hAnsi="Calibri"/>
          <w:b/>
          <w:i w:val="0"/>
          <w:sz w:val="23"/>
        </w:rPr>
        <w:t>Bernard Black &amp; Reinier Kraakman,</w:t>
      </w:r>
      <w:r>
        <w:br/>
      </w:r>
      <w:r>
        <w:rPr>
          <w:rFonts w:ascii="Calibri" w:hAnsi="Calibri"/>
          <w:b/>
          <w:i w:val="0"/>
          <w:sz w:val="23"/>
        </w:rPr>
        <w:t xml:space="preserve"> </w:t>
      </w:r>
      <w:r>
        <w:rPr>
          <w:rFonts w:ascii="Calibri" w:hAnsi="Calibri"/>
          <w:b/>
          <w:i/>
          <w:sz w:val="23"/>
        </w:rPr>
        <w:t>A Self-Enforcing Model of Corporate Law</w:t>
      </w:r>
    </w:p>
    <w:p>
      <w:pPr>
        <w:spacing w:after="80"/>
      </w:pPr>
      <w:r>
        <w:rPr>
          <w:b w:val="0"/>
          <w:i w:val="0"/>
        </w:rPr>
        <w:t>109 Harv. L. Rev. 1911, 1916–17 (1996)</w:t>
      </w:r>
    </w:p>
    <w:p>
      <w:pPr>
        <w:spacing w:after="80"/>
      </w:pPr>
      <w:r>
        <w:rPr>
          <w:b w:val="0"/>
          <w:i w:val="0"/>
        </w:rPr>
        <w:t>Loại luật công ty nào nên điều chỉnh các công ty thuộc sở hữu công chúng ở các thị trường mới nổi, bao gồm cả các nền kinh tế đang tư nhân hóa? Câu hỏi quan trọng này không có câu trả lời sẵn sàng. Luật công ty, theo chúng tôi, nên có cùng mục tiêu chính ở cả các nền kinh tế phát triển và mới nổi—nói một cách ngắn gọn, là cung cấp các quy tắc quản trị nhằm tối đa hóa giá trị của các doanh nghiệp công ty đối với nhà đầu tư. Tuy nhiên, các nền kinh tế mới nổi không thể chỉ sao chép luật công ty của các nền kinh tế phát triển. Những luật này phụ thuộc vào các thể chế thị trường, pháp lý và chính phủ đã tiến hóa cao độ cùng các chuẩn mực văn hóa thường không tồn tại ở các nền kinh tế mới nổi. Luật công ty của các nước phát triển cũng phản ánh lịch sử đặc thù của quốc gia gốc. Chúng không nhất thiết hiệu quả ngay tại quê nhà, chứ chưa nói đến khi được cấy ghép sang đất nước khác. Hơn nữa, ở nhiều thị trường mới nổi, luật công ty phải phục vụ một mục tiêu trung tâm thứ hai ít cấp bách hơn ở các nền kinh tế thị trường trưởng thành: nuôi dưỡng niềm tin của công chúng vào chủ nghĩa tư bản và vào quyền sở hữu tư nhân đối với các doanh nghiệp lớn.</w:t>
      </w:r>
    </w:p>
    <w:p>
      <w:pPr>
        <w:spacing w:after="80"/>
      </w:pPr>
      <w:r>
        <w:rPr>
          <w:b w:val="0"/>
          <w:i w:val="0"/>
        </w:rPr>
        <w:t>Do đó, luật công ty phải được thiết kế về cơ bản từ đầu để hoạt động trong cơ sở hạ tầng sẵn có ở một thị trường mới nổi. May mắn thay, điều này có thể khả thi về mặt chính trị. Chính vì các thể chế hiện có (mà luật phải thích ứng) thường yếu hoặc thiếu, người ta có thể suy nghĩ lại từ những nguyên tắc đầu tiên về việc luật công ty nên trông như thế nào và nên dựa vào, thúc đẩy những thể chế liên quan nào.</w:t>
      </w:r>
    </w:p>
    <w:p>
      <w:pPr>
        <w:spacing w:after="80"/>
      </w:pPr>
      <w:r>
        <w:rPr>
          <w:b w:val="0"/>
          <w:i w:val="0"/>
        </w:rPr>
        <w:t>Ngoài việc tạo ra một mô hình mới cho các thị trường mới nổi, nỗ lực phát triển luật công ty từ đầu có thể phơi bày những điểm yếu và đặc thù trong luật công ty của các nước phát triển. Mô hình này có thể làm nổi bật những cách mà các luật này không chỉ đơn thuần tiến hóa theo hướng hiệu quả, mà thay vào đó tiến hóa từ những điểm xuất phát mang tính lịch sử ngẫu nhiên đến những điểm kết thúc được định hình bởi các thể chế có sẵn, bởi sức mạnh quán tính của hiện trạng, và bởi sở thích của những người tham gia chủ chốt trong doanh nghiệp công ty. Ví dụ, luật công ty của Đức thích ứng với các ngân hàng và công đoàn mạnh, trong khi luật của Mỹ thích ứng với các thị trường vốn mạnh, các thể chế tài chính yếu, và các nhà quản lý công ty mạnh.</w:t>
      </w:r>
    </w:p>
    <w:p>
      <w:pPr>
        <w:spacing w:after="80"/>
      </w:pPr>
      <w:r>
        <w:rPr>
          <w:b w:val="0"/>
          <w:i w:val="0"/>
        </w:rPr>
        <w:t>Trong bài viết này, chúng tôi phác thảo các yếu tố cơ bản của một mô hình luật công ty “tự thực thi” (self-enforcing), được thiết kế cho một nền kinh tế mới nổi. Mô hình này dựa trên một nghiên cứu tình huống: nỗ lực mà chúng tôi đã tham gia, nhằm phát triển một luật công ty mới cho Nga. Chúng tôi bắt đầu với ba luận điểm trung tâm. Thứ nhất, luật công ty hiệu quả mang tính đặc thù theo bối cảnh, ngay cả khi những vấn đề mà nó phải giải quyết là phổ quát. Luật pháp hiệu quả cho một nền kinh tế phát triển, khi được cấy ghép sang một nền kinh tế mới nổi, sẽ không đạt được sự cân bằng hợp lý giữa nhu cầu linh hoạt của các nhà quản lý công ty để đối phó với các điều kiện kinh doanh thay đổi nhanh chóng, nhu cầu tiếp cận thị trường vốn với chi phí giao dịch thấp của các công ty, nhu cầu giám sát việc các nhà quản lý làm gì với tiền của nhà đầu tư của các nhà đầu tư lớn, và nhu cầu bảo vệ chống lại hành vi tự giao dịch (self-dealing) của các nhà quản lý và nhà đầu tư lớn của các nhà đầu tư nhỏ. Những khiếm khuyết trong luật sẽ làm tăng chi phí vốn và giảm nguồn cung của nó.</w:t>
      </w:r>
    </w:p>
    <w:p>
      <w:pPr>
        <w:spacing w:after="80"/>
      </w:pPr>
      <w:r>
        <w:rPr>
          <w:b w:val="0"/>
          <w:i w:val="0"/>
        </w:rPr>
        <w:t>Ở các nước phát triển, luật công ty kết hợp với các ràng buộc pháp lý, thị trường và văn hóa khác đối với hành động của các nhà quản lý công ty và cổ đông kiểm soát để đạt được sự cân bằng hợp lý giữa những nhu cầu đôi khi cạnh tranh này. Luật công ty đóng một vai trò tương đối nhỏ, thậm chí “tầm thường”. Ở các nền kinh tế mới nổi, những ràng buộc khác này yếu hoặc vắng mặt, nên luật công ty là một công cụ trung tâm hơn nhiều để thúc đẩy các nhà quản lý và cổ đông lớn tạo ra giá trị xã hội thay vì chỉ đơn thuần chuyển dịch của cải từ người khác sang mình. “Thị trường” không thể lấp đầy những khoảng trống quản lý mà một luật công ty kiểu Mỹ “trao quyền” (enabling) để lại.</w:t>
      </w:r>
    </w:p>
    <w:p>
      <w:pPr>
        <w:spacing w:after="80"/>
      </w:pPr>
      <w:r>
        <w:rPr>
          <w:b w:val="0"/>
          <w:i w:val="0"/>
        </w:rPr>
        <w:t>Hơn nữa, luật công ty ở các nước phát triển tiến hóa song hành với các thể chế pháp lý hỗ trợ. Ví dụ, Hoa Kỳ dựa vào các thẩm phán chuyên môn để đánh giá tính hợp lý của các biện pháp phòng vệ chống thâu tóm và tính công bằng của các giao dịch mà trong đó các nhà quản lý có xung đột lợi ích. Khi cần thiết, những thẩm phán này đưa ra quyết định theo đúng nghĩa đen là qua đêm để bảo đảm rằng sự chậm trễ tư pháp không giết chết một giao dịch đang bị thách thức. Một luật công ty phụ thuộc vào các quyết định tư pháp nhanh chóng và đáng tin cậy đơn giản là không khả thi ở nhiều thị trường mới nổi. Ở Nga, ví dụ, các tòa án hoạt động chậm chạp, nếu có hoạt động, một số thẩm phán tham nhũng, và nhiều người là tàn dư từ thời Xô viết, những người không hiểu kinh doanh cũng không muốn học. Các thẩm phán và tòa án tốt hơn sẽ chỉ xuất hiện sau vài thập kỷ, khi các thẩm phán cũ qua đời hoặc nghỉ hưu. Trong lúc đó, luật công ty của Nga phải dựa vào tòa án càng ít càng tốt.</w:t>
      </w:r>
    </w:p>
    <w:p>
      <w:pPr>
        <w:spacing w:after="80"/>
      </w:pPr>
      <w:r>
        <w:rPr>
          <w:b w:val="0"/>
          <w:i w:val="0"/>
        </w:rPr>
        <w:t>Nói một cách tổng quát hơn, mỗi nền kinh tế mới nổi đều có một số thể chế pháp lý và thị trường, một số chuẩn mực hành vi, một số phân bố quyền sở hữu cổ phần, và một số thể chế tài chính. Luật công ty phải phản ánh những thực tế nền tảng này. Ví dụ, nếu (như ở Nga) người lao động thường sở hữu cổ phần lớn trong công ty của họ, nhưng dễ bị các nhà quản lý công ty kiểm soát phiếu bầu của họ, thì luật công ty cần những quy tắc đặc biệt bảo vệ quyền của các cổ đông là người lao động. Luật công ty cũng phải hạn chế ảnh hưởng của những đặc điểm nền tảng rối loạn chức năng, chẳng hạn như tham nhũng lan rộng.</w:t>
      </w:r>
    </w:p>
    <w:p>
      <w:pPr>
        <w:spacing w:after="80"/>
      </w:pPr>
      <w:r>
        <w:rPr>
          <w:b w:val="0"/>
          <w:i w:val="0"/>
        </w:rPr>
        <w:t>Luận điểm trung tâm thứ hai của chúng tôi là bất chấp tính đặc thù theo bối cảnh của luật công ty hiệu quả, có một nhóm lớn các nền kinh tế tư bản mới nổi (bao gồm cả các nước từng là cộng sản) đủ tương đồng để cho phép khái quát hóa về loại luật công ty sẽ hữu ích cho họ. Nga có lẽ là một trường hợp cực đoan, nhưng nó hầu như không đơn độc trong việc có các công ty do người trong cuộc kiểm soát, các tòa án hoạt động kém, các cơ quan quản lý yếu và đôi khi tham nhũng, và các thị trường vốn kém phát triển. Ví dụ, một vấn đề gay gắt ở Nga là bảo vệ các nhà đầu tư thiểu số chống lại sự bóc lột của các nhà quản lý hoặc cổ đông kiểm soát. Bảo vệ nhà đầu tư thiểu số cũng đã nổi lên như một vấn đề chính trị trung tâm ở nền kinh tế hậu cộng sản thành công nhất, Cộng hòa Séc, và là cốt lõi của các cải cách gần đây trong luật công ty của Israel.</w:t>
      </w:r>
    </w:p>
    <w:p>
      <w:pPr>
        <w:spacing w:after="80"/>
      </w:pPr>
      <w:r>
        <w:rPr>
          <w:b w:val="0"/>
          <w:i w:val="0"/>
        </w:rPr>
        <w:t>Luận điểm thứ ba của chúng tôi là nhiệm vụ của chúng tôi không phải là bất khả thi. Bất chấp các thị trường và thể chế yếu, người ta có thể thiết kế một luật công ty ngăn chặn một phần đáng kể các thất bại trong quản trị công ty mà nếu không thì sẽ xảy ra. Ngay cả các hệ thống quản trị công ty của các nước phát triển cũng thất bại với tần suất gây khó chịu. Chúng ta có thể mong đợi còn nhiều thất bại hơn nữa ở các thị trường mới nổi. Tuy nhiên, vẫn có thể thiết kế một luật hoạt động ở mức chấp nhận được—luật trao quyền ra quyết định đáng kể cho các cổ đông bên ngoài lớn, những người có động cơ đưa ra quyết định tốt; luật giảm thiểu, dù không thể loại bỏ, gian lận và hành vi tự giao dịch của người trong cuộc công ty; luật giảm thiểu, dù không thể hoàn toàn tránh, nhu cầu thực thi chính thức thông qua tòa án; luật tạo động cơ cho các nhà quản lý và cổ đông kiểm soát tuân thủ các quy tắc ngay cả khi họ thường có thể thoát khỏi việc phớt lờ chúng; luật củng cố những thái độ văn hóa mong muốn về hành vi quản lý đúng đắn; và luật vẫn để lại cho các nhà quản lý sự linh hoạt mà họ cần để chấp nhận rủi ro và đưa ra quyết định nhanh chóng. Một luật như vậy có thể gia tăng giá trị nhiều hơn hẳn so với giá trị mà luật công ty gia tăng ở các nền kinh tế phát triển, chính vì các thể chế khác có thể định hình hành vi công ty đều yếu ở các nền kinh tế đang phát triển.</w:t>
      </w:r>
    </w:p>
    <w:p>
      <w:pPr>
        <w:spacing w:after="80"/>
      </w:pPr>
      <w:r>
        <w:rPr>
          <w:b w:val="0"/>
          <w:i w:val="0"/>
        </w:rPr>
        <w:t>Các đặc điểm trung tâm của mô hình luật công ty “tự thực thi” của chúng tôi là:</w:t>
      </w:r>
    </w:p>
    <w:p>
      <w:pPr>
        <w:spacing w:after="80"/>
      </w:pPr>
      <w:r>
        <w:rPr>
          <w:b w:val="0"/>
          <w:i w:val="0"/>
        </w:rPr>
        <w:t>(i) Thực thi, càng nhiều càng tốt, thông qua các hành động của những người tham gia trực tiếp vào doanh nghiệp (cổ đông, giám đốc và nhà quản lý), thay vì những người tham gia gián tiếp (thẩm phán, cơ quan quản lý, chuyên gia pháp lý và kế toán, và báo chí tài chính).</w:t>
      </w:r>
    </w:p>
    <w:p>
      <w:pPr>
        <w:spacing w:after="80"/>
      </w:pPr>
      <w:r>
        <w:rPr>
          <w:b w:val="0"/>
          <w:i w:val="0"/>
        </w:rPr>
        <w:t>(ii) Bảo vệ cổ đông bên ngoài nhiều hơn mức phổ biến ở các nền kinh tế phát triển, để ứng phó với tình trạng phổ biến cao các công ty do người nội bộ kiểm soát, sự yếu kém của các ràng buộc khác đối với hành vi tự giao dịch (self-dealing) của nhà quản lý và cổ đông kiểm soát, và nhu cầu kiểm soát hành vi tự giao dịch để củng cố uy tín chính trị của nền kinh tế thị trường.</w:t>
      </w:r>
    </w:p>
    <w:p>
      <w:pPr>
        <w:spacing w:after="80"/>
      </w:pPr>
      <w:r>
        <w:rPr>
          <w:b w:val="0"/>
          <w:i w:val="0"/>
        </w:rPr>
        <w:t>(iii) Dựa vào các biện pháp bảo vệ mang tính thủ tục—chẳng hạn như phê duyệt giao dịch bởi các giám đốc độc lập, cổ đông độc lập, hoặc cả hai—thay vì dựa vào việc cấm tuyệt đối các loại giao dịch bị nghi ngờ. Việc sử dụng các công cụ thủ tục cân bằng giữa nhu cầu bảo vệ cổ đông và nhu cầu linh hoạt trong kinh doanh.</w:t>
      </w:r>
    </w:p>
    <w:p>
      <w:pPr>
        <w:spacing w:after="80"/>
      </w:pPr>
      <w:r>
        <w:rPr>
          <w:b w:val="0"/>
          <w:i w:val="0"/>
        </w:rPr>
        <w:t>(iv) Bất cứ khi nào có thể, sử dụng các quy tắc rõ ràng (bright-line rules) thay vì các chuẩn mực (standards) để xác định hành vi đúng và sai. Các quy tắc rõ ràng có thể được hiểu bởi những người phải tuân thủ chúng và có cơ hội được thực thi tốt hơn. Ngược lại, các chuẩn mực đòi hỏi sự giải thích của tòa án, điều thường không có sẵn ở các thị trường mới nổi, và giả định một sự hiểu biết văn hóa chung về chính sách quản lý làm nền tảng cho các chuẩn mực đó, điều này cũng có thể không tồn tại.</w:t>
      </w:r>
    </w:p>
    <w:p>
      <w:pPr>
        <w:spacing w:after="80"/>
      </w:pPr>
      <w:r>
        <w:rPr>
          <w:b w:val="0"/>
          <w:i w:val="0"/>
        </w:rPr>
        <w:t>(v) Các biện pháp pháp lý mạnh mẽ trên giấy tờ, để bù đắp cho xác suất thấp rằng các chế tài sẽ thực sự được áp dụng. Việc thực thi diễn ra chủ yếu thông qua sự kết hợp của các quy tắc biểu quyết và các quyền giao dịch. Các yếu tố biểu quyết trung tâm bao gồm: sự phê duyệt của cổ đông (bao gồm trong một số trường hợp là phê duyệt đa số tuyệt đối hoặc phê duyệt bởi đa số cổ đông bên ngoài) cho các nhóm giao dịch lớn và giao dịch có lợi ích cá nhân; phê duyệt các giao dịch có lợi ích cá nhân bởi đa số giám đốc độc lập; biểu quyết tích lũy bắt buộc đối với giám đốc, trao quyền cho các cổ đông thiểu số lớn để chọn giám đốc (quyền này được bảo vệ bởi các yêu cầu một cổ phần phổ thông, một phiếu bầu; quy mô hội đồng quản trị tối thiểu; và không phân kỳ nhiệm kỳ hội đồng quản trị); và một lá phiếu thống nhất mà trên đó cả nhà quản lý và cổ đông lớn đều có thể đề cử giám đốc. Tính trung thực của cuộc biểu quyết được bảo vệ thông qua biểu quyết kín và kiểm phiếu độc lập, trong khi chất lượng của các quyết định biểu quyết được củng cố bởi các quy tắc công bố thông tin bắt buộc.</w:t>
      </w:r>
    </w:p>
    <w:p>
      <w:pPr>
        <w:spacing w:after="80"/>
      </w:pPr>
      <w:r>
        <w:rPr>
          <w:b w:val="0"/>
          <w:i w:val="0"/>
        </w:rPr>
        <w:t>Cổ đông cũng nhận được các quyền giao dịch (quyền chọn bán và quyền chọn mua) được kích hoạt bởi các hành động doanh nghiệp được chỉ định. Những quyền này bao gồm quyền ưu tiên mua trước khi công ty phát hành cổ phiếu mới; quyền định giá (appraisal rights) cho các cổ đông không phê duyệt các giao dịch lớn; và quyền mua lại (takeout rights) khi một cổ phần kiểm soát trong công ty được mua lại (tức là quyền của cổ đông thiểu số được bán cổ phần của họ cho cổ đông kiểm soát mới).</w:t>
      </w:r>
    </w:p>
    <w:p>
      <w:pPr>
        <w:spacing w:after="80"/>
      </w:pPr>
      <w:r>
        <w:rPr>
          <w:b w:val="0"/>
          <w:i w:val="0"/>
        </w:rPr>
        <w:t>Mô hình tự thực thi (self-enforcing model) tìm cách xây dựng các chuẩn mực pháp lý mà nhà quản lý và cổ đông lớn sẽ thấy là hợp lý và tự nguyện tuân thủ. Nhu cầu khuyến khích tuân thủ tự nguyện củng cố sự ưu tiên của chúng tôi đối với các biện pháp bảo vệ mang tính thủ tục thay vì mang tính nội dung. Ví dụ, nhà quản lý có thể lách một lệnh cấm tuyệt đối đối với các giao dịch có lợi ích cá nhân, nhưng lại tuân thủ một yêu cầu thủ tục về phê duyệt của cổ đông vì họ nghĩ rằng họ có thể giành được sự phê duyệt. Một khi quyết định giành sự phê duyệt của cổ đông, nhà quản lý có thể làm cho giao dịch có lợi hơn cho cổ đông, để đảm bảo sự phê duyệt và tránh sự bối rối. Mô hình thường dựa không chỉ vào các quy tắc rõ ràng, mà còn vào các quy tắc tương đối đơn giản. Nhà quản lý không thể tuân thủ, và thẩm phán không thể thực thi, những quy tắc mà họ không hiểu. Nhà quản lý cũng sẽ không tôn trọng một đạo luật quá phức tạp.</w:t>
      </w:r>
    </w:p>
    <w:p>
      <w:pPr>
        <w:spacing w:after="80"/>
      </w:pPr>
      <w:r>
        <w:rPr>
          <w:b w:val="0"/>
          <w:i w:val="0"/>
        </w:rPr>
        <w:t>—————</w:t>
      </w:r>
    </w:p>
    <w:p>
      <w:pPr>
        <w:spacing w:after="80"/>
      </w:pPr>
      <w:r>
        <w:rPr>
          <w:b w:val="0"/>
          <w:i w:val="0"/>
        </w:rPr>
        <w:t>Liệu mô hình tự thực thi có thể hoạt động ở Liên Xô cũ không? Đề xuất này đã thu hút những phản đối và các giải pháp thay thế được đề xuất.</w:t>
      </w:r>
    </w:p>
    <w:p>
      <w:pPr>
        <w:pStyle w:val="Heading4"/>
      </w:pPr>
      <w:r>
        <w:rPr>
          <w:rFonts w:ascii="Calibri" w:hAnsi="Calibri"/>
          <w:b/>
          <w:i w:val="0"/>
          <w:sz w:val="23"/>
        </w:rPr>
        <w:t>J. Robert Brown, Jr. &amp; Kostyantyn Shkurupiy,</w:t>
      </w:r>
      <w:r>
        <w:br/>
      </w:r>
      <w:r>
        <w:rPr>
          <w:rFonts w:ascii="Calibri" w:hAnsi="Calibri"/>
          <w:b/>
          <w:i w:val="0"/>
          <w:sz w:val="23"/>
        </w:rPr>
        <w:t xml:space="preserve"> </w:t>
      </w:r>
      <w:r>
        <w:rPr>
          <w:rFonts w:ascii="Calibri" w:hAnsi="Calibri"/>
          <w:b/>
          <w:i/>
          <w:sz w:val="23"/>
        </w:rPr>
        <w:t>Corporate Governance in the Former Soviet Union:</w:t>
      </w:r>
      <w:r>
        <w:br/>
      </w:r>
      <w:r>
        <w:rPr>
          <w:rFonts w:ascii="Calibri" w:hAnsi="Calibri"/>
          <w:b/>
          <w:i/>
          <w:sz w:val="23"/>
        </w:rPr>
        <w:t xml:space="preserve"> The Failure of the Self-Enforcing Model</w:t>
      </w:r>
    </w:p>
    <w:p>
      <w:pPr>
        <w:spacing w:after="80"/>
      </w:pPr>
      <w:r>
        <w:rPr>
          <w:b w:val="0"/>
          <w:i w:val="0"/>
        </w:rPr>
        <w:t>7 Colum. J. E. Eur. L. 629 (2000)</w:t>
      </w:r>
    </w:p>
    <w:p>
      <w:pPr>
        <w:spacing w:after="80"/>
      </w:pPr>
      <w:r>
        <w:rPr>
          <w:b w:val="0"/>
          <w:i w:val="0"/>
        </w:rPr>
        <w:t>Việc gia tăng đầu tư vào các thị trường mới nổi của Liên Xô cũ đòi hỏi sự đảm bảo nhiều hơn rằng các nhà quản lý, dù là da trắng hay da đỏ, sẽ thực hiện hành vi được thúc đẩy bởi lợi ích tốt nhất của doanh nghiệp. Tất yếu, điều này sẽ đòi hỏi giảm bớt hành vi tự giao dịch. Cụ thể, nó sẽ đòi hỏi giảm bớt hành vi trộm cắp và các hành vi không trung thực khác; bất kỳ luật nào tìm cách tăng cường niềm tin của nhà đầu tư đều phải giải quyết ba điều. Thứ nhất, các giám đốc cần phải chịu những giới hạn rõ ràng đối với khả năng trộm cắp của họ. Thứ hai, phải có một cơ chế thực thi đầy đủ. Thứ ba, hệ thống phải chứa đựng những lợi ích đầy đủ để khiến rủi ro mất vị trí quản lý trở thành một hình phạt đủ nghiêm trọng để đảm bảo tuân thủ các lệnh cấm đối với hành vi không trung thực.</w:t>
      </w:r>
    </w:p>
    <w:p>
      <w:pPr>
        <w:spacing w:after="80"/>
      </w:pPr>
      <w:r>
        <w:rPr>
          <w:b w:val="0"/>
          <w:i w:val="0"/>
        </w:rPr>
        <w:t>* * *</w:t>
      </w:r>
    </w:p>
    <w:p>
      <w:pPr>
        <w:spacing w:after="80"/>
      </w:pPr>
      <w:r>
        <w:rPr>
          <w:b w:val="0"/>
          <w:i w:val="0"/>
        </w:rPr>
        <w:t>Kinh nghiệm của Liên Xô gợi ý khả năng về một hệ thống quản lý từ trên xuống, với chính phủ áp đặt các hình phạt đối với hành vi không trung thực. Cách tiếp cận này không đòi hỏi giảm bớt sự quan tâm đến tình cảnh của cổ đông bên ngoài hay nhu cầu bảo vệ theo luật định đối với lợi ích của họ. Nó cũng không gợi ý rằng cổ đông cuối cùng sẽ tỏ ra không có khả năng giám sát nhà quản lý một cách hiệu quả. Tuy nhiên, nó gợi ý rằng trong hoàn cảnh hiện tại, cổ đông không phải là phương pháp hiệu quả nhất để làm điều đó trong hầu hết các trường hợp. Cần có một cơ chế thay thế.</w:t>
      </w:r>
    </w:p>
    <w:p>
      <w:pPr>
        <w:spacing w:after="80"/>
      </w:pPr>
      <w:r>
        <w:rPr>
          <w:b w:val="0"/>
          <w:i w:val="0"/>
        </w:rPr>
        <w:t>Để hệ thống hoạt động trong ngắn hạn, chế độ pháp lý cần theo sát hệ thống từ thời Liên Xô hơn. Điều này đòi hỏi ba điều. Thứ nhất, vị trí giám đốc phải hấp dẫn và sinh lợi. Nói cách khác, vị trí đó phải được săn đón, với việc bị sa thải là một hậu quả nghiêm trọng. Thứ hai, các nghĩa vụ áp đặt lên giám đốc và cán bộ điều hành phải hoàn toàn rõ ràng. Trái ngược với mô hình "tự thực thi" của luật doanh nghiệp, chúng nên đi xa hơn nhiều, cấm các hành vi tạo điều kiện cho hành vi không trung thực hoặc hạn chế việc phát hiện.</w:t>
      </w:r>
    </w:p>
    <w:p>
      <w:pPr>
        <w:spacing w:after="80"/>
      </w:pPr>
      <w:r>
        <w:rPr>
          <w:b w:val="0"/>
          <w:i w:val="0"/>
        </w:rPr>
        <w:t>Cuối cùng, phải thực hiện một hệ thống giám sát nhà quản lý mới. Thay vì cổ đông, quyền giám sát ban quản lý nên được giao cho chính phủ; trong hầu hết các trường hợp là cơ quan chịu trách nhiệm quản lý thị trường chứng khoán. Các ủy ban chứng khoán ở Liên Xô cũ thường (dù không phải luôn luôn) là những bộ máy quan liêu được đào tạo chuyên nghiệp, nhanh nhẹn, ít bị ràng buộc bởi các thực tiễn quan liêu truyền thống phổ biến trong nền kinh tế kế hoạch hóa. Tuy nhiên, về phương diện này, cần phải thực hiện các bước để bảo vệ chống lại tham nhũng. Trên thực tế, hệ thống phải được cấu trúc để làm cho các vị trí tại ủy ban trở thành những món hàng có giá trị, với tham nhũng hoặc dấu hiệu tham nhũng là cơ sở tự động để sa thải.</w:t>
      </w:r>
    </w:p>
    <w:p>
      <w:pPr>
        <w:pStyle w:val="Heading5"/>
      </w:pPr>
      <w:r>
        <w:rPr>
          <w:rFonts w:ascii="Calibri" w:hAnsi="Calibri"/>
          <w:b/>
          <w:i/>
          <w:sz w:val="22"/>
        </w:rPr>
        <w:t>Nhận xét và Câu hỏi</w:t>
      </w:r>
    </w:p>
    <w:p>
      <w:pPr>
        <w:spacing w:after="80"/>
      </w:pPr>
      <w:r>
        <w:rPr>
          <w:b w:val="0"/>
          <w:i w:val="0"/>
        </w:rPr>
        <w:t>1. Hai cách tiếp cận quản trị doanh nghiệp khác nhau như thế nào? Chúng giải quyết các vấn đề liên quan đến các nền kinh tế đang phát triển ra sao? Khả năng thành công của chúng đến mức nào?</w:t>
      </w:r>
    </w:p>
    <w:p>
      <w:pPr>
        <w:spacing w:after="80"/>
      </w:pPr>
      <w:r>
        <w:rPr>
          <w:b w:val="0"/>
          <w:i w:val="0"/>
        </w:rPr>
        <w:t>2. Cả hai mô hình đều dựa trên kinh nghiệm của các quốc gia nổi lên sau sự sụp đổ của Liên Xô. Cụ thể, mô hình tự cưỡng chế (self-enforcing model) được phát triển trong bối cảnh phát triển của Nga sau khi Liên Xô tan rã. Cuối cùng, Giáo sư Black và Kraakman khẳng định rằng tất cả các thị trường mới nổi "đều đủ tương đồng để cho phép khái quát hóa về loại luật doanh nghiệp sẽ hữu ích cho họ." Bạn có đồng ý không?</w:t>
      </w:r>
    </w:p>
    <w:p>
      <w:pPr>
        <w:spacing w:after="80"/>
      </w:pPr>
      <w:r>
        <w:rPr>
          <w:b w:val="0"/>
          <w:i w:val="0"/>
        </w:rPr>
        <w:t xml:space="preserve">3. Một số người cho rằng mô hình tự cưỡng chế chưa đi đủ xa. </w:t>
      </w:r>
      <w:r>
        <w:rPr>
          <w:b w:val="0"/>
          <w:i/>
        </w:rPr>
        <w:t>Xem</w:t>
      </w:r>
      <w:r>
        <w:rPr>
          <w:b w:val="0"/>
          <w:i w:val="0"/>
        </w:rPr>
        <w:t xml:space="preserve"> Troy A. Paredes, </w:t>
      </w:r>
      <w:r>
        <w:rPr>
          <w:b w:val="0"/>
          <w:i/>
        </w:rPr>
        <w:t>A Systems Approach to Corporate Governance Reform: Why Importing U.S. Corporate Law Isn't the Answer</w:t>
      </w:r>
      <w:r>
        <w:rPr>
          <w:b w:val="0"/>
          <w:i w:val="0"/>
        </w:rPr>
        <w:t xml:space="preserve"> , 45 Wm. &amp; Mary L. Rev. 1055, 1127 (2004) ("Suy cho cùng, điều mà các nước đang phát triển cần là một mô hình luật doanh nghiệp mang tính bắt buộc hơn, vẫn bao gồm các quy tắc rõ ràng, nhằm trao cho cổ đông thêm các quyền kiểm soát 'tiêu cực' và 'tích cực'.").</w:t>
      </w:r>
    </w:p>
    <w:p>
      <w:pPr>
        <w:spacing w:after="80"/>
      </w:pPr>
      <w:r>
        <w:rPr>
          <w:b w:val="0"/>
          <w:i w:val="0"/>
        </w:rPr>
        <w:t xml:space="preserve">4. Những lo ngại về sự tham gia của chính phủ trong việc thực thi các yêu cầu quản trị doanh nghiệp là gì? Những lo ngại này có gay gắt hơn trong bối cảnh các nước đang phát triển không? Có những quốc gia khác nơi sự tham gia của chính phủ và hệ tư tưởng có thể đóng vai trò trong quá trình quản trị không? </w:t>
      </w:r>
      <w:r>
        <w:rPr>
          <w:b w:val="0"/>
          <w:i/>
        </w:rPr>
        <w:t>Xem</w:t>
      </w:r>
      <w:r>
        <w:rPr>
          <w:b w:val="0"/>
          <w:i w:val="0"/>
        </w:rPr>
        <w:t xml:space="preserve"> Jiangyu Want, </w:t>
      </w:r>
      <w:r>
        <w:rPr>
          <w:b w:val="0"/>
          <w:i/>
        </w:rPr>
        <w:t>The Political Logic of Corporate Governance in China's State-Owned Enterprises</w:t>
      </w:r>
      <w:r>
        <w:rPr>
          <w:b w:val="0"/>
          <w:i w:val="0"/>
        </w:rPr>
        <w:t xml:space="preserve"> , 47 Cornell Int'l L. J. 631, 654 (2014) (lưu ý rằng các giám đốc điều hành trong các công ty nhà nước hầu hết là thành viên của Đảng Cộng sản Trung Quốc ("CCP") và các nghĩa vụ đảng tạo thành "một sự kiểm soát mang tính tổng quát và hệ tư tưởng đối với tâm trí và hành vi của các thành viên CCP, những người từ CEO đến công nhân nhà máy, ít nhất về mặt lý thuyết, phải thực hiện các chính sách của Đảng và thi hành mệnh lệnh của Đảng một cách trung thành khi thực hiện nhiệm vụ của mình").</w:t>
      </w:r>
    </w:p>
    <w:p>
      <w:pPr>
        <w:spacing w:after="80"/>
      </w:pPr>
      <w:r>
        <w:rPr>
          <w:b w:val="0"/>
          <w:i w:val="0"/>
        </w:rPr>
        <w:t>5. Tại sao chỉ đơn thuần cho phép cổ đông có quyền khởi kiện phái sinh (derivative suits) ra tòa lại là chưa đủ? Những trở ngại nào có thể tồn tại đối với cách tiếp cận như vậy trong một nền kinh tế đang phát triển?</w:t>
      </w:r>
    </w:p>
    <w:p>
      <w:pPr>
        <w:spacing w:after="80"/>
      </w:pPr>
      <w:r>
        <w:rPr>
          <w:b w:val="0"/>
          <w:i w:val="0"/>
        </w:rPr>
        <w:t>6. Mô hình thứ hai kêu gọi sự can thiệp nhiều hơn của chính phủ để bảo vệ quyền của cổ đông. Những vấn đề gì có thể phát sinh với cách tiếp cận như vậy? Bạn có thể cố gắng tránh một số vấn đề này như thế nào? Có thực tế khi nghĩ rằng chính phủ trong một nền kinh tế đang phát triển sẽ làm tốt hơn cổ đông trong việc đảm bảo hành vi đúng đắn của các giám đốc không?</w:t>
      </w:r>
    </w:p>
    <w:p>
      <w:pPr>
        <w:spacing w:after="80"/>
      </w:pPr>
      <w:r>
        <w:rPr>
          <w:b w:val="0"/>
          <w:i w:val="0"/>
        </w:rPr>
        <w:t xml:space="preserve">7. Đã có rất nhiều bài viết về tính hiệu quả (hoặc kém hiệu quả) của yêu cầu về giám đốc độc lập ở Trung Quốc. Đôi khi được gọi là giám đốc "bình hoa" (những món đồ trang trí chỉ để tô điểm phòng họp hội đồng quản trị), nhóm giám đốc độc lập lớn nhất ở Trung Quốc (44%) theo một nghiên cứu, là giới học thuật, không phải lúc nào cũng vì những lý do tán dương. </w:t>
      </w:r>
      <w:r>
        <w:rPr>
          <w:b w:val="0"/>
          <w:i/>
        </w:rPr>
        <w:t>Xem</w:t>
      </w:r>
      <w:r>
        <w:rPr>
          <w:b w:val="0"/>
          <w:i w:val="0"/>
        </w:rPr>
        <w:t xml:space="preserve"> Jie Yuan, </w:t>
      </w:r>
      <w:r>
        <w:rPr>
          <w:b w:val="0"/>
          <w:i/>
        </w:rPr>
        <w:t>Formal Convergence or Substantial Divergence? Evidence from Adoption of the Independent Director System in China</w:t>
      </w:r>
      <w:r>
        <w:rPr>
          <w:b w:val="0"/>
          <w:i w:val="0"/>
        </w:rPr>
        <w:t xml:space="preserve"> , 9 Asian-Pacific L. &amp; Pol'y J. 71 (2007) ("Ngoài ra, giới nội bộ ưa chuộng các học giả chính xác vì các học giả có thể không quen thuộc lắm với hoạt động doanh nghiệp và do đó sẽ có xu hướng không can thiệp."). Có lẽ không đáng ngạc nhiên, một nghiên cứu "chỉ ra rằng hiệu quả hoạt động của các công ty có giám đốc độc lập không khác biệt đáng kể so với các công ty không có giám đốc độc lập." </w:t>
      </w:r>
      <w:r>
        <w:rPr>
          <w:b w:val="0"/>
          <w:i/>
        </w:rPr>
        <w:t>Id.</w:t>
      </w:r>
      <w:r>
        <w:rPr>
          <w:b w:val="0"/>
          <w:i w:val="0"/>
        </w:rPr>
        <w:t xml:space="preserve"> at 91.</w:t>
      </w:r>
    </w:p>
    <w:p>
      <w:pPr>
        <w:spacing w:after="80"/>
      </w:pPr>
      <w:r>
        <w:rPr>
          <w:b w:val="0"/>
          <w:i w:val="0"/>
        </w:rPr>
        <w:t xml:space="preserve">8. Những giám đốc này có thực sự độc lập không? </w:t>
      </w:r>
      <w:r>
        <w:rPr>
          <w:b w:val="0"/>
          <w:i/>
        </w:rPr>
        <w:t>Xem</w:t>
      </w:r>
      <w:r>
        <w:rPr>
          <w:b w:val="0"/>
          <w:i w:val="0"/>
        </w:rPr>
        <w:t xml:space="preserve"> Chao Xi, </w:t>
      </w:r>
      <w:r>
        <w:rPr>
          <w:b w:val="0"/>
          <w:i/>
        </w:rPr>
        <w:t>In Search of an Effective Monitoring Board Model: Board Reforms and the Political Economy of Corporate Law in China</w:t>
      </w:r>
      <w:r>
        <w:rPr>
          <w:b w:val="0"/>
          <w:i w:val="0"/>
        </w:rPr>
        <w:t xml:space="preserve"> , 22 Conn. J. Int'l L. 1, 17 (2006) ("Các cuộc khảo sát đã cho thấy rằng đại đa số giám đốc độc lập được đề cử bởi cổ đông lớn và ban quản lý. Cổ đông thiểu số có rất ít tiếng nói trong quá trình này. Thực tế phổ biến là cổ đông kiểm soát và ban quản lý bổ nhiệm bạn bè xã hội của họ làm giám đốc độc lập.").</w:t>
      </w:r>
    </w:p>
    <w:p>
      <w:pPr>
        <w:pStyle w:val="Heading2"/>
      </w:pPr>
      <w:r>
        <w:rPr>
          <w:rFonts w:ascii="Calibri" w:hAnsi="Calibri"/>
          <w:b/>
          <w:i w:val="0"/>
          <w:sz w:val="32"/>
        </w:rPr>
        <w:t>VI. Quản trị doanh nghiệp và Văn hóa</w:t>
      </w:r>
    </w:p>
    <w:p>
      <w:pPr>
        <w:spacing w:after="80"/>
      </w:pPr>
      <w:r>
        <w:rPr>
          <w:b w:val="0"/>
          <w:i w:val="0"/>
        </w:rPr>
        <w:t xml:space="preserve">Ngày càng có sự thừa nhận trong bối cảnh quản trị doanh nghiệp so sánh rằng "văn hóa có vai trò quan trọng." Tuy nhiên, đây là một chủ đề nổi tiếng khó nghiên cứu, ít nhất là với bất kỳ hy vọng ứng dụng thực tiễn nào. Một mặt, ngay cả việc định nghĩa thuật ngữ này cũng không dễ dàng. Mặt khác, việc áp dụng văn hóa nói chung thách thức việc định lượng. Do đó, phân tích thường đi đến chỗ trở thành vấn đề của "trực giác chung." Amir N. Licht, </w:t>
      </w:r>
      <w:r>
        <w:rPr>
          <w:b w:val="0"/>
          <w:i/>
        </w:rPr>
        <w:t>Legal Plug-Ins: Cultural Distance, Cross-Listing, and Corporate Governance Reform</w:t>
      </w:r>
      <w:r>
        <w:rPr>
          <w:b w:val="0"/>
          <w:i w:val="0"/>
        </w:rPr>
        <w:t xml:space="preserve"> , 22 Berkeley J. Int'l L. 195, 216 (2004).</w:t>
      </w:r>
    </w:p>
    <w:p>
      <w:pPr>
        <w:spacing w:after="80"/>
      </w:pPr>
      <w:r>
        <w:rPr>
          <w:b w:val="0"/>
          <w:i w:val="0"/>
        </w:rPr>
        <w:t>Ở một mức độ nào đó, văn hóa liên quan đến việc xem xét các giá trị và hiểu biết chung của một quốc gia. Đã xuất hiện các tài liệu tìm cách khái quát hóa rộng rãi các nền văn hóa quốc gia. Một số được phân loại là có thứ bậc và những nền văn hóa khác là bình đẳng. Các nền văn hóa có thể khác nhau dựa trên mức độ giá trị cộng đồng so với giá trị cá nhân. Hơn nữa, văn hóa có cả thành phần quốc gia và cá nhân. Các nhà đầu tư ở Hoa Kỳ đôi khi được cho là chấp nhận rủi ro cao hơn so với các quốc gia khác, một lời giải thích tiềm năng cho các thị trường cổ phiếu năng động. Những lời giải thích cho sự khác biệt có thể mang tính lịch sử, truy nguyên về Pliny, Plato hay Khổng Tử. Chúng có thể phát sinh từ những khác biệt triết học hoặc tôn giáo. Địa lý thậm chí có thể đóng một vai trò.</w:t>
      </w:r>
    </w:p>
    <w:p>
      <w:pPr>
        <w:spacing w:after="80"/>
      </w:pPr>
      <w:r>
        <w:rPr>
          <w:b w:val="0"/>
          <w:i w:val="0"/>
        </w:rPr>
        <w:t>Xác định sự khác biệt là phần dễ. Xem xét cách chúng thực sự có thể tác động đến quản trị doanh nghiệp thì khó hơn. Tuy nhiên, có một số nơi mà sự khác biệt văn hóa có thể được quan sát trong thực tế. Thái độ về thù lao giám đốc điều hành khác nhau giữa các nền văn hóa. Ở một quốc gia như Hoa Kỳ, được đặc trưng là có tính cá nhân cao hơn và ít bình đẳng hơn, văn hóa thịnh hành chấp nhận mức thù lao cao hơn. Do đó, một hệ thống quản trị không thể trông cậy vào áp lực xã hội để áp đặt các giới hạn hiệu quả. Ngược lại, trong các nền văn hóa bình đẳng hơn, việc làm bẽ mặt và các hình thức áp lực xã hội khác có thể hạn chế hiệu quả những khoản tiền này. Kết quả là, việc điều chỉnh thù lao giám đốc điều hành có thể khác biệt đáng kể.</w:t>
      </w:r>
    </w:p>
    <w:p>
      <w:pPr>
        <w:spacing w:after="80"/>
      </w:pPr>
      <w:r>
        <w:rPr>
          <w:b w:val="0"/>
          <w:i w:val="0"/>
        </w:rPr>
        <w:t>Đôi khi văn hóa có thể được quan sát bằng cách xem xét sự khác biệt trong các chế độ pháp lý áp dụng cho quản trị doanh nghiệp. Tuy nhiên, trong những trường hợp khác, tác động lại tinh tế hơn. Do đó, hầu hết các hệ thống quản trị doanh nghiệp ở một mức độ nào đó đều dựa vào sự hiện diện ở cấp hội đồng quản trị của các giám đốc không thuộc ban quản lý. Tuy nhiên, các giám đốc độc lập ở một mức độ nào đó được dự định để đưa ra quan điểm không đồng thuận trong phòng họp hội đồng quản trị. Được cho là đại diện cho lợi ích của cổ đông, họ được kỳ vọng ít nhất đôi khi phản đối con đường mà ban quản lý đã chọn. Điều này đặc biệt đúng ở Hoa Kỳ với những nỗ lực tăng cơ hội bầu chọn các giám đốc do bên ngoài ban quản lý đề cử.</w:t>
      </w:r>
    </w:p>
    <w:p>
      <w:pPr>
        <w:spacing w:after="80"/>
      </w:pPr>
      <w:r>
        <w:rPr>
          <w:b w:val="0"/>
          <w:i w:val="0"/>
        </w:rPr>
        <w:t>Trong các xã hội bình đẳng hoặc cộng đồng hơn, kỳ vọng này đối với giám đốc độc lập thường có thể xung đột với các giá trị xã hội. Kết quả là, những giám đốc này (và quá trình lựa chọn giám đốc) có thể không đặt trọng lượng đáng kể vào nhu cầu về các quan điểm bất đồng.</w:t>
      </w:r>
    </w:p>
    <w:p>
      <w:pPr>
        <w:pStyle w:val="Heading5"/>
      </w:pPr>
      <w:r>
        <w:rPr>
          <w:rFonts w:ascii="Calibri" w:hAnsi="Calibri"/>
          <w:b/>
          <w:i/>
          <w:sz w:val="22"/>
        </w:rPr>
        <w:t>Nhận xét và Câu hỏi</w:t>
      </w:r>
    </w:p>
    <w:p>
      <w:pPr>
        <w:spacing w:after="80"/>
      </w:pPr>
      <w:r>
        <w:rPr>
          <w:b w:val="0"/>
          <w:i w:val="0"/>
        </w:rPr>
        <w:t>1. Một nền văn hóa được đặc trưng bởi tính thứ bậc (hierarchical) có thể tác động thế nào đến quản trị doanh nghiệp (corporate governance)? Ví dụ, trong những xã hội có thứ bậc rõ ràng, điều đó có thể ảnh hưởng ra sao đến bất kỳ hệ thống thực thi (enforcement) nào?</w:t>
      </w:r>
    </w:p>
    <w:p>
      <w:pPr>
        <w:spacing w:after="80"/>
      </w:pPr>
      <w:r>
        <w:rPr>
          <w:b w:val="0"/>
          <w:i w:val="0"/>
        </w:rPr>
        <w:t>2. Các cấu hình cổ đông (shareholder configurations) có lời giải thích mang tính văn hóa không? Ở Ý, cấu trúc kim tự tháp (pyramid structures), thường do các gia đình tạo ra, rất phổ biến. Ở Mỹ, sở hữu phân tán (dispersed ownership) là mô hình phổ biến. Có lời giải thích mang tính văn hóa cho những cấu trúc này không? Nếu có, điều đó gợi ý gì về khả năng chúng thay đổi? Liệu văn hóa có thể giải thích sự ưa chuộng hệ thống dân luật (civil law) so với thông luật (common law) không?</w:t>
      </w:r>
    </w:p>
    <w:p>
      <w:pPr>
        <w:spacing w:after="80"/>
      </w:pPr>
      <w:r>
        <w:rPr>
          <w:b w:val="0"/>
          <w:i w:val="0"/>
        </w:rPr>
        <w:t xml:space="preserve">3. Người ta cho rằng mức độ né tránh sự bất định (uncertainty avoidance) hay mức độ chấp nhận rủi ro (risk tolerance) khác nhau giữa các nền văn hóa. </w:t>
      </w:r>
      <w:r>
        <w:rPr>
          <w:b w:val="0"/>
          <w:i/>
        </w:rPr>
        <w:t>Xem</w:t>
      </w:r>
      <w:r>
        <w:rPr>
          <w:b w:val="0"/>
          <w:i w:val="0"/>
        </w:rPr>
        <w:t xml:space="preserve"> Michael H. Lubetsky, </w:t>
      </w:r>
      <w:r>
        <w:rPr>
          <w:b w:val="0"/>
          <w:i/>
        </w:rPr>
        <w:t>Cultural Difference and Corporate Governance</w:t>
      </w:r>
      <w:r>
        <w:rPr>
          <w:b w:val="0"/>
          <w:i w:val="0"/>
        </w:rPr>
        <w:t xml:space="preserve"> , 17 Transnat'l L. &amp; Contemp. Probs. 187, 190–91 (2008) (“Né tránh sự bất định (Uncertainty avoidance - UA) đo lường mức độ thoải mái của một nền văn hóa với những sự kiện không thể dự đoán trước. Giá trị cao hơn gợi ý một xã hội có xu hướng tuân thủ hơn, ngại rủi ro hơn và nói chung kém linh hoạt hơn, trong khi giá trị thấp hơn gợi ý mức độ chấp nhận rủi ro, thay đổi, đa dạng và sự mơ hồ cao hơn. Nhật Bản, Bỉ và Hy Lạp đều có mức né tránh sự bất định cao trong khi Singapore, Thụy Điển và Vương quốc Anh có mức tương đối thấp.”). Điều này có thể ảnh hưởng thế nào đến hệ thống quản trị của một quốc gia?</w:t>
      </w:r>
    </w:p>
    <w:p>
      <w:pPr>
        <w:spacing w:after="80"/>
      </w:pPr>
      <w:r>
        <w:rPr>
          <w:b w:val="0"/>
          <w:i w:val="0"/>
        </w:rPr>
        <w:t xml:space="preserve">4. Chẳng hạn, Giáo sư Milhaupt khẳng định rằng mức độ chấp nhận rủi ro là cần thiết cho một thị trường đầu tư mạo hiểm (venture capital) năng động và rằng mức độ chấp nhận rủi ro được “nuôi dưỡng trong hệ thống quản trị doanh nghiệp của Mỹ.” Curtis J. Milhaupt, </w:t>
      </w:r>
      <w:r>
        <w:rPr>
          <w:b w:val="0"/>
          <w:i/>
        </w:rPr>
        <w:t>The Market for Innovation in the United States and Japan: Venture Capital and the Comparative Corporate Governance Debate</w:t>
      </w:r>
      <w:r>
        <w:rPr>
          <w:b w:val="0"/>
          <w:i w:val="0"/>
        </w:rPr>
        <w:t xml:space="preserve"> , 91 Nw. U.L. Rev. 865, 893 (1997). Bạn có đồng ý không? Ông lưu ý rằng đặc điểm văn hóa này không có ở Nhật Bản. Điều này có thể tạo ra khác biệt gì trong sự phát triển của một hệ thống quản trị doanh nghiệp?</w:t>
      </w:r>
    </w:p>
    <w:p>
      <w:pPr>
        <w:spacing w:after="80"/>
      </w:pPr>
      <w:r>
        <w:rPr>
          <w:b w:val="0"/>
          <w:i w:val="0"/>
        </w:rPr>
        <w:t>5. Theo truyền thống, các CEO của Mỹ nhận mức lương cao hơn những người đồng cấp ở các quốc gia khác. Hơn nữa, hệ thống của Mỹ dựa phần lớn vào hiệu suất (performance), với phần lớn thù lao trả cho các giám đốc điều hành dưới dạng cổ phần (equity). Khi giá cổ phiếu tăng, thù lao của họ cũng tăng theo. Một số người dùng văn hóa như một lời giải thích then chốt cho sự khác biệt này. Tuy nhiên, có bằng chứng cho thấy các thực tiễn thù lao đang hội tụ (converging), với việc sử dụng các khoản thanh toán dựa trên khuyến khích (incentive based payments) ngày càng nhiều trên toàn cầu. Điều này gợi ý gì về việc áp dụng yếu tố văn hóa? Tính chất ngày càng toàn cầu của nền kinh tế có tác động đến các chuẩn mực văn hóa không? Ví dụ, thị trường cho ban lãnh đạo cấp cao ở các công ty lớn là toàn cầu hay quốc gia?</w:t>
      </w:r>
    </w:p>
    <w:p>
      <w:pPr>
        <w:spacing w:after="80"/>
      </w:pPr>
      <w:r>
        <w:rPr>
          <w:b w:val="0"/>
          <w:i w:val="0"/>
        </w:rPr>
        <w:t xml:space="preserve">6. Làm thế nào những khác biệt văn hóa có thể giải thích các chế độ pháp lý khác nhau liên quan đến giao dịch tự lợi (self-dealing) ngoài vấn đề thù lao giám đốc điều hành? </w:t>
      </w:r>
      <w:r>
        <w:rPr>
          <w:b w:val="0"/>
          <w:i/>
        </w:rPr>
        <w:t>Xem</w:t>
      </w:r>
      <w:r>
        <w:rPr>
          <w:b w:val="0"/>
          <w:i w:val="0"/>
        </w:rPr>
        <w:t xml:space="preserve"> Erica Gorga, </w:t>
      </w:r>
      <w:r>
        <w:rPr>
          <w:b w:val="0"/>
          <w:i/>
        </w:rPr>
        <w:t>Culture and Corporate Law Reform: A Case Study of Brazil</w:t>
      </w:r>
      <w:r>
        <w:rPr>
          <w:b w:val="0"/>
          <w:i w:val="0"/>
        </w:rPr>
        <w:t xml:space="preserve"> , 27 U. Pa. J. Int'l Econ. L. 803 (2006) (“Không có chuẩn mực xã hội mạnh mẽ nào để hỗ trợ các biện pháp trừng phạt hiệu quả bởi vì xã hội không lên án mạnh mẽ các thực tiễn giao dịch tự lợi.”).</w:t>
      </w:r>
    </w:p>
    <w:p>
      <w:pPr>
        <w:spacing w:after="80"/>
      </w:pPr>
      <w:r>
        <w:rPr>
          <w:b w:val="0"/>
          <w:i w:val="0"/>
        </w:rPr>
        <w:t>—————</w:t>
      </w:r>
    </w:p>
    <w:p>
      <w:pPr>
        <w:spacing w:after="80"/>
      </w:pPr>
      <w:r>
        <w:rPr>
          <w:b w:val="0"/>
          <w:i w:val="0"/>
        </w:rPr>
        <w:t>Còn về việc đưa một hệ thống kinh tế dựa trên sở hữu tư nhân (private ownership) vào một nền văn hóa vốn phần lớn tránh xa cách tiếp cận như vậy thì sao? Cấu trúc quản trị có nên phản ánh những khác biệt này không, hay mô hình thông thường có thể được cấy ghép nguyên vẹn vào một quốc gia bất chấp những khác biệt về văn hóa và lịch sử này?</w:t>
      </w:r>
    </w:p>
    <w:p>
      <w:pPr>
        <w:pStyle w:val="Heading4"/>
      </w:pPr>
      <w:r>
        <w:rPr>
          <w:rFonts w:ascii="Calibri" w:hAnsi="Calibri"/>
          <w:b/>
          <w:i w:val="0"/>
          <w:sz w:val="23"/>
        </w:rPr>
        <w:t xml:space="preserve">J. Robert Brown, Jr., </w:t>
      </w:r>
      <w:r>
        <w:rPr>
          <w:rFonts w:ascii="Calibri" w:hAnsi="Calibri"/>
          <w:b/>
          <w:i/>
          <w:sz w:val="23"/>
        </w:rPr>
        <w:t>Culture, Chaos and Capitalism:</w:t>
      </w:r>
      <w:r>
        <w:br/>
      </w:r>
      <w:r>
        <w:rPr>
          <w:rFonts w:ascii="Calibri" w:hAnsi="Calibri"/>
          <w:b/>
          <w:i/>
          <w:sz w:val="23"/>
        </w:rPr>
        <w:t xml:space="preserve"> Privatization in Kazakhstan</w:t>
      </w:r>
    </w:p>
    <w:p>
      <w:pPr>
        <w:spacing w:after="80"/>
      </w:pPr>
      <w:r>
        <w:rPr>
          <w:b w:val="0"/>
          <w:i w:val="0"/>
        </w:rPr>
        <w:t>19 U. Pa. J. Int'l Econ. L. 909, 909–910, 912, 962–64 (1998)</w:t>
      </w:r>
    </w:p>
    <w:p>
      <w:pPr>
        <w:spacing w:after="80"/>
      </w:pPr>
      <w:r>
        <w:rPr>
          <w:b w:val="0"/>
          <w:i w:val="0"/>
        </w:rPr>
        <w:t>Những quốc gia ra đời từ tàn dư của Liên bang Xô viết ngay lập tức phải đối mặt với một loạt vấn đề chính trị và kinh tế nghiêm trọng. Mỗi nước đều phải vật lộn với các vấn đề về chủ quyền và dân chủ, và trong một số trường hợp là nội chiến. Trong lĩnh vực kinh tế, họ phải giải quyết các vấn đề tháo dỡ nền kinh tế chỉ huy (command economy). Độc lập để lại cho các quốc gia này quyền sở hữu những mảnh của nền kinh tế tập trung vốn tình cờ nằm trong lãnh thổ của họ khi Liên bang Xô viết sụp đổ. Kết quả là hỗn loạn nhiều hơn là gắn kết.</w:t>
      </w:r>
    </w:p>
    <w:p>
      <w:pPr>
        <w:spacing w:after="80"/>
      </w:pPr>
      <w:r>
        <w:rPr>
          <w:b w:val="0"/>
          <w:i w:val="0"/>
        </w:rPr>
        <w:t>Hầu hết các quốc gia mới độc lập đều cố gắng, với mức độ nghiêm túc khác nhau, từ bỏ kiểu quản lý kinh tế Xô viết để chuyển sang cách tiếp cận mở hơn do thị trường định hướng. Là một phần của quá trình này, các quốc gia này tư nhân hóa các ngành công nghiệp, chuyển quyền sở hữu từ công sang tư. Các chương trình thường bao gồm sự kết hợp giữa bán bằng tiền mặt và chuyển nhượng trực tiếp, thường để đổi lấy phiếu ưu đãi (coupons) hoặc chứng từ (vouchers).</w:t>
      </w:r>
    </w:p>
    <w:p>
      <w:pPr>
        <w:spacing w:after="80"/>
      </w:pPr>
      <w:r>
        <w:rPr>
          <w:b w:val="0"/>
          <w:i w:val="0"/>
        </w:rPr>
        <w:t>Tính chất lan rộng của các nỗ lực tư nhân hóa ở Liên bang Xô viết cũ đã trở thành một chủ đề đủ phổ biến trong tài liệu pháp lý, mặc dù việc phân tích phê phán về thành công hay thất bại của những nỗ lực này vẫn còn thiếu sót một cách đáng lo ngại. Trong chừng mực đã có đánh giá, nó thường tập trung vào tốc độ mà chính phủ đưa tài sản nhà nước vào tay các chủ sở hữu tư nhân.</w:t>
      </w:r>
    </w:p>
    <w:p>
      <w:pPr>
        <w:spacing w:after="80"/>
      </w:pPr>
      <w:r>
        <w:rPr>
          <w:b w:val="0"/>
          <w:i w:val="0"/>
        </w:rPr>
        <w:t>Điều thường bị bỏ qua là những khác biệt rõ rệt giữa các phần khác nhau của Liên bang Xô viết cũ và nhu cầu xem xét các tác động văn hóa của một trật tự kinh tế mới. Thị trường mở và chủ nghĩa tư bản chứa đựng những giá trị đối nghịch với một số nền văn hóa ở Liên bang Xô viết cũ. Hơn nữa, họ phải giải quyết những hệ quả của việc thiết lập một nền kinh tế thị trường mở đúng vào lúc họ đang cố gắng xây dựng một quốc gia dân tộc. Điều này đặc biệt đúng đối với Kazakhstan.</w:t>
      </w:r>
    </w:p>
    <w:p>
      <w:pPr>
        <w:spacing w:after="80"/>
      </w:pPr>
      <w:r>
        <w:rPr>
          <w:b w:val="0"/>
          <w:i w:val="0"/>
        </w:rPr>
        <w:t>* * *</w:t>
      </w:r>
    </w:p>
    <w:p>
      <w:pPr>
        <w:spacing w:after="80"/>
      </w:pPr>
      <w:r>
        <w:rPr>
          <w:b w:val="0"/>
          <w:i w:val="0"/>
        </w:rPr>
        <w:t>Nằm ở Trung Á, lãnh thổ Kazakhstan đã là nơi sinh sống chủ yếu của các dân tộc du mục trong 2,500 năm. Lời giải thích phần lớn mang tính địa lý. Với những không gian rộng lớn, Kazakhstan chủ yếu gồm thảo nguyên và sa mạc/bán sa mạc, với núi non chiếm ưu thế ở phía nam. Kết quả là một lãnh thổ rộng mở, dân cư thưa thớt, rất dễ tiếp nhận các nền văn hóa trải rộng trên những vùng đất lớn, chủ yếu để tìm kiếm đất chăn thả.</w:t>
      </w:r>
    </w:p>
    <w:p>
      <w:pPr>
        <w:spacing w:after="80"/>
      </w:pPr>
      <w:r>
        <w:rPr>
          <w:b w:val="0"/>
          <w:i w:val="0"/>
        </w:rPr>
        <w:t>Khác với những người dân “ốc đảo” định cư hơn, người Kazakh dựa vào chăn nuôi gia súc chứ không phải trồng trọt làm hoạt động kinh tế chính. Họ sống du cư, lang bạt khắp những vùng lãnh thổ rộng lớn để tìm đồng cỏ chăn thả thích hợp. “Không bị ràng buộc bởi của cải,” người Kazakh “được tổ chức bằng sự di chuyển không ngừng nghỉ.” Một nền văn hóa không dựa trên đá và vữa, người Kazakh không xây dựng những thành phố vĩ đại và không để lại những công trình tưởng niệm đồ sộ như những gì tìm thấy ở thành phố Samarkand của người Uzbek.</w:t>
      </w:r>
    </w:p>
    <w:p>
      <w:pPr>
        <w:spacing w:after="80"/>
      </w:pPr>
      <w:r>
        <w:rPr>
          <w:b w:val="0"/>
          <w:i w:val="0"/>
        </w:rPr>
        <w:t>* * *</w:t>
      </w:r>
    </w:p>
    <w:p>
      <w:pPr>
        <w:spacing w:after="80"/>
      </w:pPr>
      <w:r>
        <w:rPr>
          <w:b w:val="0"/>
          <w:i w:val="0"/>
        </w:rPr>
        <w:t>Các xã hội du mục nói chung khoan dung và bình đẳng, ít có sự phân tầng giai cấp. Mối quan hệ gia đình bền chặt, và quyền kiểm soát chính trị thì yếu ớt. Hơn nữa, dù những xã hội này mang tính phụ quyền, phụ nữ vẫn đóng vai trò trung tâm trong xã hội Kazakh. Ngoài ra, họ có mối quan hệ phụ thuộc cao độ vào môi trường xung quanh. Quy mô đàn gia súc cuối cùng phụ thuộc vào năng suất của những vùng đồng cỏ mà người Kazakh di cư sử dụng. Một số hoạt động thương mại có phát triển với các dân cư định cư lân cận, nhưng nhìn chung không chiếm phần lớn trong nền kinh tế du mục.</w:t>
      </w:r>
    </w:p>
    <w:p>
      <w:pPr>
        <w:spacing w:after="80"/>
      </w:pPr>
      <w:r>
        <w:rPr>
          <w:b w:val="0"/>
          <w:i w:val="0"/>
        </w:rPr>
        <w:t>Tuy nhiên, mô tả này không nên gợi lên một sự tồn tại lãng mạn. Phụ thuộc vào chăn nuôi, những đợt hạn hán định kỳ hay mùa đông dài dẫn đến gian khổ và nạn đói. Chiến tranh là mối đe dọa thường trực, với những vùng đồng cỏ trù phú luôn bị kẻ khác thèm muốn. Dù vậy, bất chấp mọi khó khăn, những người du mục Trung Á vẫn sở hữu những phẩm chất phong phú và thấm đẫm chiều sâu. Họ công nhận “võ nghệ, lòng hiếu khách, sự kính trọng người già, tình yêu dành cho trẻ em, và sự sẵn lòng giúp đỡ họ hàng là những đức hạnh.”</w:t>
      </w:r>
    </w:p>
    <w:p>
      <w:pPr>
        <w:spacing w:after="80"/>
      </w:pPr>
      <w:r>
        <w:rPr>
          <w:b w:val="0"/>
          <w:i w:val="0"/>
        </w:rPr>
        <w:t>* * *</w:t>
      </w:r>
    </w:p>
    <w:p>
      <w:pPr>
        <w:spacing w:after="80"/>
      </w:pPr>
      <w:r>
        <w:rPr>
          <w:b w:val="0"/>
          <w:i w:val="0"/>
        </w:rPr>
        <w:t>Sự bành trướng không thể cưỡng lại của Nga vào Trung Á đã có ảnh hưởng sâu sắc đến văn hóa và lối sống của người Kazakh. Đặc biệt, tính chất phi tập trung và không phân tầng của xã hội Kazakh bị tấn công, cũng như sự nhấn mạnh ngày càng tăng vào quyền sở hữu đất đai và nông nghiệp. Một số khía cạnh của văn hóa du mục vẫn tồn tại; nhiều khía cạnh thì không.</w:t>
      </w:r>
    </w:p>
    <w:p>
      <w:pPr>
        <w:spacing w:after="80"/>
      </w:pPr>
      <w:r>
        <w:rPr>
          <w:b w:val="0"/>
          <w:i w:val="0"/>
        </w:rPr>
        <w:t>[Việc Kazakhstan bị sáp nhập vào Liên bang Xô viết] kéo theo những nỗ lực quyết liệt nhằm tái cấu trúc đời sống người Kazakh. Được coi là dân tộc du mục vĩ đại cuối cùng, nhiều người Kazakh vẫn tiếp tục sống du cư suốt những năm 1920. Ngay cả những người chọn làm nông nghiệp cũng thường xem hoạt động này như một phần phụ trợ cho chăn nuôi, trồng trọt để cung cấp thức ăn mùa đông cho đàn gia súc. Tuy nhiên, Stalin đã ra lệnh tập thể hóa và, vào năm 1928, ban hành kế hoạch năm năm nhằm hoàn thành nhiệm vụ này.</w:t>
      </w:r>
    </w:p>
    <w:p>
      <w:pPr>
        <w:spacing w:after="80"/>
      </w:pPr>
      <w:r>
        <w:rPr>
          <w:b w:val="0"/>
          <w:i w:val="0"/>
        </w:rPr>
        <w:t>Thảm họa của việc tập thể hóa khiến người Kazakh trở thành thiểu số ngay trên đất nước mình. Từ năm 1926 đến 1939, số lượng người Kazakh giảm từ 3.7 triệu xuống 2.3 triệu. Đồng thời, dân số Nga tăng lên 2.5 triệu, chiếm 40% tổng dân số so với người Kazakh chiếm 38% dân số. Phải mất năm mươi năm người Kazakh mới lại chiếm đa số tương đối.</w:t>
      </w:r>
    </w:p>
    <w:p>
      <w:pPr>
        <w:spacing w:after="80"/>
      </w:pPr>
      <w:r>
        <w:rPr>
          <w:b w:val="0"/>
          <w:i w:val="0"/>
        </w:rPr>
        <w:t>Chuyển đổi kinh tế [trong thời hậu Xô viết] là điều tất yếu phải xảy ra. Hơn nữa, một mức độ tư nhân hóa nào đó là không thể tránh khỏi. Chính phủ thiếu nguồn lực để duy trì quyền sở hữu tất cả tài sản kinh tế. Tư nhân hóa, nếu không vì gì khác, sẽ giảm bớt gánh nặng tiếp tục đè lên ngân khố do những doanh nghiệp thua lỗ này gây ra. Ngoài ra, một phần tài sản thuộc sở hữu nhà nước có thể được trả lại cho toàn thể người dân, một sự đảo ngược mang tính biểu tượng đối với những thái quá của việc tập thể hóa và quốc hữu hóa tư liệu sản xuất.</w:t>
      </w:r>
    </w:p>
    <w:p>
      <w:pPr>
        <w:spacing w:after="80"/>
      </w:pPr>
      <w:r>
        <w:rPr>
          <w:b w:val="0"/>
          <w:i w:val="0"/>
        </w:rPr>
        <w:t>* * *</w:t>
      </w:r>
    </w:p>
    <w:p>
      <w:pPr>
        <w:spacing w:after="80"/>
      </w:pPr>
      <w:r>
        <w:rPr>
          <w:b w:val="0"/>
          <w:i w:val="0"/>
        </w:rPr>
        <w:t>Việc chỉ trích [quá trình tư nhân hóa] thì dễ dàng. Sự xáo trộn sẽ xảy ra dù có triển khai bất kỳ hệ thống kinh tế nào. Tuy nhiên, có lẽ không thực tế khi kỳ vọng vào việc nhanh chóng và thành công trong áp dụng nền kinh tế tư bản. Một phần, Kazakhstan chưa sẵn sàng, cả về thực tiễn lẫn tâm lý, để hoàn toàn từ bỏ một hệ thống kinh tế dựa trên sự kiểm soát của chính phủ và hoàn toàn đón nhận thị trường mở. Hơn nữa, những bất thường do sự sụp đổ của nền kinh tế chỉ huy tạo ra khiến các nguyên tắc thị trường phổ biến ở những quốc gia phát triển hơn không thể vận hành ở Kazakhstan thời hậu độc lập.</w:t>
      </w:r>
    </w:p>
    <w:p>
      <w:pPr>
        <w:spacing w:after="80"/>
      </w:pPr>
      <w:r>
        <w:rPr>
          <w:b w:val="0"/>
          <w:i w:val="0"/>
        </w:rPr>
        <w:t>Điều này cho thấy cải cách kinh tế lẽ ra nên nhấn mạnh vào một thể chế phù hợp hơn với những điều kiện đặc thù của Kazakhstan. Một phần, điều này có nghĩa là công nhận sự thiếu đào tạo về các nguyên tắc tư bản và sự quen thuộc với thị trường mở. Nó có nghĩa là công nhận rằng Kazakhstan không phải là một quốc gia đang phát triển, mà là một quốc gia bị phát triển sai lệch. Nó cũng có nghĩa là công nhận những khía cạnh văn hóa và lịch sử đặc thù trong quá trình phát triển của đất nước này.</w:t>
      </w:r>
    </w:p>
    <w:p>
      <w:pPr>
        <w:spacing w:after="80"/>
      </w:pPr>
      <w:r>
        <w:rPr>
          <w:b w:val="0"/>
          <w:i w:val="0"/>
        </w:rPr>
        <w:t>Bất chấp những kinh hoàng của thời đại Stalin, với việc cưỡng bức tập thể hóa đàn gia súc và nạn đói hàng loạt, những phẩm chất của văn hóa du mục vẫn tồn tại và thậm chí hưng thịnh trong thời kỳ Xô viết. Người Kazakh vẫn chưa phát triển một nền văn hóa lấy việc sở hữu bất động sản và sự tích lũy tham lam của cải cá nhân làm trung tâm. Hơn nữa, thời kỳ Xô viết không làm thay đổi nhiều mối quan hệ gia đình bền chặt giữa người Kazakh và lòng hiếu khách căn bản dường như phổ quát. Tuy nhiên, trong nền kinh tế đang chuyển đổi, những phẩm chất này bị đặt dưới áp lực đáng kể.</w:t>
      </w:r>
    </w:p>
    <w:p>
      <w:pPr>
        <w:spacing w:after="80"/>
      </w:pPr>
      <w:r>
        <w:rPr>
          <w:b w:val="0"/>
          <w:i w:val="0"/>
        </w:rPr>
        <w:t xml:space="preserve">Chương trình tư nhân hóa cũng không có nỗ lực nào nhằm tận dụng những điểm mạnh truyền thống của người Kazakh. Lối sống Kazakh có một số phẩm chất mà, trong một quá trình chuyển đổi kinh tế được thiết kế đúng đắn, có thể giải quyết một số vấn đề tất yếu sẽ nảy sinh. Mối quan hệ gia đình bền chặt, được hình thành từ thời người Kazakh cùng nhau di chuyển trong những </w:t>
      </w:r>
      <w:r>
        <w:rPr>
          <w:b w:val="0"/>
          <w:i/>
        </w:rPr>
        <w:t>aul</w:t>
      </w:r>
      <w:r>
        <w:rPr>
          <w:b w:val="0"/>
          <w:i w:val="0"/>
        </w:rPr>
        <w:t xml:space="preserve"> trên các tuyến đường du cư, vẫn còn nguyên vẹn phần lớn. Ý thức về nghĩa vụ tương hỗ và hợp tác, một phẩm chất cần thiết để sinh tồn trên thảo nguyên, cũng vậy. Do đó, tư nhân hóa có thể tính đến những giá trị và khuynh hướng này, có lẽ bằng cách khuyến khích các đơn vị gia đình góp chung nguồn lực.</w:t>
      </w:r>
    </w:p>
    <w:p>
      <w:pPr>
        <w:spacing w:after="80"/>
      </w:pPr>
      <w:r>
        <w:rPr>
          <w:b w:val="0"/>
          <w:i w:val="0"/>
        </w:rPr>
        <w:t>Thay vào đó, tư nhân hóa ít tận dụng những giá trị này. Trong chừng mực các cân nhắc văn hóa nổi lên, nó thường xoay quanh những nỗ lực sô-vanh nhằm áp đặt tiếng Kazakh lên dân cư không phải người Kazakh. Hơn nữa, như một người Kazakh đã nhận xét, “không có một nghiên cứu học thuật nào được dành riêng” cho chủ đề văn học truyền miệng. Khi chủ nghĩa tư bản ập đến, những nỗ lực bắt buộc tiếng Kazakh đang xung đột với mong muốn học tiếng Anh, ngôn ngữ của kinh doanh quốc tế.</w:t>
      </w:r>
    </w:p>
    <w:p>
      <w:pPr>
        <w:spacing w:after="80"/>
      </w:pPr>
      <w:r>
        <w:rPr>
          <w:b w:val="0"/>
          <w:i w:val="0"/>
        </w:rPr>
        <w:t>Một quá trình tư nhân hóa được điều hành hiệu quả hơn sẽ không xóa bỏ được xung đột giữa một trật tự kinh tế mới và những tàn dư còn sót lại của văn hóa du mục. Ngay cả với sự phục hồi suôn sẻ và nhanh chóng hơn, người Kazakh vẫn phải thích nghi. Tuy nhiên, việc rút ngắn giai đoạn suy yếu kinh tế—điều lẽ ra có thể xảy ra với một quá trình tư nhân hóa hiệu quả hơn—sẽ tạo ra một môi trường dễ đón nhận hơn cho sự hồi sinh của văn hóa, lịch sử và truyền thống Kazakh.</w:t>
      </w:r>
    </w:p>
    <w:p>
      <w:pPr>
        <w:spacing w:after="80"/>
      </w:pPr>
      <w:r>
        <w:rPr>
          <w:b w:val="0"/>
          <w:i w:val="0"/>
        </w:rPr>
        <w:t>Điều này cho thấy rằng khi xây dựng một chương trình tư nhân hóa, cần phải xem xét sự chuyển đổi trên các phương diện kinh tế, văn hóa và tâm lý. Khi làm như vậy, rõ ràng là không có một khuôn mẫu nào phù hợp cho tất cả. Tốc độ chuyển dịch tài sản từ khu vực công sang khu vực tư cũng không phải là phương pháp duy nhất, hay thậm chí là tốt nhất, để đánh giá sự thành công của một chương trình tư nhân hóa.</w:t>
      </w:r>
    </w:p>
    <w:p>
      <w:pPr>
        <w:pStyle w:val="Heading5"/>
      </w:pPr>
      <w:r>
        <w:rPr>
          <w:rFonts w:ascii="Calibri" w:hAnsi="Calibri"/>
          <w:b/>
          <w:i/>
          <w:sz w:val="22"/>
        </w:rPr>
        <w:t>Nhận xét và Câu hỏi</w:t>
      </w:r>
    </w:p>
    <w:p>
      <w:pPr>
        <w:spacing w:after="80"/>
      </w:pPr>
      <w:r>
        <w:rPr>
          <w:b w:val="0"/>
          <w:i w:val="0"/>
        </w:rPr>
        <w:t>1. Nếu bạn được yêu cầu đưa ra lời khuyên chuyên môn tại một quốc gia đang phát triển về một bộ quy tắc ứng xử doanh nghiệp phù hợp, bạn sẽ bắt đầu như thế nào? Một số vấn đề bạn cần giải quyết là gì? Việc hiểu rõ văn hóa địa phương quan trọng đến mức nào?</w:t>
      </w:r>
    </w:p>
    <w:p>
      <w:pPr>
        <w:spacing w:after="80"/>
      </w:pPr>
      <w:r>
        <w:rPr>
          <w:b w:val="0"/>
          <w:i w:val="0"/>
        </w:rPr>
        <w:t>2. Kazakhstan bị Nga sáp nhập tương đối muộn, với quá trình này hoàn tất vào những năm 1800. Cho đến những năm 1930 và cuộc định cư cưỡng bức, một số lượng đáng kể người Kazakh vẫn sống du mục. Đây là một cuộc sống "được tổ chức bằng sự di chuyển không ngừng nghỉ." Nói cách khác, đây không phải là một nền văn hóa được xây dựng xoay quanh quyền sở hữu tư nhân đối với doanh nghiệp và đất đai.</w:t>
      </w:r>
    </w:p>
    <w:p>
      <w:pPr>
        <w:spacing w:after="80"/>
      </w:pPr>
      <w:r>
        <w:rPr>
          <w:b w:val="0"/>
          <w:i w:val="0"/>
        </w:rPr>
        <w:t>3. Mặc dù việc khái quát hóa toàn bộ các nền văn hóa luôn là điều nguy hiểm, các xã hội du mục thường được nhìn nhận là khoan dung và bình đẳng. Như một nhà bình luận đã mô tả, những người du mục ở Trung Á được thấm nhuần "võ nghệ, lòng hiếu khách, sự kính trọng người lớn tuổi, tình yêu thương trẻ em, và sự sẵn sàng giúp đỡ họ hàng như những đức tính." Liệu những phẩm chất này có thể ảnh hưởng đến một chế độ quản trị doanh nghiệp không?</w:t>
      </w:r>
    </w:p>
    <w:p>
      <w:pPr>
        <w:spacing w:after="80"/>
      </w:pPr>
      <w:r>
        <w:rPr>
          <w:b w:val="0"/>
          <w:i w:val="0"/>
        </w:rPr>
        <w:t>4. Người Kazakh được chia thành ba nhóm hay Juz (đôi khi được dịch là thị tộc): Lớn, Trung và Nhỏ. Mỗi nhóm tập trung ở một vùng cụ thể của Kazakhstan. Tổng thống đầu tiên của Kazakhstan độc lập, Nursultan Nazarbayev, xuất thân từ Juz Lớn. Sự hiện diện của các nhóm này có thể ảnh hưởng như thế nào đến cách tiếp cận quản trị doanh nghiệp?</w:t>
      </w:r>
    </w:p>
    <w:p>
      <w:pPr>
        <w:spacing w:after="80"/>
      </w:pPr>
      <w:r>
        <w:rPr>
          <w:b w:val="0"/>
          <w:i w:val="0"/>
        </w:rPr>
        <w:t xml:space="preserve">5. Nền văn hóa và lịch sử này có thể tạo ra sự khác biệt gì trong việc phát triển một hệ thống quản trị doanh nghiệp? Một nhà bình luận đã lưu ý đến quan điểm của các học giả khác cho rằng "người dân Kazakhstan sẽ không ủng hộ luật chống tham nhũng vì nó sẽ xâm phạm truyền thống tặng quà của họ." Philip M. Nichols, </w:t>
      </w:r>
      <w:r>
        <w:rPr>
          <w:b w:val="0"/>
          <w:i/>
        </w:rPr>
        <w:t>The Fit Between Changes to the International Corruption Regime and Indigenous Perceptions of Corruption in Kazakhstan</w:t>
      </w:r>
      <w:r>
        <w:rPr>
          <w:b w:val="0"/>
          <w:i w:val="0"/>
        </w:rPr>
        <w:t xml:space="preserve"> , 22 U. Pa. J. Int'l Econ. L. 863, 903 (Winter 2001). Điều này có thể tác động như thế nào đến việc phát triển một hệ thống quản trị phù hợp?</w:t>
      </w:r>
    </w:p>
    <w:p>
      <w:pPr>
        <w:spacing w:after="80"/>
      </w:pPr>
      <w:r>
        <w:rPr>
          <w:b w:val="0"/>
          <w:i w:val="0"/>
        </w:rPr>
        <w:t>6. Liệu mô hình tự cưỡng chế có đáp ứng được những khác biệt văn hóa này không? Hệ thống quy định có thể giải quyết những khác biệt văn hóa độc đáo mà người Kazakh thể hiện như thế nào?</w:t>
      </w:r>
    </w:p>
    <w:p>
      <w:pPr>
        <w:spacing w:after="80"/>
      </w:pPr>
      <w:r>
        <w:rPr>
          <w:b w:val="0"/>
          <w:i w:val="0"/>
        </w:rPr>
        <w:t>—————</w:t>
      </w:r>
    </w:p>
    <w:p>
      <w:pPr>
        <w:spacing w:after="80"/>
      </w:pPr>
      <w:r>
        <w:rPr>
          <w:b w:val="0"/>
          <w:i w:val="0"/>
        </w:rPr>
        <w:t>Văn hóa có thể ảnh hưởng đến quản trị doanh nghiệp trong thực tế như thế nào? Ví dụ, có nên xem xét yếu tố văn hóa khi xây dựng định nghĩa về giám đốc độc lập không?</w:t>
      </w:r>
    </w:p>
    <w:p>
      <w:pPr>
        <w:pStyle w:val="Heading4"/>
      </w:pPr>
      <w:r>
        <w:rPr>
          <w:rFonts w:ascii="Calibri" w:hAnsi="Calibri"/>
          <w:b/>
          <w:i w:val="0"/>
          <w:sz w:val="23"/>
        </w:rPr>
        <w:t xml:space="preserve">Yu-Hsin Lin, </w:t>
      </w:r>
      <w:r>
        <w:rPr>
          <w:rFonts w:ascii="Calibri" w:hAnsi="Calibri"/>
          <w:b/>
          <w:i/>
          <w:sz w:val="23"/>
        </w:rPr>
        <w:t>Do Social Ties Matter in Corporate Governance?</w:t>
      </w:r>
      <w:r>
        <w:br/>
      </w:r>
      <w:r>
        <w:rPr>
          <w:rFonts w:ascii="Calibri" w:hAnsi="Calibri"/>
          <w:b/>
          <w:i/>
          <w:sz w:val="23"/>
        </w:rPr>
        <w:t xml:space="preserve"> The Missing Factor in Chinese Corporate Governance Reform</w:t>
      </w:r>
    </w:p>
    <w:p>
      <w:pPr>
        <w:spacing w:after="80"/>
      </w:pPr>
      <w:r>
        <w:rPr>
          <w:b w:val="0"/>
          <w:i w:val="0"/>
        </w:rPr>
        <w:t>5 Geo. Mason J. Int'l Com. L. 39 (2013)</w:t>
      </w:r>
    </w:p>
    <w:p>
      <w:pPr>
        <w:spacing w:after="80"/>
      </w:pPr>
      <w:r>
        <w:rPr>
          <w:b w:val="0"/>
          <w:i w:val="0"/>
        </w:rPr>
        <w:t>IV. CÁC MỐI QUAN HỆ XÃ HỘI TRONG HỘI ĐỒNG QUẢN TRỊ TRUNG QUỐC</w:t>
      </w:r>
    </w:p>
    <w:p>
      <w:pPr>
        <w:spacing w:after="80"/>
      </w:pPr>
      <w:r>
        <w:rPr>
          <w:b w:val="0"/>
          <w:i w:val="0"/>
        </w:rPr>
        <w:t xml:space="preserve">Trọng tâm của văn hóa Trung Quốc là khái niệm </w:t>
      </w:r>
      <w:r>
        <w:rPr>
          <w:b w:val="0"/>
          <w:i/>
        </w:rPr>
        <w:t>guanxi</w:t>
      </w:r>
      <w:r>
        <w:rPr>
          <w:b w:val="0"/>
          <w:i w:val="0"/>
        </w:rPr>
        <w:t xml:space="preserve"> , tạm dịch là các mối quan hệ cá nhân, hay các mối quan hệ giữa người với người. Thành tố này của văn hóa Trung Quốc chi phối mọi khía cạnh của đời sống xã hội trong các xã hội Trung Quốc, bao gồm cả trong thế giới kinh doanh. Trong các xã hội Trung Quốc đương đại, </w:t>
      </w:r>
      <w:r>
        <w:rPr>
          <w:b w:val="0"/>
          <w:i/>
        </w:rPr>
        <w:t>guanxi</w:t>
      </w:r>
      <w:r>
        <w:rPr>
          <w:b w:val="0"/>
          <w:i w:val="0"/>
        </w:rPr>
        <w:t xml:space="preserve"> vẫn mạnh mẽ đến mức, nếu không được điều chỉnh, nó có thể đe dọa giá trị cốt lõi của giám đốc độc lập—tính độc lập.</w:t>
      </w:r>
    </w:p>
    <w:p>
      <w:pPr>
        <w:spacing w:after="80"/>
      </w:pPr>
      <w:r>
        <w:rPr>
          <w:b w:val="0"/>
          <w:i w:val="0"/>
        </w:rPr>
        <w:t xml:space="preserve">Một đặc điểm trọng tâm khác của các xã hội Trung Quốc là mức độ đặc biệt mà sự hòa hợp được đề cao và xung đột được tránh né. Sự tôn trọng văn hóa đối với hòa hợp này, giống như </w:t>
      </w:r>
      <w:r>
        <w:rPr>
          <w:b w:val="0"/>
          <w:i/>
        </w:rPr>
        <w:t>guanxi</w:t>
      </w:r>
      <w:r>
        <w:rPr>
          <w:b w:val="0"/>
          <w:i w:val="0"/>
        </w:rPr>
        <w:t xml:space="preserve"> , có thể ảnh hưởng mạnh mẽ đến sự gắn kết nhóm, vốn là một nguồn gốc quan trọng của thiên kiến cấu trúc. Phần này xem xét quá trình Đài Loan và Trung Quốc tiến hành việc du nhập pháp lý mô hình giám đốc độc lập, và phân tích những ảnh hưởng mà các mối quan hệ xã hội của giám đốc độc lập với cổ đông kiểm soát hoặc người nội bộ doanh nghiệp có thể gây ra đối với quản trị doanh nghiệp.</w:t>
      </w:r>
    </w:p>
    <w:p>
      <w:pPr>
        <w:spacing w:after="80"/>
      </w:pPr>
      <w:r>
        <w:rPr>
          <w:b w:val="0"/>
          <w:i w:val="0"/>
        </w:rPr>
        <w:t>* * *</w:t>
      </w:r>
    </w:p>
    <w:p>
      <w:pPr>
        <w:spacing w:after="80"/>
      </w:pPr>
      <w:r>
        <w:rPr>
          <w:b w:val="0"/>
          <w:i/>
        </w:rPr>
        <w:t>B. CẢI CÁCH</w:t>
      </w:r>
    </w:p>
    <w:p>
      <w:pPr>
        <w:spacing w:after="80"/>
      </w:pPr>
      <w:r>
        <w:rPr>
          <w:b w:val="0"/>
          <w:i w:val="0"/>
        </w:rPr>
        <w:t xml:space="preserve">Việc đưa thiết chế giám đốc độc lập (independent director) vào hội đồng quản trị của các công ty niêm yết Trung Quốc là một trong những biện pháp quản lý quan trọng mà chính phủ Trung Quốc đã thực hiện để giải quyết vấn đề phần lớn hội đồng quản trị doanh nghiệp bị chi phối và kiểm soát bởi các cổ đông đơn lẻ và người nội bộ. Ngày 16 tháng 8 năm 2001, CSRC đã ban hành </w:t>
      </w:r>
      <w:r>
        <w:rPr>
          <w:b w:val="0"/>
          <w:i/>
        </w:rPr>
        <w:t>Ý kiến hướng dẫn về việc thiết lập hệ thống giám đốc độc lập trong các công ty niêm yết</w:t>
      </w:r>
      <w:r>
        <w:rPr>
          <w:b w:val="0"/>
          <w:i w:val="0"/>
        </w:rPr>
        <w:t xml:space="preserve"> ("Ý kiến về giám đốc độc lập của CSRC"), đây là biện pháp quản lý toàn diện nhất mà chính phủ Trung Quốc thực hiện cho đến nay liên quan đến việc áp đặt giám đốc độc lập đối với các công ty niêm yết. Theo Ý kiến về giám đốc độc lập của CSRC, tất cả các công ty niêm yết được yêu cầu phải có ít nhất hai giám đốc độc lập trước ngày 30 tháng 6 năm 2002 và những giám đốc này phải chiếm ít nhất một phần ba mỗi hội đồng quản trị trước ngày 30 tháng 6 năm 2003. CSRC tiếp tục quy định chi tiết về trình độ chuyên môn, tính độc lập, việc đề cử, bầu cử, nghĩa vụ và trách nhiệm của giám đốc độc lập.</w:t>
      </w:r>
    </w:p>
    <w:p>
      <w:pPr>
        <w:spacing w:after="80"/>
      </w:pPr>
      <w:r>
        <w:rPr>
          <w:b w:val="0"/>
          <w:i w:val="0"/>
        </w:rPr>
        <w:t>Sau Ý kiến về giám đốc độc lập của CSRC, CSRC đã ban hành một số quy tắc quản lý hướng dẫn hoạt động của cơ chế giám đốc độc lập trong các công ty niêm yết Trung Quốc. Bản sửa đổi năm 2005 của Luật Công ty Trung Quốc (PRC Company Law) chính thức quy định rằng tất cả các công ty niêm yết phải có giám đốc độc lập trong hội đồng quản trị của mình. Mặc dù bản sửa đổi năm 2005 không xác định các yêu cầu và trách nhiệm cụ thể của giám đốc độc lập, nhưng nó đã xác nhận yêu cầu về giám đốc độc lập trong các công ty niêm yết Trung Quốc.</w:t>
      </w:r>
    </w:p>
    <w:p>
      <w:pPr>
        <w:spacing w:after="80"/>
      </w:pPr>
      <w:r>
        <w:rPr>
          <w:b w:val="0"/>
          <w:i/>
        </w:rPr>
        <w:t>C. Renqing Dongshi (Giám đốc ân tình)</w:t>
      </w:r>
    </w:p>
    <w:p>
      <w:pPr>
        <w:spacing w:after="80"/>
      </w:pPr>
      <w:r>
        <w:rPr>
          <w:b w:val="0"/>
          <w:i w:val="0"/>
        </w:rPr>
        <w:t xml:space="preserve">Trong những năm kể từ năm 2001, khi CSRC công bố Ý kiến về giám đốc độc lập của CSRC, chỉ trích đáng chú ý nhất đối với giám đốc độc lập ở Trung Quốc tập trung vào tính độc lập của họ—hay chính xác hơn là sự </w:t>
      </w:r>
      <w:r>
        <w:rPr>
          <w:b w:val="0"/>
          <w:i/>
        </w:rPr>
        <w:t>thiếu</w:t>
      </w:r>
      <w:r>
        <w:rPr>
          <w:b w:val="0"/>
          <w:i w:val="0"/>
        </w:rPr>
        <w:t xml:space="preserve"> độc lập—khỏi các cổ đông kiểm soát và những người nội bộ doanh nghiệp khác. Vì phần lớn việc đề cử giám đốc độc lập vẫn nằm trong tay các hội đồng quản trị do cổ đông chi phối kiểm soát theo cơ cấu sở hữu doanh nghiệp hiện hành, nên hầu hết giám đốc độc lập đều mang ơn các cổ đông chi phối. Trong một cuộc khảo sát của Hiệp hội Công ty Niêm yết Thượng Hải, năm mươi lăm phần trăm giám đốc độc lập được đề cử bởi các cổ đông lớn và hai mươi bảy phần trăm bởi các giám đốc điều hành doanh nghiệp. Vì các cổ đông lớn đã kiểm soát hầu hết các giám đốc điều hành doanh nghiệp trong những năm gần đây, chúng ta có thể tính toán rằng các cổ đông lớn đã đề cử hơn tám mươi phần trăm giám đốc độc lập trong cùng khung thời gian này. Với cổ đông lớn nhất trên thị trường vốn Trung Quốc là nhà nước, "chế độ quản trị doanh nghiệp của Trung Quốc không bao giờ có thể toàn tâm chấp thuận một hệ thống mà trong đó giám đốc độc lập có thể cản trở ý muốn của các cổ đông chi phối."</w:t>
      </w:r>
    </w:p>
    <w:p>
      <w:pPr>
        <w:spacing w:after="80"/>
      </w:pPr>
      <w:r>
        <w:rPr>
          <w:b w:val="0"/>
          <w:i w:val="0"/>
        </w:rPr>
        <w:t xml:space="preserve">Các nhà bình luận đã đặt ra thuật ngữ </w:t>
      </w:r>
      <w:r>
        <w:rPr>
          <w:b w:val="0"/>
          <w:i/>
        </w:rPr>
        <w:t>"renqing dongshi</w:t>
      </w:r>
      <w:r>
        <w:rPr>
          <w:b w:val="0"/>
          <w:i w:val="0"/>
        </w:rPr>
        <w:t>" (tạm dịch là "giám đốc ân tình") để chỉ những giám đốc độc lập tham gia hội đồng quản trị đơn giản chỉ vì mối quan hệ cá nhân thân thiết với những người nội bộ doanh nghiệp, và đặt ra một thuật ngữ khác, "</w:t>
      </w:r>
      <w:r>
        <w:rPr>
          <w:b w:val="0"/>
          <w:i/>
        </w:rPr>
        <w:t>huaping dongshi</w:t>
      </w:r>
      <w:r>
        <w:rPr>
          <w:b w:val="0"/>
          <w:i w:val="0"/>
        </w:rPr>
        <w:t>" (tạm dịch là "giám đốc bình hoa") để chỉ những giám đốc độc lập mà chức năng của họ không hơn gì việc trang trí bề ngoài. Sự phổ biến của hai thuật ngữ này phản ánh không chỉ sự kém hiệu quả của giám đốc độc lập Trung Quốc mà còn cả mối lo ngại của công chúng về các mối quan hệ xã hội giữa giám đốc độc lập và những người nội bộ doanh nghiệp.</w:t>
      </w:r>
    </w:p>
    <w:p>
      <w:pPr>
        <w:spacing w:after="80"/>
      </w:pPr>
      <w:r>
        <w:rPr>
          <w:b w:val="0"/>
          <w:i w:val="0"/>
        </w:rPr>
        <w:t xml:space="preserve">Văn hóa cũng góp phần củng cố các mối quan hệ xã hội giữa giám đốc độc lập và các cổ đông kiểm soát hoặc người nội bộ doanh nghiệp. </w:t>
      </w:r>
      <w:r>
        <w:rPr>
          <w:b w:val="0"/>
          <w:i/>
        </w:rPr>
        <w:t>Guanxi</w:t>
      </w:r>
      <w:r>
        <w:rPr>
          <w:b w:val="0"/>
          <w:i w:val="0"/>
        </w:rPr>
        <w:t xml:space="preserve"> và </w:t>
      </w:r>
      <w:r>
        <w:rPr>
          <w:b w:val="0"/>
          <w:i/>
        </w:rPr>
        <w:t>renqing</w:t>
      </w:r>
      <w:r>
        <w:rPr>
          <w:b w:val="0"/>
          <w:i w:val="0"/>
        </w:rPr>
        <w:t xml:space="preserve"> (ân tình) là những khái niệm cốt lõi và nguyên tắc thực tiễn trong các mối quan hệ xã hội Trung Quốc. </w:t>
      </w:r>
      <w:r>
        <w:rPr>
          <w:b w:val="0"/>
          <w:i/>
        </w:rPr>
        <w:t>Guanxi</w:t>
      </w:r>
      <w:r>
        <w:rPr>
          <w:b w:val="0"/>
          <w:i w:val="0"/>
        </w:rPr>
        <w:t xml:space="preserve"> gần với khái niệm quan hệ xã hội hoặc quan hệ cá nhân hơn. Mặt khác, khái niệm </w:t>
      </w:r>
      <w:r>
        <w:rPr>
          <w:b w:val="0"/>
          <w:i/>
        </w:rPr>
        <w:t>renqing</w:t>
      </w:r>
      <w:r>
        <w:rPr>
          <w:b w:val="0"/>
          <w:i w:val="0"/>
        </w:rPr>
        <w:t xml:space="preserve"> vận hành giống như các quy tắc của </w:t>
      </w:r>
      <w:r>
        <w:rPr>
          <w:b w:val="0"/>
          <w:i/>
        </w:rPr>
        <w:t>guanxi</w:t>
      </w:r>
      <w:r>
        <w:rPr>
          <w:b w:val="0"/>
          <w:i w:val="0"/>
        </w:rPr>
        <w:t xml:space="preserve">, chẳng hạn như cách bạn nên đối xử với người mà bạn quen biết. Quy tắc </w:t>
      </w:r>
      <w:r>
        <w:rPr>
          <w:b w:val="0"/>
          <w:i/>
        </w:rPr>
        <w:t>renqing</w:t>
      </w:r>
      <w:r>
        <w:rPr>
          <w:b w:val="0"/>
          <w:i w:val="0"/>
        </w:rPr>
        <w:t xml:space="preserve"> thực sự vận hành vượt ra ngoài quy tắc có đi có lại và nó có thể được thể hiện qua một câu nói cổ của Trung Quốc: "Nếu bạn nhận được một giọt ân huệ từ người khác, bạn nên trả lại cho họ một dòng suối ân huệ." Do đó, nếu bạn nhận được ân huệ từ người khác, bạn nên trả lại cho họ không chỉ một ân huệ mà còn nhiều hơn thế.</w:t>
      </w:r>
    </w:p>
    <w:p>
      <w:pPr>
        <w:spacing w:after="80"/>
      </w:pPr>
      <w:r>
        <w:rPr>
          <w:b w:val="0"/>
          <w:i w:val="0"/>
        </w:rPr>
        <w:t>Nếu chúng ta hiểu rằng một thành phần của văn hóa Trung Quốc truyền thống và đương đại là niềm tin rằng một ân huệ đáng được đền đáp bằng một ân huệ khác—và có lẽ còn tốt hơn—thì chúng ta có thể thấy rằng thuật ngữ "</w:t>
      </w:r>
      <w:r>
        <w:rPr>
          <w:b w:val="0"/>
          <w:i/>
        </w:rPr>
        <w:t>renqing dongshi</w:t>
      </w:r>
      <w:r>
        <w:rPr>
          <w:b w:val="0"/>
          <w:i w:val="0"/>
        </w:rPr>
        <w:t xml:space="preserve">" (giám đốc ân tình) đề cập đến những giám đốc độc lập tham gia hội đồng quản trị vì họ mang ơn các cổ đông kiểm soát hoặc người nội bộ doanh nghiệp và họ đền đáp những người nội bộ doanh nghiệp đó bằng cách làm giám đốc độc lập trên danh nghĩa. Trong tình huống này, chúng ta không thể mong đợi những "giám đốc ân tình" này hành động công bằng vì lợi ích tốt nhất của công ty. Có báo cáo vào năm 2011 rằng năm mươi công ty niêm yết hàng đầu của Trung Quốc đã thuê tổng cộng ba mươi bốn giám đốc độc lập là các quan chức chính phủ đã nghỉ hưu. Bằng cách giữ lại các cựu quan chức chính phủ, các doanh nghiệp này không chỉ muốn tận dụng </w:t>
      </w:r>
      <w:r>
        <w:rPr>
          <w:b w:val="0"/>
          <w:i/>
        </w:rPr>
        <w:t>guanxi</w:t>
      </w:r>
      <w:r>
        <w:rPr>
          <w:b w:val="0"/>
          <w:i w:val="0"/>
        </w:rPr>
        <w:t xml:space="preserve"> của các quan chức chính phủ này trong khu vực công, mà còn muốn sử dụng vị trí giám đốc độc lập như một loại quà tặng, được trao cho các quan chức đã nghỉ hưu này như một </w:t>
      </w:r>
      <w:r>
        <w:rPr>
          <w:b w:val="0"/>
          <w:i/>
        </w:rPr>
        <w:t>renqing</w:t>
      </w:r>
      <w:r>
        <w:rPr>
          <w:b w:val="0"/>
          <w:i w:val="0"/>
        </w:rPr>
        <w:t xml:space="preserve"> (tức là một ân huệ); nghĩa là, như một cách cảm ơn những người đã nghỉ hưu vì những lợi ích khác nhau mà họ có thể đã ban cho doanh nghiệp nhất định trong thời gian họ tại chức được bầu hoặc được bổ nhiệm.</w:t>
      </w:r>
    </w:p>
    <w:p>
      <w:pPr>
        <w:spacing w:after="80"/>
      </w:pPr>
      <w:r>
        <w:rPr>
          <w:b w:val="0"/>
          <w:i w:val="0"/>
        </w:rPr>
        <w:t>Ping Jiang, một giáo sư luật nổi tiếng và là cựu Hiệu trưởng Đại học Khoa học Chính trị và Luật Trung Quốc, từng nói tại một hội nghị rằng, từ kinh nghiệm thực tế của ông khi phục vụ như một giám đốc độc lập ở nhiều vị trí khác nhau, giám đốc độc lập ở Trung Quốc về cơ bản chỉ là trang trí bề ngoài. Ông cũng thú nhận rằng những người nội bộ doanh nghiệp đã mời ông làm giám đốc độc lập đều là bạn thân của ông, về cơ bản là nhờ ông làm một "ân huệ".</w:t>
      </w:r>
    </w:p>
    <w:p>
      <w:pPr>
        <w:spacing w:after="80"/>
      </w:pPr>
      <w:r>
        <w:rPr>
          <w:b w:val="0"/>
          <w:i w:val="0"/>
        </w:rPr>
        <w:t>Theo như tôi thấy, giám đốc độc lập trong các công ty mà tôi tham gia không hơn gì một "bình hoa" hay "đồ trang trí". CSRC đã bắt buộc hệ thống giám đốc độc lập, và tôi nghĩ các hội đồng quản trị nói chung thực sự không muốn có giám đốc độc lập. Cá nhân tôi, những người mời tôi làm giám đốc độc lập đều là bạn thân nhờ tôi làm giúp một ân huệ. Chúng tôi thân thiết, nên tôi sẽ không quay lưng lại với họ.</w:t>
      </w:r>
    </w:p>
    <w:p>
      <w:pPr>
        <w:spacing w:after="80"/>
      </w:pPr>
      <w:r>
        <w:rPr>
          <w:b w:val="0"/>
          <w:i w:val="0"/>
        </w:rPr>
        <w:t xml:space="preserve">Việc giám đốc độc lập ở Trung Quốc có mối quan hệ cá nhân thân thiết với các cổ đông kiểm soát hoặc người nội bộ doanh nghiệp là chuyện phổ biến. Với các hội đồng quản trị bị chi phối và kiểm soát bởi người nội bộ (cái gọi là "vấn đề người nội bộ kiểm soát"), môi trường doanh nghiệp nhất định dường như không khuyến khích những giám đốc thực sự độc lập. Các cuộc phỏng vấn được báo cáo từ Trung Quốc đã đưa ra những phát hiện tương tự như những phát hiện từ Đài Loan: các công ty ở đó có xu hướng thuê những giám đốc độc lập có </w:t>
      </w:r>
      <w:r>
        <w:rPr>
          <w:b w:val="0"/>
          <w:i/>
        </w:rPr>
        <w:t>guanxi</w:t>
      </w:r>
      <w:r>
        <w:rPr>
          <w:b w:val="0"/>
          <w:i w:val="0"/>
        </w:rPr>
        <w:t xml:space="preserve"> với các cổ đông kiểm soát hoặc người nội bộ doanh nghiệp và những người sẽ không bỏ phiếu chống lại các cổ đông kiểm soát.</w:t>
      </w:r>
    </w:p>
    <w:p>
      <w:pPr>
        <w:spacing w:after="80"/>
      </w:pPr>
      <w:r>
        <w:rPr>
          <w:b w:val="0"/>
          <w:i w:val="0"/>
        </w:rPr>
        <w:t>* * *</w:t>
      </w:r>
    </w:p>
    <w:p>
      <w:pPr>
        <w:spacing w:after="80"/>
      </w:pPr>
      <w:r>
        <w:rPr>
          <w:b w:val="0"/>
          <w:i w:val="0"/>
        </w:rPr>
        <w:t>Vấn đề cấy ghép giám đốc độc lập sang các quốc gia khác nằm ở việc thiếu các thiết chế bổ trợ khiến những sắp xếp như vậy trở nên có ý nghĩa ở các quốc gia được cấy ghép. Những thiết chế bổ trợ này không thể được xây dựng trong một sớm một chiều nhưng các quy định thì có thể. Do đó, cách nhanh nhất để các nhà hoạch định chính sách tạo ra thay đổi là thay đổi luật và quy định liên quan. Nhiều quốc gia châu Á đã thay đổi luật và quy định của họ, nhưng không thực hiện thay đổi nào đối với các thiết lập thể chế quan trọng liên quan đến việc cấy ghép giám đốc độc lập. Do đó, thực tế là các công ty không chỉ thiếu động lực để bổ nhiệm những giám đốc thực sự độc lập, mà còn không có thiết chế nào kiểm tra tính độc lập thực sự của giám đốc. Các quốc gia châu Á đang hy sinh giá trị cốt lõi của hệ thống, đó là tính độc lập.</w:t>
      </w:r>
    </w:p>
    <w:p>
      <w:pPr>
        <w:spacing w:after="80"/>
      </w:pPr>
      <w:r>
        <w:rPr>
          <w:b w:val="0"/>
          <w:i w:val="0"/>
        </w:rPr>
        <w:t xml:space="preserve">Tình hình còn tồi tệ hơn trong các xã hội Trung Quốc, nơi văn hóa truyền thống và đương đại chung coi trọng sự hài hòa và các mối quan hệ giữa các cá nhân. Trong thế giới kinh doanh, các mối quan hệ xã hội giữa các thành viên hội đồng quản trị càng tăng cường văn hóa hội đồng quản trị mang tính đồng nghiệp, tạo điều kiện thuận lợi cho chức năng tư vấn của hội đồng quản trị nhưng làm suy yếu chức năng giám sát của họ. Mục tiêu lập pháp chính của việc nhập khẩu thiết chế giám đốc độc lập từ Hoa Kỳ vào Trung Quốc và Đài Loan là giảm sự kiểm soát của người nội bộ đối với hội đồng quản trị và cung cấp một hệ thống kiểm tra và cân bằng có khả năng kiểm soát các lợi ích tư nhân từ quyền kiểm soát mà các cổ đông kiểm soát được hưởng. Tuy nhiên, việc các chế độ quản lý hiện hành của Đài Loan và Trung Quốc không giải quyết được vấn đề quan hệ xã hội, dù thông qua quy định </w:t>
      </w:r>
      <w:r>
        <w:rPr>
          <w:b w:val="0"/>
          <w:i/>
        </w:rPr>
        <w:t>ex ante</w:t>
      </w:r>
      <w:r>
        <w:rPr>
          <w:b w:val="0"/>
          <w:i w:val="0"/>
        </w:rPr>
        <w:t xml:space="preserve"> hay xem xét tư pháp </w:t>
      </w:r>
      <w:r>
        <w:rPr>
          <w:b w:val="0"/>
          <w:i/>
        </w:rPr>
        <w:t>ex post</w:t>
      </w:r>
      <w:r>
        <w:rPr>
          <w:b w:val="0"/>
          <w:i w:val="0"/>
        </w:rPr>
        <w:t>, cho thấy mạnh mẽ rằng mục tiêu lập pháp của thiết chế giám đốc độc lập sẽ vẫn không đạt được và không thể đạt được.</w:t>
      </w:r>
    </w:p>
    <w:p>
      <w:pPr>
        <w:spacing w:after="80"/>
      </w:pPr>
      <w:r>
        <w:rPr>
          <w:b w:val="0"/>
          <w:i w:val="0"/>
        </w:rPr>
        <w:t>Bài viết này kêu gọi các nhà hoạch định chính sách Trung Quốc xem xét lại định nghĩa hiện tại về "tính độc lập" và ảnh hưởng của các mối quan hệ xã hội của giám đốc độc lập đối với các cổ đông kiểm soát hoặc người nội bộ doanh nghiệp. Các mối quan hệ xã hội, một mặt, có thể phục vụ như một nguồn thông tin hiệu quả cho giám đốc độc lập, những người từ đó có thể hiệu quả hơn trong việc cung cấp lời khuyên cho ban lãnh đạo. Nhưng mặt khác, các mối quan hệ xã hội có thể gây bất lợi cho khả năng giám sát của giám đốc độc lập. Tất cả các quốc gia cấy ghép giám đốc độc lập nên nhận thức rằng thiết chế giám đốc độc lập rất có thể sẽ mất đi giá trị cốt lõi của nó đối với công ty nếu không có sự kiểm soát pháp lý đối với các mối quan hệ xã hội.</w:t>
      </w:r>
    </w:p>
    <w:p>
      <w:pPr>
        <w:pStyle w:val="Heading5"/>
      </w:pPr>
      <w:r>
        <w:rPr>
          <w:rFonts w:ascii="Calibri" w:hAnsi="Calibri"/>
          <w:b/>
          <w:i/>
          <w:sz w:val="22"/>
        </w:rPr>
        <w:t>Bình luận và Câu hỏi</w:t>
      </w:r>
    </w:p>
    <w:p>
      <w:pPr>
        <w:spacing w:after="80"/>
      </w:pPr>
      <w:r>
        <w:rPr>
          <w:b w:val="0"/>
          <w:i w:val="0"/>
        </w:rPr>
        <w:t>1. Bài viết này gợi ý gì về vai trò của văn hóa trong việc du nhập các khái niệm từ quốc gia này sang quốc gia khác?</w:t>
      </w:r>
    </w:p>
    <w:p>
      <w:pPr>
        <w:spacing w:after="80"/>
      </w:pPr>
      <w:r>
        <w:rPr>
          <w:b w:val="0"/>
          <w:i w:val="0"/>
        </w:rPr>
        <w:t>2. Vấn đề "giám đốc được ưu ái" (favor directors) có thể nổi cộm hơn ở Trung Quốc so với Mỹ, nhưng dù sao cũng minh họa một căng thẳng tồn tại trong việc chỉ định các giám đốc độc lập ở mọi quốc gia? Căng thẳng đó là gì? Liệu các lãnh đạo doanh nghiệp có thực sự muốn một hội đồng quản trị có thể thực thi giám sát đáng kể và thậm chí đảo ngược quyết định của họ không?</w:t>
      </w:r>
    </w:p>
    <w:p>
      <w:pPr>
        <w:spacing w:after="80"/>
      </w:pPr>
      <w:r>
        <w:rPr>
          <w:b w:val="0"/>
          <w:i w:val="0"/>
        </w:rPr>
        <w:t>3. Làm thế nào một vị trí trong hội đồng quản trị có thể "ưu ái các giám đốc"? Nếu bạn đang thiết kế một hệ thống để giảm bớt sự hiện diện của những loại giám đốc này, bạn sẽ làm thế nào? Liệu cải cách quy trình có đủ không?</w:t>
      </w:r>
    </w:p>
    <w:p>
      <w:pPr>
        <w:spacing w:after="80"/>
      </w:pPr>
      <w:r>
        <w:rPr>
          <w:b w:val="0"/>
          <w:i w:val="0"/>
        </w:rPr>
        <w:t>4. Bạn được yêu cầu tư vấn cho chính phủ Trung Quốc trong việc soạn thảo định nghĩa về tính độc lập của giám đốc. Những loại quan hệ điển hình nào làm suy giảm tính độc lập và do đó sẽ được bao gồm trong bất kỳ định nghĩa nào bạn có thể đề xuất?</w:t>
      </w:r>
    </w:p>
    <w:p>
      <w:pPr>
        <w:spacing w:after="80"/>
      </w:pPr>
      <w:r>
        <w:rPr>
          <w:b w:val="0"/>
          <w:i w:val="0"/>
        </w:rPr>
        <w:t>5. Việc hiểu rõ những đặc thù của văn hóa Trung Quốc quan trọng đến mức nào để đưa ra một định nghĩa phù hợp? Suy cho cùng, mối lo ngại rằng các hội đồng quản trị ở Mỹ bao gồm bạn bè và những người thuộc mạng lưới xã hội của CEO đã được bàn luận rất nhiều. Liệu có khía cạnh nào của văn hóa Trung Quốc khiến cho việc phân tích trở nên độc đáo hơn không?</w:t>
      </w:r>
    </w:p>
    <w:p>
      <w:pPr>
        <w:spacing w:after="80"/>
      </w:pPr>
      <w:r>
        <w:rPr>
          <w:b w:val="0"/>
          <w:i w:val="0"/>
        </w:rPr>
        <w:t>—————</w:t>
      </w:r>
    </w:p>
    <w:p>
      <w:pPr>
        <w:spacing w:after="80"/>
      </w:pPr>
      <w:r>
        <w:rPr>
          <w:b w:val="0"/>
          <w:i w:val="0"/>
        </w:rPr>
        <w:t>Tôn giáo là một khía cạnh khác của văn hóa có thể tác động đến quản trị doanh nghiệp. Một nơi mà tôn giáo đã có tác động trực tiếp và có thể quan sát được đối với tài chính và thị trường vốn là gắn với việc áp dụng đạo Hồi. Đạo Hồi chứa đựng một số điều cấm và thực hành ảnh hưởng đến những lĩnh vực này. Chẳng hạn, luật Hồi giáo cấm việc trả và nhận riba, tức lãi suất. Lệnh cấm này mở rộng đến tiền gửi ngân hàng, thế chấp, trái phiếu doanh nghiệp và các công cụ nợ khác.</w:t>
      </w:r>
    </w:p>
    <w:p>
      <w:pPr>
        <w:spacing w:after="80"/>
      </w:pPr>
      <w:r>
        <w:rPr>
          <w:b w:val="0"/>
          <w:i w:val="0"/>
        </w:rPr>
        <w:t>—————</w:t>
      </w:r>
    </w:p>
    <w:p>
      <w:pPr>
        <w:spacing w:after="80"/>
      </w:pPr>
      <w:r>
        <w:rPr>
          <w:b w:val="0"/>
          <w:i w:val="0"/>
        </w:rPr>
        <w:t xml:space="preserve">Các nguyên tắc được thể hiện trong </w:t>
      </w:r>
      <w:r>
        <w:rPr>
          <w:b w:val="0"/>
          <w:i/>
        </w:rPr>
        <w:t>Shariah</w:t>
      </w:r>
      <w:r>
        <w:rPr>
          <w:b w:val="0"/>
          <w:i w:val="0"/>
        </w:rPr>
        <w:t xml:space="preserve"> được coi là thiêng liêng. Chúng bắt nguồn từ lời của Thượng đế chứa trong Kinh Koran và những hành động cùng lời nói của Mohammed, Đấng Tiên tri.</w:t>
      </w:r>
    </w:p>
    <w:p>
      <w:pPr>
        <w:pStyle w:val="Heading4"/>
      </w:pPr>
      <w:r>
        <w:rPr>
          <w:rFonts w:ascii="Calibri" w:hAnsi="Calibri"/>
          <w:b/>
          <w:i w:val="0"/>
          <w:sz w:val="23"/>
        </w:rPr>
        <w:t xml:space="preserve">Ali Adnan Ibrahim, </w:t>
      </w:r>
      <w:r>
        <w:rPr>
          <w:rFonts w:ascii="Calibri" w:hAnsi="Calibri"/>
          <w:b/>
          <w:i/>
          <w:sz w:val="23"/>
        </w:rPr>
        <w:t>The Rise of Customary Businesses in International Financial Markets: an Introduction to Islamic</w:t>
      </w:r>
      <w:r>
        <w:br/>
      </w:r>
      <w:r>
        <w:rPr>
          <w:rFonts w:ascii="Calibri" w:hAnsi="Calibri"/>
          <w:b/>
          <w:i/>
          <w:sz w:val="23"/>
        </w:rPr>
        <w:t xml:space="preserve"> Finance and the Challenges of International Integration</w:t>
      </w:r>
    </w:p>
    <w:p>
      <w:pPr>
        <w:spacing w:after="80"/>
      </w:pPr>
      <w:r>
        <w:rPr>
          <w:b w:val="0"/>
          <w:i w:val="0"/>
        </w:rPr>
        <w:t>23 Am. U. Int'l L. Rev. 661, 675 (2008)</w:t>
      </w:r>
    </w:p>
    <w:p>
      <w:pPr>
        <w:spacing w:after="80"/>
      </w:pPr>
      <w:r>
        <w:rPr>
          <w:b w:val="0"/>
          <w:i w:val="0"/>
        </w:rPr>
        <w:t>Nói chung, các nguồn trong luật Hồi giáo có thể được phân loại thành nguồn được mặc khải và nguồn không được mặc khải. Kinh Quran là nguồn được mặc khải đầu tiên. Là lời của Thượng đế cả về chữ nghĩa lẫn tinh thần, Kinh Quran được truyền đạt qua Đấng Tiên tri Muhammad. "Tất cả những gì được kể lại từ Đấng Tiên tri, những hành động, lời nói của Người và bất cứ điều gì Người ngầm chấp thuận" ("truyền thống của Đấng Tiên tri") đại diện cho nguồn được mặc khải thứ hai bởi vì Kinh Quran tuyên bố rằng những hành động, lời nói và sự chấp thuận ngầm của Đấng Tiên tri là do Thượng đế linh ứng. Cả hai nguồn được mặc khải đều được coi là nguồn chính. Ngược lại, các nguồn không được mặc khải do các học giả luật Hồi giáo phát triển, và đại diện cho "phương pháp luận và các hướng dẫn thủ tục để đảm bảo việc sử dụng [sic] đúng đắn" các nguồn được mặc khải. Những nguồn như vậy bao gồm sự đồng thuận của ý kiến luật gia, lập luận loại suy hoặc lập luận luật học, các luật đã được mặc khải trước đó, ý kiến pháp lý từ những người bạn đồng hành của Đấng Tiên tri ("những người bạn đồng hành"), các cân nhắc công bằng, lợi ích công cộng, phong tục, giả định về tính liên tục, và việc ngăn chặn các phương tiện dẫn đến điều ác. Tất cả các nguồn thứ cấp đều rút ra thẩm quyền của chúng từ Kinh Quran, các truyền thống của Đấng Tiên tri, hoặc cả hai.</w:t>
      </w:r>
    </w:p>
    <w:p>
      <w:pPr>
        <w:pStyle w:val="Heading5"/>
      </w:pPr>
      <w:r>
        <w:rPr>
          <w:rFonts w:ascii="Calibri" w:hAnsi="Calibri"/>
          <w:b/>
          <w:i/>
          <w:sz w:val="22"/>
        </w:rPr>
        <w:t>Bình luận và Câu hỏi</w:t>
      </w:r>
    </w:p>
    <w:p>
      <w:pPr>
        <w:spacing w:after="80"/>
      </w:pPr>
      <w:r>
        <w:rPr>
          <w:b w:val="0"/>
          <w:i w:val="0"/>
        </w:rPr>
        <w:t xml:space="preserve">1. Bởi vì nguồn gốc của các quy tắc và nguyên tắc Hồi giáo mang tính thiêng liêng, việc không tuân thủ có thêm những hậu quả tiềm tàng. </w:t>
      </w:r>
      <w:r>
        <w:rPr>
          <w:b w:val="0"/>
          <w:i/>
        </w:rPr>
        <w:t>Xem</w:t>
      </w:r>
      <w:r>
        <w:rPr>
          <w:b w:val="0"/>
          <w:i w:val="0"/>
        </w:rPr>
        <w:t xml:space="preserve"> Craig C. Briess, Esq., </w:t>
      </w:r>
      <w:r>
        <w:rPr>
          <w:b w:val="0"/>
          <w:i/>
        </w:rPr>
        <w:t>The Crescent and the Corporation: Analysis and Resolution of Conflicting Positions between the Western Corporation and the Islamic Legal System</w:t>
      </w:r>
      <w:r>
        <w:rPr>
          <w:b w:val="0"/>
          <w:i w:val="0"/>
        </w:rPr>
        <w:t xml:space="preserve"> , 8 Rich. J. Global L. &amp; Bus. 453, 481–82 (2009) ("Do đó, một lãnh đạo doanh nghiệp sẽ luôn phải chịu trách nhiệm về hành động của mình, bất kể các cơ quan quản lý có phát hiện ra việc báo cáo sai của anh ta hay không, và chắc chắn hình phạt lửa vĩnh cửu trong địa ngục còn tồi tệ hơn vài năm tù giam."). Liệu điều này có tạo ra đủ động lực, khiến các hình thức thực thi khác trở nên không cần thiết không?</w:t>
      </w:r>
    </w:p>
    <w:p>
      <w:pPr>
        <w:spacing w:after="80"/>
      </w:pPr>
      <w:r>
        <w:rPr>
          <w:b w:val="0"/>
          <w:i w:val="0"/>
        </w:rPr>
        <w:t>2. Có một số nguyên tắc Hồi giáo có tác động trực tiếp đến các hoạt động doanh nghiệp. Rõ ràng nhất có thể là lệnh cấm nhận hoặc trả lãi suất (</w:t>
      </w:r>
      <w:r>
        <w:rPr>
          <w:b w:val="0"/>
          <w:i/>
        </w:rPr>
        <w:t>riba</w:t>
      </w:r>
      <w:r>
        <w:rPr>
          <w:b w:val="0"/>
          <w:i w:val="0"/>
        </w:rPr>
        <w:t xml:space="preserve"> ). Tương tự, đạo Hồi cũng cấm thực hành </w:t>
      </w:r>
      <w:r>
        <w:rPr>
          <w:b w:val="0"/>
          <w:i/>
        </w:rPr>
        <w:t>gharar</w:t>
      </w:r>
      <w:r>
        <w:rPr>
          <w:b w:val="0"/>
          <w:i w:val="0"/>
        </w:rPr>
        <w:t xml:space="preserve"> , một thuật ngữ được dịch là sự bất định hoặc rủi ro quá mức. Thuật ngữ này bao hàm những vấn đề thuần túy may rủi như cờ bạc. Tuy nhiên, thuật ngữ này bao hàm một chuỗi liên tục. Khái niệm này đã được mở rộng sang bảo hiểm. Trong môi trường kinh doanh, lệnh cấm bao gồm các chính sách được thiết kế để bảo vệ tài sản dùng làm tài sản đảm bảo cho các khoản vay và các sản phẩm nhằm bảo vệ nhân sự chủ chốt, chẳng hạn như bảo hiểm nhân thọ cho nhân sự chủ chốt. Ở cấp độ mang tính hệ thống hơn, lệnh cấm mở rộng đến bảo hiểm tiền gửi.</w:t>
      </w:r>
    </w:p>
    <w:p>
      <w:pPr>
        <w:spacing w:after="80"/>
      </w:pPr>
      <w:r>
        <w:rPr>
          <w:b w:val="0"/>
          <w:i w:val="0"/>
        </w:rPr>
        <w:t>3. Lệnh cấm đối với sự bất định cũng áp dụng cho các giao dịch đầu cơ như quyền chọn trần và các công cụ phái sinh. Trong cuộc khủng hoảng tài chính toàn cầu bắt đầu vào cuối năm 2008, các tổ chức tài chính Hồi giáo được cho là ở vị thế tốt hơn để vượt qua giai đoạn suy thoái một phần vì họ đã tránh xa các lĩnh vực rủi ro cao như công cụ phái sinh.</w:t>
      </w:r>
    </w:p>
    <w:p>
      <w:pPr>
        <w:spacing w:after="80"/>
      </w:pPr>
      <w:r>
        <w:rPr>
          <w:b w:val="0"/>
          <w:i w:val="0"/>
        </w:rPr>
        <w:t>4. Một số giải pháp thay thế theo Hồi giáo cho các sản phẩm tài chính phương Tây đã xuất hiện. Ví dụ, trái phiếu Sukuk là các công cụ thu nhập cố định tuân thủ luật Hồi giáo. Chúng liên quan đến việc thành lập một thực thể mục đích đặc biệt (SPV) bán chứng chỉ để huy động vốn. Trong một dạng của loại trái phiếu này, số tiền thu được dùng để mua một tài sản tạo thu nhập. Nhà đầu tư không được trả lãi mà được trả lợi tức đầu tư. Tuy nhiên, tùy thuộc vào dòng thu nhập từ tài sản cơ sở (ví dụ thu nhập cho thuê), nhà đầu tư có thể nhận được khoản thanh toán tương đương về số tiền với một trái phiếu có xếp hạng tương tự. Khi hết thời hạn cố định, SPV bán lại tài sản cho người bán ban đầu và hoàn trả cho các chủ sở hữu chứng chỉ.</w:t>
      </w:r>
    </w:p>
    <w:p>
      <w:pPr>
        <w:spacing w:after="80"/>
      </w:pPr>
      <w:r>
        <w:rPr>
          <w:b w:val="0"/>
          <w:i w:val="0"/>
        </w:rPr>
        <w:t xml:space="preserve">5. Các giải pháp thay thế theo Hồi giáo cũng đã xuất hiện trong lĩnh vực bảo hiểm. Được xây dựng xoay quanh khái niệm </w:t>
      </w:r>
      <w:r>
        <w:rPr>
          <w:b w:val="0"/>
          <w:i/>
        </w:rPr>
        <w:t>takaful</w:t>
      </w:r>
      <w:r>
        <w:rPr>
          <w:b w:val="0"/>
          <w:i w:val="0"/>
        </w:rPr>
        <w:t xml:space="preserve"> , những sản phẩm này liên quan đến việc thành lập một thứ gì đó giống như một hội tương trợ, với các thành viên góp chung tiền của mình nhằm hỗ trợ những người bị thiệt hại tài sản.</w:t>
      </w:r>
    </w:p>
    <w:p>
      <w:pPr>
        <w:spacing w:after="80"/>
      </w:pPr>
      <w:r>
        <w:rPr>
          <w:b w:val="0"/>
          <w:i w:val="0"/>
        </w:rPr>
        <w:t xml:space="preserve">6. Việc phát triển các sản phẩm tuân thủ Hồi giáo nhưng lại giống với một sản phẩm không tuân thủ đã bị chỉ trích. Do đó, Giáo sư Hamoudi mô tả lệnh cấm bảo hiểm là điều mà, dù xuất phát từ “một lệnh cấm trọng tâm trong tài chính Hồi giáo, nhưng thường xuyên bị lờ đi một cách thuận tiện, ít thông qua sự ngụy tạo hình thức mà nhiều hơn qua việc tái phân loại ngữ nghĩa.” Haider Ala Hamoudi, </w:t>
      </w:r>
      <w:r>
        <w:rPr>
          <w:b w:val="0"/>
          <w:i/>
        </w:rPr>
        <w:t>The Muezzin's Call and the Dow Jones Bell: On the Necessity of Realism in the Study of Islamic Law</w:t>
      </w:r>
      <w:r>
        <w:rPr>
          <w:b w:val="0"/>
          <w:i w:val="0"/>
        </w:rPr>
        <w:t xml:space="preserve"> , 56 Am. J. Comp. L. 423, 447 (2008). Bạn nghĩ gì về lời chỉ trích này?</w:t>
      </w:r>
    </w:p>
    <w:p>
      <w:pPr>
        <w:spacing w:after="80"/>
      </w:pPr>
      <w:r>
        <w:rPr>
          <w:b w:val="0"/>
          <w:i w:val="0"/>
        </w:rPr>
        <w:t>7. Hồi giáo cũng áp đặt các nghĩa vụ lên các cổ đông. Nói chung, họ bị cấm mua cổ phần trong các công ty chủ yếu tham gia vào các hoạt động bị coi là tội lỗi. Những hoạt động này bao gồm các công ty chủ yếu liên quan đến sản xuất hoặc phân phối rượu, thịt lợn và nội dung khiêu dâm. Lệnh cấm cũng mở rộng đến thuốc lá và vũ khí. Tương tự, đầu tư vào ngân hàng và công ty bảo hiểm sẽ vi phạm các nguyên tắc Hồi giáo vì họ thu phần lớn lợi nhuận từ lãi suất, một hoạt động bị cấm. Các lệnh cấm áp dụng cho cả cá nhân và các quỹ tương hỗ tuân thủ Hồi giáo.</w:t>
      </w:r>
    </w:p>
    <w:p>
      <w:pPr>
        <w:spacing w:after="80"/>
      </w:pPr>
      <w:r>
        <w:rPr>
          <w:b w:val="0"/>
          <w:i w:val="0"/>
        </w:rPr>
        <w:t>8. Tuy nhiên, không phải lúc nào cũng có thể mua cổ phần của các công ty không thu được ít nhất một phần doanh thu từ các hoạt động bị cấm. Hầu hết các công ty đều nhận và trả một số tiền lãi. Trong những trường hợp này, cổ đông có nghĩa vụ “thanh tẩy” mọi khoản cổ tức bằng cách cho đi phần được tạo ra từ các hoạt động bị cấm. Nhà đầu tư cũng có thể có nghĩa vụ bỏ phiếu chống lại những hoạt động này tại các cuộc họp cổ đông.</w:t>
      </w:r>
    </w:p>
    <w:p>
      <w:pPr>
        <w:spacing w:after="80"/>
      </w:pPr>
      <w:r>
        <w:rPr>
          <w:b w:val="0"/>
          <w:i w:val="0"/>
        </w:rPr>
        <w:t xml:space="preserve">9. Các thị trường vốn cũng có thể được đánh giá về mức độ tuân thủ các nguyên tắc Hồi giáo. </w:t>
      </w:r>
      <w:r>
        <w:rPr>
          <w:b w:val="0"/>
          <w:i/>
        </w:rPr>
        <w:t>Xem</w:t>
      </w:r>
      <w:r>
        <w:rPr>
          <w:b w:val="0"/>
          <w:i w:val="0"/>
        </w:rPr>
        <w:t xml:space="preserve"> Hikmahanto Juwanqa, Yeni Salma Barlinti &amp; Yetty Komalasari Dewi, </w:t>
      </w:r>
      <w:r>
        <w:rPr>
          <w:b w:val="0"/>
          <w:i/>
        </w:rPr>
        <w:t>Sharia Law as a System of Governance in Indonesia: The Development of Islamic Financial Law</w:t>
      </w:r>
      <w:r>
        <w:rPr>
          <w:b w:val="0"/>
          <w:i w:val="0"/>
        </w:rPr>
        <w:t xml:space="preserve"> , 25 Wis. Int'l L.J. 773 (2008) (“Sự khác biệt chính duy nhất nằm ở loại hoạt động kinh doanh, trong đó ở thị trường vốn </w:t>
      </w:r>
      <w:r>
        <w:rPr>
          <w:b w:val="0"/>
          <w:i/>
        </w:rPr>
        <w:t>sharia</w:t>
      </w:r>
      <w:r>
        <w:rPr>
          <w:b w:val="0"/>
          <w:i w:val="0"/>
        </w:rPr>
        <w:t xml:space="preserve"> , mọi hoạt động kinh tế đều phải halal (được tôn giáo cho phép), cả về sản phẩm cũng như về đối tượng, cách thức mua và sử dụng các sản phẩm hoặc đối tượng đó.”). Những thị trường tự nhận là tuân thủ Hồi giáo (ví dụ Sudan) sẽ không cho phép niêm yết các công ty tham gia vào các hoạt động bị cấm. Do đó, sở giao dịch chứng khoán Sudan không niêm yết bất kỳ công ty nào chủ yếu kinh doanh sản xuất rượu.</w:t>
      </w:r>
    </w:p>
    <w:p>
      <w:pPr>
        <w:spacing w:after="80"/>
      </w:pPr>
      <w:r>
        <w:rPr>
          <w:b w:val="0"/>
          <w:i w:val="0"/>
        </w:rPr>
        <w:t>—————</w:t>
      </w:r>
    </w:p>
    <w:p>
      <w:pPr>
        <w:spacing w:after="80"/>
      </w:pPr>
      <w:r>
        <w:rPr>
          <w:b w:val="0"/>
          <w:i w:val="0"/>
        </w:rPr>
        <w:t>Luật Hồi giáo không đề cập một cách rõ ràng đến các tập đoàn. Tuy nhiên, các nguyên tắc áp dụng cho cá nhân cũng có thể liên quan ở cấp độ thực thể. Những hoạt động bị coi là tội lỗi đối với cá nhân cũng có thể bị coi là tội lỗi đối với một doanh nghiệp. Các nghĩa vụ khẳng định đối với cá nhân về việc bố thí (</w:t>
      </w:r>
      <w:r>
        <w:rPr>
          <w:b w:val="0"/>
          <w:i/>
        </w:rPr>
        <w:t>zakat</w:t>
      </w:r>
      <w:r>
        <w:rPr>
          <w:b w:val="0"/>
          <w:i w:val="0"/>
        </w:rPr>
        <w:t xml:space="preserve"> ) cũng có thể áp dụng ở cấp độ doanh nghiệp. Ngoài ra, các công ty có thể muốn phát hành trái phiếu tuân thủ Hồi giáo hoặc bán các sản phẩm (như thẻ tín dụng) đòi hỏi phải được các chuyên gia </w:t>
      </w:r>
      <w:r>
        <w:rPr>
          <w:b w:val="0"/>
          <w:i/>
        </w:rPr>
        <w:t>Shariah</w:t>
      </w:r>
      <w:r>
        <w:rPr>
          <w:b w:val="0"/>
          <w:i w:val="0"/>
        </w:rPr>
        <w:t xml:space="preserve"> xem xét và thậm chí phê duyệt.</w:t>
      </w:r>
    </w:p>
    <w:p>
      <w:pPr>
        <w:spacing w:after="80"/>
      </w:pPr>
      <w:r>
        <w:rPr>
          <w:b w:val="0"/>
          <w:i w:val="0"/>
        </w:rPr>
        <w:t xml:space="preserve">Để đảm bảo tuân thủ các giới luật tôn giáo liên quan, các doanh nghiệp, đặc biệt là các tổ chức tài chính, thường sử dụng các </w:t>
      </w:r>
      <w:r>
        <w:rPr>
          <w:b w:val="0"/>
          <w:i/>
        </w:rPr>
        <w:t>Shariah</w:t>
      </w:r>
      <w:r>
        <w:rPr>
          <w:b w:val="0"/>
          <w:i w:val="0"/>
        </w:rPr>
        <w:t xml:space="preserve"> Board, một nhóm học giả xem xét các thông lệ và giao dịch để đảm bảo chúng đáp ứng các yêu cầu của Hồi giáo.</w:t>
      </w:r>
    </w:p>
    <w:p>
      <w:pPr>
        <w:pStyle w:val="Heading4"/>
      </w:pPr>
      <w:r>
        <w:rPr>
          <w:rFonts w:ascii="Calibri" w:hAnsi="Calibri"/>
          <w:b/>
          <w:i w:val="0"/>
          <w:sz w:val="23"/>
        </w:rPr>
        <w:t>Wafik Grais &amp; Matteo Pellegrini,</w:t>
      </w:r>
      <w:r>
        <w:br/>
      </w:r>
      <w:r>
        <w:rPr>
          <w:rFonts w:ascii="Calibri" w:hAnsi="Calibri"/>
          <w:b/>
          <w:i w:val="0"/>
          <w:sz w:val="23"/>
        </w:rPr>
        <w:t xml:space="preserve"> </w:t>
      </w:r>
      <w:r>
        <w:rPr>
          <w:rFonts w:ascii="Calibri" w:hAnsi="Calibri"/>
          <w:b/>
          <w:i/>
          <w:sz w:val="23"/>
        </w:rPr>
        <w:t>Corporate Governance and Shariah Compliance in</w:t>
      </w:r>
      <w:r>
        <w:br/>
      </w:r>
      <w:r>
        <w:rPr>
          <w:rFonts w:ascii="Calibri" w:hAnsi="Calibri"/>
          <w:b/>
          <w:i/>
          <w:sz w:val="23"/>
        </w:rPr>
        <w:t xml:space="preserve"> Institutions Offering Islamic Financial Services</w:t>
      </w:r>
    </w:p>
    <w:p>
      <w:pPr>
        <w:spacing w:after="80"/>
      </w:pPr>
      <w:r>
        <w:rPr>
          <w:b w:val="0"/>
          <w:i w:val="0"/>
        </w:rPr>
        <w:t>WORLD BANK POLICY RESEARCH WORKING PAPER No. 4054 (2006)</w:t>
      </w:r>
    </w:p>
    <w:p>
      <w:pPr>
        <w:spacing w:after="80"/>
      </w:pPr>
      <w:r>
        <w:rPr>
          <w:b w:val="0"/>
          <w:i w:val="0"/>
        </w:rPr>
        <w:t xml:space="preserve">Mỗi tổ chức cung cấp dịch vụ tài chính Hồi giáo đều có các cố vấn tôn giáo nội bộ, được gọi chung là </w:t>
      </w:r>
      <w:r>
        <w:rPr>
          <w:b w:val="0"/>
          <w:i/>
        </w:rPr>
        <w:t>Shariah</w:t>
      </w:r>
      <w:r>
        <w:rPr>
          <w:b w:val="0"/>
          <w:i w:val="0"/>
        </w:rPr>
        <w:t xml:space="preserve"> Supervisory Board (SSB). Về nguyên tắc, vai trò của SSB bao gồm năm lĩnh vực chính: chứng nhận các công cụ tài chính được phép thông qua các </w:t>
      </w:r>
      <w:r>
        <w:rPr>
          <w:b w:val="0"/>
          <w:i/>
        </w:rPr>
        <w:t>fatwa</w:t>
      </w:r>
      <w:r>
        <w:rPr>
          <w:b w:val="0"/>
          <w:i w:val="0"/>
        </w:rPr>
        <w:t xml:space="preserve"> (kiểm toán </w:t>
      </w:r>
      <w:r>
        <w:rPr>
          <w:b w:val="0"/>
          <w:i/>
        </w:rPr>
        <w:t>Shariah</w:t>
      </w:r>
      <w:r>
        <w:rPr>
          <w:b w:val="0"/>
          <w:i w:val="0"/>
        </w:rPr>
        <w:t xml:space="preserve"> trước), xác minh rằng các giao dịch tuân thủ các </w:t>
      </w:r>
      <w:r>
        <w:rPr>
          <w:b w:val="0"/>
          <w:i/>
        </w:rPr>
        <w:t>fatwa</w:t>
      </w:r>
      <w:r>
        <w:rPr>
          <w:b w:val="0"/>
          <w:i w:val="0"/>
        </w:rPr>
        <w:t xml:space="preserve"> đã ban hành (kiểm toán </w:t>
      </w:r>
      <w:r>
        <w:rPr>
          <w:b w:val="0"/>
          <w:i/>
        </w:rPr>
        <w:t>Shariah</w:t>
      </w:r>
      <w:r>
        <w:rPr>
          <w:b w:val="0"/>
          <w:i w:val="0"/>
        </w:rPr>
        <w:t xml:space="preserve"> sau), tính toán và trả </w:t>
      </w:r>
      <w:r>
        <w:rPr>
          <w:b w:val="0"/>
          <w:i/>
        </w:rPr>
        <w:t>Zakat</w:t>
      </w:r>
      <w:r>
        <w:rPr>
          <w:b w:val="0"/>
          <w:i w:val="0"/>
        </w:rPr>
        <w:t xml:space="preserve"> , xử lý các khoản thu nhập không tuân thủ </w:t>
      </w:r>
      <w:r>
        <w:rPr>
          <w:b w:val="0"/>
          <w:i/>
        </w:rPr>
        <w:t>Shariah</w:t>
      </w:r>
      <w:r>
        <w:rPr>
          <w:b w:val="0"/>
          <w:i w:val="0"/>
        </w:rPr>
        <w:t xml:space="preserve"> , và tư vấn về việc phân phối thu nhập hoặc chi phí giữa các cổ đông và chủ tài khoản đầu tư. SSB đưa ra một báo cáo để chứng nhận rằng tất cả các giao dịch tài chính tuân thủ các nguyên tắc nêu trên. Báo cáo này thường là một phần không thể thiếu trong Báo cáo Thường niên của tổ chức tài chính Hồi giáo.</w:t>
      </w:r>
    </w:p>
    <w:p>
      <w:pPr>
        <w:spacing w:after="80"/>
      </w:pPr>
      <w:r>
        <w:rPr>
          <w:b w:val="0"/>
          <w:i w:val="0"/>
        </w:rPr>
        <w:t>* * *</w:t>
      </w:r>
    </w:p>
    <w:p>
      <w:pPr>
        <w:spacing w:after="80"/>
      </w:pPr>
      <w:r>
        <w:rPr>
          <w:b w:val="0"/>
          <w:i w:val="0"/>
        </w:rPr>
        <w:t xml:space="preserve">Hoạt động của các SSB đặt ra năm vấn đề chính về quản trị doanh nghiệp: tính độc lập, tính bảo mật, năng lực, tính nhất quán và tính công khai. Vấn đề đầu tiên liên quan đến </w:t>
      </w:r>
      <w:r>
        <w:rPr>
          <w:b w:val="0"/>
          <w:i/>
        </w:rPr>
        <w:t>tính độc lập</w:t>
      </w:r>
      <w:r>
        <w:rPr>
          <w:b w:val="0"/>
          <w:i w:val="0"/>
        </w:rPr>
        <w:t xml:space="preserve"> của SSB khỏi ban quản lý. Nói chung, các thành viên của SSB được bổ nhiệm bởi các cổ đông của ngân hàng, đại diện là Hội đồng Quản trị. Như vậy, họ được tổ chức tài chính thuê và báo cáo cho Hội đồng Quản trị. Thù lao của họ do ban quản lý đề xuất và được Hội đồng Quản trị phê duyệt. Mối quan hệ kép của các thành viên SSB với tổ chức — vừa là người cung cấp dịch vụ có thù lao vừa là người đánh giá bản chất các hoạt động — có thể được coi là tạo ra một xung đột lợi ích tiềm tàng.</w:t>
      </w:r>
    </w:p>
    <w:p>
      <w:pPr>
        <w:spacing w:after="80"/>
      </w:pPr>
      <w:r>
        <w:rPr>
          <w:b w:val="0"/>
          <w:i w:val="0"/>
        </w:rPr>
        <w:t xml:space="preserve">Về nguyên tắc, các thành viên SSB được yêu cầu đưa ra ý kiến khách quan trong mọi vấn đề liên quan đến nhiệm vụ của mình. Tuy nhiên, tình trạng việc làm của họ tạo ra một lợi ích kinh tế trong tổ chức tài chính, điều này có thể ảnh hưởng tiêu cực đến tính độc lập của họ. Ví dụ, ý kiến của SSB có thể cấm ngân hàng tham gia vào một số giao dịch sinh lời nhất định hoặc áp đặt việc phân bổ lại thu nhập bất hợp pháp cho từ thiện, dẫn đến hiệu quả tài chính tổng thể kém hơn. Trong những trường hợp này, các nhà quản lý ngân hàng có thể bị cám dỗ sử dụng ảnh hưởng của mình để tác động đến các thành viên SSB, tạo ra cái thường được gọi là “mua </w:t>
      </w:r>
      <w:r>
        <w:rPr>
          <w:b w:val="0"/>
          <w:i/>
        </w:rPr>
        <w:t>Fatwa</w:t>
      </w:r>
      <w:r>
        <w:rPr>
          <w:b w:val="0"/>
          <w:i w:val="0"/>
        </w:rPr>
        <w:t xml:space="preserve"> ” hay “tư vấn </w:t>
      </w:r>
      <w:r>
        <w:rPr>
          <w:b w:val="0"/>
          <w:i/>
        </w:rPr>
        <w:t>Shariah</w:t>
      </w:r>
      <w:r>
        <w:rPr>
          <w:b w:val="0"/>
          <w:i w:val="0"/>
        </w:rPr>
        <w:t xml:space="preserve"> theo kiểu </w:t>
      </w:r>
      <w:r>
        <w:rPr>
          <w:b w:val="0"/>
          <w:i/>
        </w:rPr>
        <w:t>à la carte</w:t>
      </w:r>
      <w:r>
        <w:rPr>
          <w:b w:val="0"/>
          <w:i w:val="0"/>
        </w:rPr>
        <w:t xml:space="preserve"> ”.</w:t>
      </w:r>
    </w:p>
    <w:p>
      <w:pPr>
        <w:spacing w:after="80"/>
      </w:pPr>
      <w:r>
        <w:rPr>
          <w:b w:val="0"/>
          <w:i w:val="0"/>
        </w:rPr>
        <w:t xml:space="preserve">Trên thực tế, rủi ro xung đột lợi ích như vậy được giảm thiểu nhờ các chuẩn mực đạo đức của các thành viên SSB, và chi phí cao mà một danh tiếng bị hoen ố sẽ gây ra cho họ và cho tổ chức tài chính. Nói chung, các thành viên SSB là những học giả </w:t>
      </w:r>
      <w:r>
        <w:rPr>
          <w:b w:val="0"/>
          <w:i/>
        </w:rPr>
        <w:t>Shariah</w:t>
      </w:r>
      <w:r>
        <w:rPr>
          <w:b w:val="0"/>
          <w:i w:val="0"/>
        </w:rPr>
        <w:t xml:space="preserve"> được đánh giá cao và là những người bảo vệ các nguyên tắc của nó. Do đó, việc một SSB đưa ra đánh giá và công bố không trung thực về mức độ tuân thủ </w:t>
      </w:r>
      <w:r>
        <w:rPr>
          <w:b w:val="0"/>
          <w:i/>
        </w:rPr>
        <w:t>Shariah</w:t>
      </w:r>
      <w:r>
        <w:rPr>
          <w:b w:val="0"/>
          <w:i w:val="0"/>
        </w:rPr>
        <w:t xml:space="preserve"> dường như rất khó xảy ra. Trong trường hợp điều đó xảy ra và bị phát hiện, nó sẽ gây tổn hại nghiêm trọng đến danh tiếng của các học giả liên quan và triển vọng tiếp tục tìm đến dịch vụ của họ. Tương tự, sự can thiệp của ban quản lý vào các đánh giá tuân thủ có thể dẫn đến mất lòng tin của cổ đông và các bên liên quan. Ban quản lý có thể bị xử phạt và đối mặt với việc bị sa thải. Dù tất cả những điều đó là vậy, và bất chấp chi phí nặng nề của những đánh giá không trung thực, một xung đột lợi ích tiềm tàng vẫn tồn tại cố hữu trong các thỏa thuận quản trị doanh nghiệp hiện hành liên quan đến các SSB.</w:t>
      </w:r>
    </w:p>
    <w:p>
      <w:pPr>
        <w:spacing w:after="80"/>
      </w:pPr>
      <w:r>
        <w:rPr>
          <w:b w:val="0"/>
          <w:i w:val="0"/>
        </w:rPr>
        <w:t xml:space="preserve">Vấn đề </w:t>
      </w:r>
      <w:r>
        <w:rPr>
          <w:b w:val="0"/>
          <w:i/>
        </w:rPr>
        <w:t>bảo mật</w:t>
      </w:r>
      <w:r>
        <w:rPr>
          <w:b w:val="0"/>
          <w:i w:val="0"/>
        </w:rPr>
        <w:t xml:space="preserve"> gắn liền với vấn đề độc lập. Thường thì một số học giả </w:t>
      </w:r>
      <w:r>
        <w:rPr>
          <w:b w:val="0"/>
          <w:i/>
        </w:rPr>
        <w:t>Shariah</w:t>
      </w:r>
      <w:r>
        <w:rPr>
          <w:b w:val="0"/>
          <w:i w:val="0"/>
        </w:rPr>
        <w:t xml:space="preserve"> cùng lúc tham gia SSB của nhiều hơn một tổ chức tài chính. Việc liên kết với nhiều IIFS như vậy có thể được xem là một điểm mạnh, ở chỗ nó có thể nâng cao tính độc lập của SSB đối với một tổ chức cụ thể. Tuy nhiên, nó lại cho cá nhân đó quyền truy cập vào thông tin độc quyền của các tổ chức khác, có thể là đối thủ cạnh tranh. Vì vậy, các thành viên SSB có thể rơi vào một kiểu xung đột lợi ích tiềm ẩn khác. Trong thực tế hiện nay, Malaysia đã cố gắng giải quyết vấn đề này bằng cách khuyến khích các học giả luật không tham gia SSB của nhiều hơn một IIFS. Cách làm này tuy loại bỏ được những lo ngại về bảo mật, nhưng lại đặt ra những vấn đề tiềm ẩn khác. Thứ nhất, nó sẽ làm trầm trọng thêm tình trạng thiếu năng lực ở những nơi khan hiếm học giả </w:t>
      </w:r>
      <w:r>
        <w:rPr>
          <w:b w:val="0"/>
          <w:i/>
        </w:rPr>
        <w:t>Fiqh al-Muamalat</w:t>
      </w:r>
      <w:r>
        <w:rPr>
          <w:b w:val="0"/>
          <w:i w:val="0"/>
        </w:rPr>
        <w:t xml:space="preserve">. Thứ hai, nó có thể ngăn cản việc hình thành một thị trường lao động hiệu quả cho hoạt động kiểm toán </w:t>
      </w:r>
      <w:r>
        <w:rPr>
          <w:b w:val="0"/>
          <w:i/>
        </w:rPr>
        <w:t>Shariah</w:t>
      </w:r>
      <w:r>
        <w:rPr>
          <w:b w:val="0"/>
          <w:i w:val="0"/>
        </w:rPr>
        <w:t>, bằng cách làm giảm sức hấp dẫn kinh tế của nghề này. Cuối cùng, nó có thể tạo ra mối quan hệ cộng sinh giữa kiểm toán viên và tổ chức tài chính, điều này có thể làm suy yếu tính khách quan.</w:t>
      </w:r>
    </w:p>
    <w:p>
      <w:pPr>
        <w:spacing w:after="80"/>
      </w:pPr>
      <w:r>
        <w:rPr>
          <w:b w:val="0"/>
          <w:i w:val="0"/>
        </w:rPr>
        <w:t xml:space="preserve">Vấn đề thứ ba liên quan đến bản chất </w:t>
      </w:r>
      <w:r>
        <w:rPr>
          <w:b w:val="0"/>
          <w:i/>
        </w:rPr>
        <w:t>năng lực</w:t>
      </w:r>
      <w:r>
        <w:rPr>
          <w:b w:val="0"/>
          <w:i w:val="0"/>
        </w:rPr>
        <w:t xml:space="preserve"> mà các thành viên SSB cần có. Do vai trò đặc thù mà họ được kêu gọi đảm nhận, các thành viên SSB lý tưởng nhất nên am hiểu cả luật Hồi giáo lẫn các thông lệ thương mại và kế toán (</w:t>
      </w:r>
      <w:r>
        <w:rPr>
          <w:b w:val="0"/>
          <w:i/>
        </w:rPr>
        <w:t>Fiqh al-Muamalat</w:t>
      </w:r>
      <w:r>
        <w:rPr>
          <w:b w:val="0"/>
          <w:i w:val="0"/>
        </w:rPr>
        <w:t xml:space="preserve">). Trên thực tế, có vẻ như rất ít học giả thông thạo cả hai lĩnh vực này. Vấn đề đã được giải quyết bằng cách đưa các thành viên có xuất thân khác nhau vào hầu hết các SSB. Tuy nhiên, việc kết hợp các chuyên gia thay vì kết hợp chuyên môn lại tạo ra thách thức phải vượt qua những quan điểm khác biệt cũng như nguy cơ giao tiếp có thể thất bại. Theo thời gian, khoảng cách nhu cầu đối với kỹ năng kết hợp giữa </w:t>
      </w:r>
      <w:r>
        <w:rPr>
          <w:b w:val="0"/>
          <w:i/>
        </w:rPr>
        <w:t>Shariah</w:t>
      </w:r>
      <w:r>
        <w:rPr>
          <w:b w:val="0"/>
          <w:i w:val="0"/>
        </w:rPr>
        <w:t xml:space="preserve"> và tài chính có khả năng sẽ được thu hẹp thông qua chính sách công và hoạt động bình thường của thị trường lao động. Tiến bộ theo hướng này đã có thể thấy rõ ở những quốc gia nơi ngành tài chính Hồi giáo đã phát triển vững mạnh. Ví dụ, Ủy ban Chứng khoán Malaysia đã chứng nhận tổng cộng 27 cá nhân và 3 công ty đủ điều kiện tư vấn </w:t>
      </w:r>
      <w:r>
        <w:rPr>
          <w:b w:val="0"/>
          <w:i/>
        </w:rPr>
        <w:t>Shariah</w:t>
      </w:r>
      <w:r>
        <w:rPr>
          <w:b w:val="0"/>
          <w:i w:val="0"/>
        </w:rPr>
        <w:t xml:space="preserve"> về quỹ tín thác đơn vị, cho tổng cộng 24 công ty cung cấp loại quỹ này. Tuy nhiên, ở những quốc gia nơi tài chính Hồi giáo kém phát triển hơn, có thể cần đến những sắp xếp chuyển tiếp khác.</w:t>
      </w:r>
    </w:p>
    <w:p>
      <w:pPr>
        <w:spacing w:after="80"/>
      </w:pPr>
      <w:r>
        <w:rPr>
          <w:b w:val="0"/>
          <w:i w:val="0"/>
        </w:rPr>
        <w:t xml:space="preserve">Vấn đề thứ tư liên quan đến </w:t>
      </w:r>
      <w:r>
        <w:rPr>
          <w:b w:val="0"/>
          <w:i/>
        </w:rPr>
        <w:t>tính nhất quán</w:t>
      </w:r>
      <w:r>
        <w:rPr>
          <w:b w:val="0"/>
          <w:i w:val="0"/>
        </w:rPr>
        <w:t xml:space="preserve"> trong phán quyết giữa các ngân hàng, theo thời gian, hoặc giữa các khu vực pháp lý trong cùng một ngân hàng. Về bản chất, hoạt động của các SSB mang tính chất tạo ra án lệ thông qua việc giải thích các nguồn luật. Do đó, không có gì đáng ngạc nhiên khi thấy những ý kiến trái ngược nhau về tính chấp nhận được của các công cụ hoặc giao dịch tài chính cụ thể. Tuy nhiên, trên thực tế, sự đa dạng ý kiến ít phổ biến hơn mức có thể mong đợi. CIBAFI đã lấy mẫu khoảng 6000 </w:t>
      </w:r>
      <w:r>
        <w:rPr>
          <w:b w:val="0"/>
          <w:i/>
        </w:rPr>
        <w:t>fatwa</w:t>
      </w:r>
      <w:r>
        <w:rPr>
          <w:b w:val="0"/>
          <w:i w:val="0"/>
        </w:rPr>
        <w:t xml:space="preserve"> và phát hiện rằng 90% nhất quán giữa các ngân hàng. Việc hơn một trăm học giả </w:t>
      </w:r>
      <w:r>
        <w:rPr>
          <w:b w:val="0"/>
          <w:i/>
        </w:rPr>
        <w:t>Shariah</w:t>
      </w:r>
      <w:r>
        <w:rPr>
          <w:b w:val="0"/>
          <w:i w:val="0"/>
        </w:rPr>
        <w:t xml:space="preserve"> trên khắp thế giới đưa ra những </w:t>
      </w:r>
      <w:r>
        <w:rPr>
          <w:b w:val="0"/>
          <w:i/>
        </w:rPr>
        <w:t>fatwa</w:t>
      </w:r>
      <w:r>
        <w:rPr>
          <w:b w:val="0"/>
          <w:i w:val="0"/>
        </w:rPr>
        <w:t xml:space="preserve"> này cho thấy sự nhất quán tổng thể trong việc giải thích các nguồn luật. Hơn nữa, mức độ nhất quán cao giữa các </w:t>
      </w:r>
      <w:r>
        <w:rPr>
          <w:b w:val="0"/>
          <w:i/>
        </w:rPr>
        <w:t>fatwa</w:t>
      </w:r>
      <w:r>
        <w:rPr>
          <w:b w:val="0"/>
          <w:i w:val="0"/>
        </w:rPr>
        <w:t xml:space="preserve"> này cũng cho thấy tính độc lập đáng kể của các SSB. Tuy nhiên, khi ngành này mở rộng, số lượng </w:t>
      </w:r>
      <w:r>
        <w:rPr>
          <w:b w:val="0"/>
          <w:i/>
        </w:rPr>
        <w:t>fatwa</w:t>
      </w:r>
      <w:r>
        <w:rPr>
          <w:b w:val="0"/>
          <w:i w:val="0"/>
        </w:rPr>
        <w:t xml:space="preserve"> mâu thuẫn về tính cho phép của một công cụ có khả năng sẽ tăng lên. Điều này có thể làm suy yếu niềm tin của khách hàng vào ngành và gây ảnh hưởng đến khả năng thực thi của các hợp đồng.</w:t>
      </w:r>
    </w:p>
    <w:p>
      <w:pPr>
        <w:spacing w:after="80"/>
      </w:pPr>
      <w:r>
        <w:rPr>
          <w:b w:val="0"/>
          <w:i w:val="0"/>
        </w:rPr>
        <w:t xml:space="preserve">Vấn đề cuối cùng và bao trùm liên quan đến </w:t>
      </w:r>
      <w:r>
        <w:rPr>
          <w:b w:val="0"/>
          <w:i/>
        </w:rPr>
        <w:t>việc công bố</w:t>
      </w:r>
      <w:r>
        <w:rPr>
          <w:b w:val="0"/>
          <w:i w:val="0"/>
        </w:rPr>
        <w:t xml:space="preserve"> mọi thông tin liên quan đến các tư vấn </w:t>
      </w:r>
      <w:r>
        <w:rPr>
          <w:b w:val="0"/>
          <w:i/>
        </w:rPr>
        <w:t>Shariah</w:t>
      </w:r>
      <w:r>
        <w:rPr>
          <w:b w:val="0"/>
          <w:i w:val="0"/>
        </w:rPr>
        <w:t xml:space="preserve">. Ngoài những khía cạnh tích cực của việc trao quyền cho các bên liên quan, công bố thông tin có thể là phương tiện để giải quyết một số vấn đề đã thảo luận trong các đoạn trên. Một tổ chức tài chính minh bạch lý tưởng nhất sẽ công bố nhiệm vụ, quy trình ra quyết định, các lĩnh vực năng lực và thành phần SSB của mình, cũng như công bố tất cả </w:t>
      </w:r>
      <w:r>
        <w:rPr>
          <w:b w:val="0"/>
          <w:i/>
        </w:rPr>
        <w:t>fatwa</w:t>
      </w:r>
      <w:r>
        <w:rPr>
          <w:b w:val="0"/>
          <w:i w:val="0"/>
        </w:rPr>
        <w:t xml:space="preserve"> do SSB ban hành. Điều này sẽ củng cố niềm tin của các bên liên quan vào uy tín của các đánh giá của SSB. Ngoài ra, việc công bố công khai những thông tin như vậy sẽ tạo ra một diễn đàn để giáo dục công chúng, từ đó mở đường cho vai trò lớn hơn của kỷ luật thị trường đối với việc tuân thủ </w:t>
      </w:r>
      <w:r>
        <w:rPr>
          <w:b w:val="0"/>
          <w:i/>
        </w:rPr>
        <w:t>Shariah</w:t>
      </w:r>
      <w:r>
        <w:rPr>
          <w:b w:val="0"/>
          <w:i w:val="0"/>
        </w:rPr>
        <w:t xml:space="preserve">. Cuối cùng, nó sẽ làm giảm chi phí mà các tác nhân bên ngoài có thể phải gánh chịu khi đánh giá chất lượng giám sát </w:t>
      </w:r>
      <w:r>
        <w:rPr>
          <w:b w:val="0"/>
          <w:i/>
        </w:rPr>
        <w:t>Shariah</w:t>
      </w:r>
      <w:r>
        <w:rPr>
          <w:b w:val="0"/>
          <w:i w:val="0"/>
        </w:rPr>
        <w:t xml:space="preserve"> nội bộ.</w:t>
      </w:r>
    </w:p>
    <w:p>
      <w:pPr>
        <w:pStyle w:val="Heading5"/>
      </w:pPr>
      <w:r>
        <w:rPr>
          <w:rFonts w:ascii="Calibri" w:hAnsi="Calibri"/>
          <w:b/>
          <w:i/>
          <w:sz w:val="22"/>
        </w:rPr>
        <w:t>Bình luận và Câu hỏi</w:t>
      </w:r>
    </w:p>
    <w:p>
      <w:pPr>
        <w:spacing w:after="80"/>
      </w:pPr>
      <w:r>
        <w:rPr>
          <w:b w:val="0"/>
          <w:i w:val="0"/>
        </w:rPr>
        <w:t xml:space="preserve">1. Sự phê duyệt của một </w:t>
      </w:r>
      <w:r>
        <w:rPr>
          <w:b w:val="0"/>
          <w:i/>
        </w:rPr>
        <w:t>Hội đồng Shariah</w:t>
      </w:r>
      <w:r>
        <w:rPr>
          <w:b w:val="0"/>
          <w:i w:val="0"/>
        </w:rPr>
        <w:t xml:space="preserve"> thực chất báo hiệu cho các nhà đầu tư, khách hàng và người tiêu dùng rằng hoạt động đó tuân thủ </w:t>
      </w:r>
      <w:r>
        <w:rPr>
          <w:b w:val="0"/>
          <w:i/>
        </w:rPr>
        <w:t>Shariah</w:t>
      </w:r>
      <w:r>
        <w:rPr>
          <w:b w:val="0"/>
          <w:i w:val="0"/>
        </w:rPr>
        <w:t xml:space="preserve">, giúp giảm bớt nghĩa vụ tự mình đưa ra phán quyết độc lập của họ. Các hội đồng có thể có trách nhiệm liên tục trong việc đảm bảo tuân thủ suốt vòng đời của vấn đề. </w:t>
      </w:r>
      <w:r>
        <w:rPr>
          <w:b w:val="0"/>
          <w:i/>
        </w:rPr>
        <w:t>Xem</w:t>
      </w:r>
      <w:r>
        <w:rPr>
          <w:b w:val="0"/>
          <w:i w:val="0"/>
        </w:rPr>
        <w:t xml:space="preserve"> Shaykh Yusuf Talal DeLorenzo, </w:t>
      </w:r>
      <w:r>
        <w:rPr>
          <w:b w:val="0"/>
          <w:i/>
        </w:rPr>
        <w:t>Islamic Business and Commercial Law: Shari'ah Compliance Risk</w:t>
      </w:r>
      <w:r>
        <w:rPr>
          <w:b w:val="0"/>
          <w:i w:val="0"/>
        </w:rPr>
        <w:t xml:space="preserve"> , 7 Chi. J. Int'l L. 397, 400 (2007) (“Trong suốt vòng đời sản phẩm, SSB có trách nhiệm làm việc với ban quản lý để đảm bảo rằng mọi thứ về sản phẩm hoặc dịch vụ tài chính đều tuân thủ các nguyên tắc và giới luật của Shari'ah”).</w:t>
      </w:r>
    </w:p>
    <w:p>
      <w:pPr>
        <w:spacing w:after="80"/>
      </w:pPr>
      <w:r>
        <w:rPr>
          <w:b w:val="0"/>
          <w:i w:val="0"/>
        </w:rPr>
        <w:t xml:space="preserve">2. Những lo ngại nào có thể phát sinh từ cấu trúc này? Các thành viên của những hội đồng này có thể đại diện cho những trường phái tư tưởng khác nhau trong việc giải thích </w:t>
      </w:r>
      <w:r>
        <w:rPr>
          <w:b w:val="0"/>
          <w:i/>
        </w:rPr>
        <w:t>Shariah</w:t>
      </w:r>
      <w:r>
        <w:rPr>
          <w:b w:val="0"/>
          <w:i w:val="0"/>
        </w:rPr>
        <w:t xml:space="preserve">. Tại sao các hội đồng </w:t>
      </w:r>
      <w:r>
        <w:rPr>
          <w:b w:val="0"/>
          <w:i/>
        </w:rPr>
        <w:t>Shariah</w:t>
      </w:r>
      <w:r>
        <w:rPr>
          <w:b w:val="0"/>
          <w:i w:val="0"/>
        </w:rPr>
        <w:t xml:space="preserve"> lại sử dụng kiểu đa dạng này?</w:t>
      </w:r>
    </w:p>
    <w:p>
      <w:pPr>
        <w:spacing w:after="80"/>
      </w:pPr>
      <w:r>
        <w:rPr>
          <w:b w:val="0"/>
          <w:i w:val="0"/>
        </w:rPr>
        <w:t xml:space="preserve">3. Đối với các tổ chức tài chính, thành viên hội đồng cần thông thạo cả các giới luật của Sharia lẫn tài chính hiện đại. Điều này đã dẫn đến tình trạng thiếu hụt học giả đủ tiêu chuẩn. </w:t>
      </w:r>
      <w:r>
        <w:rPr>
          <w:b w:val="0"/>
          <w:i/>
        </w:rPr>
        <w:t>Xem</w:t>
      </w:r>
      <w:r>
        <w:rPr>
          <w:b w:val="0"/>
          <w:i w:val="0"/>
        </w:rPr>
        <w:t xml:space="preserve"> David Yerushalmi, Esq., </w:t>
      </w:r>
      <w:r>
        <w:rPr>
          <w:b w:val="0"/>
          <w:i/>
        </w:rPr>
        <w:t>Shari'ah's “Black Box”: Civil Liability and Criminal Exposure Surrounding Shari'ah-Compliant Finance</w:t>
      </w:r>
      <w:r>
        <w:rPr>
          <w:b w:val="0"/>
          <w:i w:val="0"/>
        </w:rPr>
        <w:t xml:space="preserve"> , 2008 Utah L. Rev. 1019, 1086 (“Chỉ có khoảng 20–25 chuyên gia Shari'ah được đào tạo đầy đủ, và mỗi thành viên của câu lạc bộ độc quyền này đều ngồi trong hàng chục hội đồng giám sát Shari'ah trên khắp thế giới.”). Điều này có thể có tác động gì đến việc sử dụng các hội đồng này?</w:t>
      </w:r>
    </w:p>
    <w:p>
      <w:pPr>
        <w:spacing w:after="80"/>
      </w:pPr>
      <w:r>
        <w:rPr>
          <w:b w:val="0"/>
          <w:i w:val="0"/>
        </w:rPr>
        <w:t xml:space="preserve">4. Như bài viết này lưu ý, các thành viên của những hội đồng này thường được trả lương bởi chính tổ chức thuê họ. Điều này, trong suy nghĩ của một số người, tạo ra một xung đột lợi ích không thể chấp nhận được. </w:t>
      </w:r>
      <w:r>
        <w:rPr>
          <w:b w:val="0"/>
          <w:i/>
        </w:rPr>
        <w:t>Xem</w:t>
      </w:r>
      <w:r>
        <w:rPr>
          <w:b w:val="0"/>
          <w:i w:val="0"/>
        </w:rPr>
        <w:t xml:space="preserve"> Scott R. Anderson, </w:t>
      </w:r>
      <w:r>
        <w:rPr>
          <w:b w:val="0"/>
          <w:i/>
        </w:rPr>
        <w:t>Forthcoming Changes in the Shari'ah Compliance Regime for Islamic Finance</w:t>
      </w:r>
      <w:r>
        <w:rPr>
          <w:b w:val="0"/>
          <w:i w:val="0"/>
        </w:rPr>
        <w:t xml:space="preserve"> , 35 Yale J. Int'l L. 237, 240 (2010) (“Trong khi các hội đồng giám sát shari'ah đã trở nên phổ biến, việc chúng được trả lương và duy trì bởi chính những tổ chức mà chúng giám sát làm dấy lên lo ngại về tính độc lập và độ tin cậy của chúng.”). Bạn có đồng ý không?</w:t>
      </w:r>
    </w:p>
    <w:p>
      <w:pPr>
        <w:spacing w:after="80"/>
      </w:pPr>
      <w:r>
        <w:rPr>
          <w:b w:val="0"/>
          <w:i w:val="0"/>
        </w:rPr>
        <w:t xml:space="preserve">5. Không có sự thống nhất ý kiến khi nói đến việc giải thích </w:t>
      </w:r>
      <w:r>
        <w:rPr>
          <w:b w:val="0"/>
          <w:i/>
        </w:rPr>
        <w:t>Shariah.</w:t>
      </w:r>
      <w:r>
        <w:rPr>
          <w:b w:val="0"/>
          <w:i w:val="0"/>
        </w:rPr>
        <w:t xml:space="preserve"> Ngay cả khi một hoạt động được một </w:t>
      </w:r>
      <w:r>
        <w:rPr>
          <w:b w:val="0"/>
          <w:i/>
        </w:rPr>
        <w:t>hội đồng Shariah</w:t>
      </w:r>
      <w:r>
        <w:rPr>
          <w:b w:val="0"/>
          <w:i w:val="0"/>
        </w:rPr>
        <w:t xml:space="preserve"> cụ thể phê duyệt, những người khác vẫn có thể có quan điểm khác. Hơn nữa, ngay cả sau khi được phê duyệt, ý kiến vẫn có thể thay đổi. Một điều gì đó bị coi là không tuân thủ sẽ ảnh hưởng đến cách thị trường đối xử với nó. Khả năng này đôi khi được gọi là rủi ro tuân thủ </w:t>
      </w:r>
      <w:r>
        <w:rPr>
          <w:b w:val="0"/>
          <w:i/>
        </w:rPr>
        <w:t>Shariah</w:t>
      </w:r>
      <w:r>
        <w:rPr>
          <w:b w:val="0"/>
          <w:i w:val="0"/>
        </w:rPr>
        <w:t>.</w:t>
      </w:r>
    </w:p>
    <w:p>
      <w:pPr>
        <w:spacing w:after="80"/>
      </w:pPr>
      <w:r>
        <w:rPr>
          <w:b w:val="0"/>
          <w:i w:val="0"/>
        </w:rPr>
        <w:t xml:space="preserve">6. Những khác biệt đôi khi có yếu tố địa lý. Các học giả từ Trung Đông thường được xem là bảo thủ hơn so với những người ở Đông Nam Á, đặc biệt là Malaysia. Do đó, việc một </w:t>
      </w:r>
      <w:r>
        <w:rPr>
          <w:b w:val="0"/>
          <w:i/>
        </w:rPr>
        <w:t>hội đồng Shariah</w:t>
      </w:r>
      <w:r>
        <w:rPr>
          <w:b w:val="0"/>
          <w:i w:val="0"/>
        </w:rPr>
        <w:t xml:space="preserve"> gồm các học giả từ Malaysia phê duyệt một sản phẩm hay hoạt động không nhất thiết đủ để thuyết phục các nhà đầu tư ở Trung Đông.</w:t>
      </w:r>
    </w:p>
    <w:p>
      <w:pPr>
        <w:spacing w:after="80"/>
      </w:pPr>
      <w:r>
        <w:rPr>
          <w:b w:val="0"/>
          <w:i w:val="0"/>
        </w:rPr>
        <w:t>7. Một trong những trụ cột của Hồi giáo là Zakat, tức việc bố thí. Ở một số quốc gia Hồi giáo, các công ty phải thực hiện những khoản thanh toán này. Ví dụ ở Saudi Arabia, các công ty phải nộp hằng năm 2,5% vốn và thu nhập cho Cục Zakat. Số tiền này sau đó được dùng cho các mục đích từ thiện và xã hội do chính phủ quyết định.</w:t>
      </w:r>
    </w:p>
    <w:p>
      <w:pPr>
        <w:spacing w:after="80"/>
      </w:pPr>
      <w:r>
        <w:rPr>
          <w:b w:val="0"/>
          <w:i w:val="0"/>
        </w:rPr>
        <w:t>8. Áp lực cạnh tranh có thể có vai trò gì đối với hướng phát triển tương lai của các cách giải thích Hồi giáo? J. Robert Brown, Jr., Secularism, Sharia and the Turkish Financial Markets, 40 Brook. J. Int'l L. 407 (2015) (“Dù có khả năng tiếp cận tốt hơn những khách hàng chọn quan hệ ngân hàng chủ yếu dựa trên sự tuân thủ tôn giáo, các ngân hàng Hồi giáo không giới hạn hoạt động của mình trong phân khúc thị trường khiêm tốn này. Họ cũng cạnh tranh để giành những khách hàng vốn dựa vào các ngân hàng thương mại truyền thống. Do đó, thành công phụ thuộc vào khả năng sánh ngang về tỷ suất lợi nhuận cũng như chất lượng và sự đa dạng của dịch vụ. Nhu cầu làm được điều này đặc biệt quan trọng đối với thẻ tín dụng.”).</w:t>
      </w:r>
    </w:p>
    <w:p>
      <w:pPr>
        <w:pStyle w:val="Heading2"/>
      </w:pPr>
      <w:r>
        <w:rPr>
          <w:rFonts w:ascii="Calibri" w:hAnsi="Calibri"/>
          <w:b/>
          <w:i w:val="0"/>
          <w:sz w:val="32"/>
        </w:rPr>
        <w:t>VII. Quyền thống trị trong Quản trị Công ty (Tái bàn)</w:t>
      </w:r>
    </w:p>
    <w:p>
      <w:pPr>
        <w:spacing w:after="80"/>
      </w:pPr>
      <w:r>
        <w:rPr>
          <w:b w:val="0"/>
          <w:i w:val="0"/>
        </w:rPr>
        <w:t>Sau khi xem xét một số khác biệt trong cách tiếp cận quản trị công ty, chúng ta có thể quay lại bài viết mà bạn đã đọc ở đầu chương này, bài của các Giáo sư Hansmann và Kraakman. Liệu họ có đúng không? Liệu quản trị công ty toàn cầu có đang hội tụ về mô hình Anglo-American không?</w:t>
      </w:r>
    </w:p>
    <w:p>
      <w:pPr>
        <w:pStyle w:val="Heading4"/>
      </w:pPr>
      <w:r>
        <w:rPr>
          <w:rFonts w:ascii="Calibri" w:hAnsi="Calibri"/>
          <w:b/>
          <w:i w:val="0"/>
          <w:sz w:val="23"/>
        </w:rPr>
        <w:t xml:space="preserve">Douglas M. Branson, </w:t>
      </w:r>
      <w:r>
        <w:rPr>
          <w:rFonts w:ascii="Calibri" w:hAnsi="Calibri"/>
          <w:b/>
          <w:i/>
          <w:sz w:val="23"/>
        </w:rPr>
        <w:t>The Very Uncertain Prospect of</w:t>
      </w:r>
      <w:r>
        <w:br/>
      </w:r>
      <w:r>
        <w:rPr>
          <w:rFonts w:ascii="Calibri" w:hAnsi="Calibri"/>
          <w:b/>
          <w:i/>
          <w:sz w:val="23"/>
        </w:rPr>
        <w:t xml:space="preserve"> “Global” Convergence in Corporate Governance</w:t>
      </w:r>
    </w:p>
    <w:p>
      <w:pPr>
        <w:spacing w:after="80"/>
      </w:pPr>
      <w:r>
        <w:rPr>
          <w:b w:val="0"/>
          <w:i w:val="0"/>
        </w:rPr>
        <w:t>34 Cornell Int'l L.J. 321, 332 (2001)</w:t>
      </w:r>
    </w:p>
    <w:p>
      <w:pPr>
        <w:spacing w:after="80"/>
      </w:pPr>
      <w:r>
        <w:rPr>
          <w:b w:val="0"/>
          <w:i w:val="0"/>
        </w:rPr>
        <w:t>Mục này đưa ra năm luận điểm,. . . . Đó là: (1) học thuật về hội tụ hiện có tham gia vào mức độ cao của việc rao giảng, với rất ít bằng chứng ủng hộ các khẳng định được đưa ra và dường như cố ý không để ý đến các thẩm quyền trái ngược; (2) học thuật hiện có mang tính nội bộ cao, bỏ qua công trình của các học giả tại các tổ chức ít được biết đến hoặc trong các lĩnh vực khác và trích dẫn gần như độc quyền công trình của một vài học giả tại một số ít tổ chức ưu tú; (3) khi các học giả về hội tụ tập hợp bằng chứng ủng hộ luận điểm của họ, mẫu là một mẫu cực kỳ hẹp để từ đó đưa ra bất kỳ điều gì "toàn cầu"; (4) việc ủng hộ mô hình Hoa Kỳ như là toàn cầu thể hiện sự thiếu hiểu biết và nhạy cảm về văn hóa một cách cực đoan, bỏ qua vô số nền văn hóa và hàng tỷ người mà quản trị doanh nghiệp kiểu Hoa Kỳ sẽ không bao giờ có thể chấp nhận được đối với họ; và (5) ngầm ẩn trong học thuật ủng hộ này là giả định rằng chỉ có một mô hình kinh tế, mô hình đặt hiệu quả và lợi nhuận lên hàng đầu, là có thể chấp nhận được. Thực tế là ở phần lớn thế giới, các mô hình kinh tế khác, được nhóm chung dưới thuật ngữ "chủ nghĩa tư bản nhúng" (embedded capitalism), chi phối cuộc sống, mục tiêu và khát vọng của con người và các thực thể hư cấu (các tập đoàn).</w:t>
      </w:r>
    </w:p>
    <w:p>
      <w:pPr>
        <w:spacing w:after="80"/>
      </w:pPr>
      <w:r>
        <w:rPr>
          <w:b w:val="0"/>
          <w:i w:val="0"/>
        </w:rPr>
        <w:t>1 . Được tái bản với sự cho phép của nhà xuất bản, Georgetown Law Journal © 2001.</w:t>
      </w:r>
    </w:p>
    <w:p>
      <w:pPr>
        <w:spacing w:after="80"/>
      </w:pPr>
      <w:r>
        <w:rPr>
          <w:b w:val="0"/>
          <w:i w:val="0"/>
        </w:rPr>
        <w:t>2 . Bản quyền © 2014 Cornell International Law Journal. Được tái bản với sự cho phép.</w:t>
      </w:r>
    </w:p>
    <w:p>
      <w:pPr>
        <w:spacing w:after="80"/>
      </w:pPr>
      <w:r>
        <w:rPr>
          <w:b w:val="0"/>
          <w:i w:val="0"/>
        </w:rPr>
        <w:t>3 . Bản quyền © 2014 Delaware Journal of Corporate Law. Được tái bản với sự cho phép.</w:t>
      </w:r>
    </w:p>
    <w:p>
      <w:pPr>
        <w:spacing w:after="80"/>
      </w:pPr>
      <w:r>
        <w:rPr>
          <w:b w:val="0"/>
          <w:i w:val="0"/>
        </w:rPr>
        <w:t>4 . Bản quyền © 2013 Georgetown Journal of International Law. Được tái bản với sự cho phép.</w:t>
      </w:r>
    </w:p>
    <w:p>
      <w:pPr>
        <w:spacing w:after="80"/>
      </w:pPr>
      <w:r>
        <w:rPr>
          <w:b w:val="0"/>
          <w:i w:val="0"/>
        </w:rPr>
        <w:t xml:space="preserve">5 . Được tái bản với sự cho phép đặc biệt của Northwestern University School of Law, </w:t>
      </w:r>
      <w:r>
        <w:rPr>
          <w:b w:val="0"/>
          <w:i/>
        </w:rPr>
        <w:t>Northwestern Journal of International Law and Business</w:t>
      </w:r>
      <w:r>
        <w:rPr>
          <w:b w:val="0"/>
          <w:i w:val="0"/>
        </w:rPr>
        <w:t xml:space="preserve"> .</w:t>
      </w:r>
    </w:p>
    <w:p>
      <w:pPr>
        <w:spacing w:after="80"/>
      </w:pPr>
      <w:r>
        <w:rPr>
          <w:b w:val="0"/>
          <w:i w:val="0"/>
        </w:rPr>
        <w:t>6 . Bản quyền © 2008 bởi Regents of the University of California. Được tái bản từ Berkeley Business Law Journal Vol. 5, No. 2, với sự cho phép của Regents of the University of California.</w:t>
      </w:r>
    </w:p>
    <w:p>
      <w:pPr>
        <w:spacing w:after="80"/>
      </w:pPr>
      <w:r>
        <w:rPr>
          <w:b w:val="0"/>
          <w:i w:val="0"/>
        </w:rPr>
        <w:t>7 . Bản quyền © 2012 UCLA Pacific Basin Law Journal. Được tái bản với sự cho phép.</w:t>
      </w:r>
    </w:p>
    <w:p>
      <w:pPr>
        <w:spacing w:after="80"/>
      </w:pPr>
      <w:r>
        <w:rPr>
          <w:b w:val="0"/>
          <w:i w:val="0"/>
        </w:rPr>
        <w:t>8 . Bản quyền © 2010 Virginia Journal of International Law. Được tái bản với sự cho phép.</w:t>
      </w:r>
    </w:p>
    <w:p>
      <w:pPr>
        <w:spacing w:after="80"/>
      </w:pPr>
      <w:r>
        <w:rPr>
          <w:b w:val="0"/>
          <w:i w:val="0"/>
        </w:rPr>
        <w:t>9 . Bản quyền © 2006 Harvard Law Review Association. Được tái bản với sự cho phép.</w:t>
      </w:r>
    </w:p>
    <w:p>
      <w:pPr>
        <w:spacing w:after="80"/>
      </w:pPr>
      <w:r>
        <w:rPr>
          <w:b w:val="0"/>
          <w:i w:val="0"/>
        </w:rPr>
        <w:t>10 . Được trích dẫn trong American Journal of Comparative Law. Được tái bản với sự cho phép.</w:t>
      </w:r>
    </w:p>
    <w:p>
      <w:pPr>
        <w:spacing w:after="80"/>
      </w:pPr>
      <w:r>
        <w:rPr>
          <w:b w:val="0"/>
          <w:i w:val="0"/>
        </w:rPr>
        <w:t>11 . Bản quyền © 2006 Texas Law Review Association. Được tái bản với sự cho phép. Chỉ phiên bản tiếng Anh.</w:t>
      </w:r>
    </w:p>
    <w:p>
      <w:pPr>
        <w:spacing w:after="80"/>
      </w:pPr>
      <w:r>
        <w:rPr>
          <w:b w:val="0"/>
          <w:i w:val="0"/>
        </w:rPr>
        <w:t>12 . [1] Để một tập đoàn nước ngoài có thể giao dịch trên một sàn giao dịch chứng khoán Hoa Kỳ, tập đoàn nước ngoài đó phải phát hành và ký gửi Cổ phiếu Lưu ký Hoa Kỳ ("ADSs") với một tổ chức tài chính Hoa Kỳ. E.ON v. Acciona, No. 06 Civ. 8720 (DLC), 468 F. Supp. 2d 537, 2006 U.S. Dist. LEXIS 84179, 2006 WL 3357261, at *1 n.2 (S.D.N.Y. Nov. 20, 2006). Tổ chức lưu ký sau đó phát hành Chứng chỉ Lưu ký Hoa Kỳ ("ADRs") cho các chủ sở hữu hưởng lợi của ADSs, những người có thể bán ADSs trên các sàn giao dịch chứng khoán Hoa Kỳ. Id. Hệ thống ADR là phương tiện mà qua đó các nhà đầu tư Hoa Kỳ nắm giữ và giao dịch các quyền lợi vốn cổ phần trong các công ty nước ngoài. Id.</w:t>
      </w:r>
    </w:p>
    <w:p>
      <w:pPr>
        <w:spacing w:after="80"/>
      </w:pPr>
      <w:r>
        <w:rPr>
          <w:b w:val="0"/>
          <w:i w:val="0"/>
        </w:rPr>
        <w:t>13 . Được trích dẫn trong American Journal of Comparative Law. Được tái bản với sự cho phép.</w:t>
      </w:r>
    </w:p>
    <w:p>
      <w:pPr>
        <w:spacing w:after="80"/>
      </w:pPr>
      <w:r>
        <w:rPr>
          <w:b w:val="0"/>
          <w:i w:val="0"/>
        </w:rPr>
        <w:t>14 . Bản quyền © 2008 University of Pennsylvania Journal of Business &amp; Employment Law. Được tái bản với sự cho phép.</w:t>
      </w:r>
    </w:p>
    <w:p>
      <w:pPr>
        <w:spacing w:after="80"/>
      </w:pPr>
      <w:r>
        <w:rPr>
          <w:b w:val="0"/>
          <w:i w:val="0"/>
        </w:rPr>
        <w:t>15 . Bản quyền © 2015 International Review of Law and Economics. Được in lại với sự cho phép.</w:t>
      </w:r>
    </w:p>
    <w:p>
      <w:pPr>
        <w:spacing w:after="80"/>
      </w:pPr>
      <w:r>
        <w:rPr>
          <w:b w:val="0"/>
          <w:i w:val="0"/>
        </w:rPr>
        <w:t>16 . Bản quyền © 2006 Northwestern Journal of International Law and Business. Được in lại với sự cho phép.</w:t>
      </w:r>
    </w:p>
    <w:p>
      <w:pPr>
        <w:spacing w:after="80"/>
      </w:pPr>
      <w:r>
        <w:rPr>
          <w:b w:val="0"/>
          <w:i w:val="0"/>
        </w:rPr>
        <w:t>17 . Bản quyền © 2004 Texas International Law Journal. Được in lại với sự cho phép.</w:t>
      </w:r>
    </w:p>
    <w:p>
      <w:pPr>
        <w:spacing w:after="80"/>
      </w:pPr>
      <w:r>
        <w:rPr>
          <w:b w:val="0"/>
          <w:i w:val="0"/>
        </w:rPr>
        <w:t>18 . Bản quyền © 2011 The Journal of Corporation Law. Được in lại với sự cho phép.</w:t>
      </w:r>
    </w:p>
    <w:p>
      <w:pPr>
        <w:spacing w:after="80"/>
      </w:pPr>
      <w:r>
        <w:rPr>
          <w:b w:val="0"/>
          <w:i w:val="0"/>
        </w:rPr>
        <w:t>19 . Bản quyền © 2009. Được in lại với sự cho phép của tác giả.</w:t>
      </w:r>
    </w:p>
    <w:p>
      <w:pPr>
        <w:spacing w:after="80"/>
      </w:pPr>
      <w:r>
        <w:rPr>
          <w:b w:val="0"/>
          <w:i w:val="0"/>
        </w:rPr>
        <w:t>20 . Bản quyền © 2009 Fordham International Law Journal. Được in lại với sự cho phép của Fordham International Law Journal và tác giả.</w:t>
      </w:r>
    </w:p>
    <w:p>
      <w:pPr>
        <w:spacing w:after="80"/>
      </w:pPr>
      <w:r>
        <w:rPr>
          <w:b w:val="0"/>
          <w:i w:val="0"/>
        </w:rPr>
        <w:t>21 . Bản quyền © 2007 University of Pennsylvania Journal of International Economic Law. Được in lại với sự cho phép.</w:t>
      </w:r>
    </w:p>
    <w:p>
      <w:pPr>
        <w:spacing w:after="80"/>
      </w:pPr>
      <w:r>
        <w:rPr>
          <w:b w:val="0"/>
          <w:i w:val="0"/>
        </w:rPr>
        <w:t>22 . Bản quyền © 2013 Washington University Global Studies Law Review. Được in lại với sự cho phép.</w:t>
      </w:r>
    </w:p>
    <w:p>
      <w:pPr>
        <w:spacing w:after="80"/>
      </w:pPr>
      <w:r>
        <w:rPr>
          <w:b w:val="0"/>
          <w:i w:val="0"/>
        </w:rPr>
        <w:t>23 . Bản quyền © 2007 Rutgers Law Journal. Được in lại với sự cho phép.</w:t>
      </w:r>
    </w:p>
    <w:p>
      <w:pPr>
        <w:spacing w:after="80"/>
      </w:pPr>
      <w:r>
        <w:rPr>
          <w:b w:val="0"/>
          <w:i w:val="0"/>
        </w:rPr>
        <w:t>24 . Bản quyền © 1996 Harvard Law Review Association. Được in lại với sự cho phép.</w:t>
      </w:r>
    </w:p>
    <w:p>
      <w:pPr>
        <w:spacing w:after="80"/>
      </w:pPr>
      <w:r>
        <w:rPr>
          <w:b w:val="0"/>
          <w:i w:val="0"/>
        </w:rPr>
        <w:t>25 . Bản quyền © 2000 Columbia Journal of Eastern European Law. Được in lại với sự cho phép.</w:t>
      </w:r>
    </w:p>
    <w:p>
      <w:pPr>
        <w:spacing w:after="80"/>
      </w:pPr>
      <w:r>
        <w:rPr>
          <w:b w:val="0"/>
          <w:i w:val="0"/>
        </w:rPr>
        <w:t>26 . Bản quyền © 1998 University of Pennsylvania Journal of International Economic Law. Được in lại với sự cho phép.</w:t>
      </w:r>
    </w:p>
    <w:p>
      <w:pPr>
        <w:spacing w:after="80"/>
      </w:pPr>
      <w:r>
        <w:rPr>
          <w:b w:val="0"/>
          <w:i w:val="0"/>
        </w:rPr>
        <w:t>27 . Bản quyền © 2013 George Mason University Journal of International Commerical Law. Được in lại với sự cho phép.</w:t>
      </w:r>
    </w:p>
    <w:p>
      <w:pPr>
        <w:spacing w:after="80"/>
      </w:pPr>
      <w:r>
        <w:rPr>
          <w:b w:val="0"/>
          <w:i w:val="0"/>
        </w:rPr>
        <w:t>28 . Bản quyền © 2008 American University International Law Review. Được in lại với sự cho phép.</w:t>
      </w:r>
    </w:p>
    <w:p>
      <w:pPr>
        <w:spacing w:after="80"/>
      </w:pPr>
      <w:r>
        <w:rPr>
          <w:b w:val="0"/>
          <w:i w:val="0"/>
        </w:rPr>
        <w:t>29 . Bản quyền © 2006 The Word Bank. Nguồn: International Bank for Reconstruction and Development / The World Bank. Được in lại với sự cho phép.</w:t>
      </w:r>
    </w:p>
    <w:p>
      <w:pPr>
        <w:spacing w:after="80"/>
      </w:pPr>
      <w:r>
        <w:rPr>
          <w:b w:val="0"/>
          <w:i w:val="0"/>
        </w:rPr>
        <w:t>30 . Bản quyền © 2001 Cornell International Law Journal. Được in lại với sự cho phép.</w:t>
      </w:r>
    </w:p>
    <w:p>
      <w:pPr>
        <w:pStyle w:val="Heading1"/>
      </w:pPr>
      <w:r>
        <w:rPr>
          <w:rFonts w:ascii="Calibri" w:hAnsi="Calibri"/>
          <w:b/>
          <w:i w:val="0"/>
          <w:sz w:val="40"/>
        </w:rPr>
        <w:t>Chương 13</w:t>
      </w:r>
    </w:p>
    <w:p>
      <w:pPr>
        <w:pStyle w:val="Heading1"/>
      </w:pPr>
      <w:r>
        <w:rPr>
          <w:rFonts w:ascii="Calibri" w:hAnsi="Calibri"/>
          <w:b/>
          <w:i w:val="0"/>
          <w:sz w:val="40"/>
        </w:rPr>
        <w:t>Quản trị công ty có thực sự quan trọng như thế nào?</w:t>
      </w:r>
    </w:p>
    <w:p>
      <w:pPr>
        <w:spacing w:after="80"/>
      </w:pPr>
      <w:r>
        <w:rPr>
          <w:b w:val="0"/>
          <w:i w:val="0"/>
        </w:rPr>
        <w:t>Mặc dù quản trị công ty (corporate governance) đã nhận được sự quan tâm rộng rãi từ các nhà lập pháp liên bang, những người ủng hộ cổ đông và giới truyền thông, nhưng có rất ít bằng chứng thực nghiệm đủ sức chứng minh một cách thuyết phục rằng liệu những thông lệ quản trị công ty được coi là "tốt nhất" có ảnh hưởng đến lợi nhuận của doanh nghiệp hay không, chứ chưa nói đến những kết quả khác quan trọng đối với nhà đầu tư và công chúng. Tuy nhiên, sau khi Đạo luật Sarbanes-Oxley được ban hành vào năm 2002, ngày càng nhiều học giả đã cố gắng trả lời những câu hỏi này. Chương này bắt đầu bằng việc xem xét cách đo lường giá trị của các cải cách quản trị công ty được ban hành ở cấp liên bang. Phần tiếp theo trình bày cả hai phía của một cuộc tranh luận gay gắt về Đạo luật Sarbanes-Oxley và gần đây hơn là Đạo luật Dodd-Frank. Liệu Quốc hội có ban hành những cải cách quản trị công ty "lang băm" (quack) hay không? Cả hai phần này đều đưa ra những cái nhìn ngắn gọn về khối lượng nghiên cứu thực nghiệm đồ sộ được công bố về các câu hỏi quản trị công ty trong mười lăm năm qua. Chương này kết thúc bằng phần trình bày sâu hơn về một khía cạnh của nghiên cứu này: tác động của các giám đốc độc lập đối với hiệu quả hoạt động của doanh nghiệp.</w:t>
      </w:r>
    </w:p>
    <w:p>
      <w:pPr>
        <w:pStyle w:val="Heading2"/>
      </w:pPr>
      <w:r>
        <w:rPr>
          <w:rFonts w:ascii="Calibri" w:hAnsi="Calibri"/>
          <w:b/>
          <w:i w:val="0"/>
          <w:sz w:val="32"/>
        </w:rPr>
        <w:t>I. Quản trị tốt có nâng cao hiệu quả hoạt động của doanh nghiệp không?</w:t>
      </w:r>
    </w:p>
    <w:p>
      <w:pPr>
        <w:spacing w:after="80"/>
      </w:pPr>
      <w:r>
        <w:rPr>
          <w:b w:val="0"/>
          <w:i w:val="0"/>
        </w:rPr>
        <w:t>Một cách để đo lường hiệu quả của quản trị công ty là xem xét tác động của các thông lệ tốt nhất đối với hiệu quả hoạt động chung của doanh nghiệp. Về mặt lý thuyết, cổ đông sẽ kỳ vọng rằng những công ty đã áp dụng các thông lệ quản trị tốt sẽ có được lợi nhuận vượt trội. Tuy nhiên, các học giả nghiên cứu tác động của nhiều thông lệ quản trị công ty khác nhau đối với hiệu quả hoạt động của doanh nghiệp lại chưa đưa ra được những kết luận thuyết phục. Ví dụ, rất nhiều nhà nghiên cứu đã nghiên cứu tác động của cơ cấu hội đồng quản trị đối với hiệu quả hoạt động của doanh nghiệp, nhưng nhiều người trong số họ không tìm thấy mối liên hệ đáng kể nào giữa tính độc lập của giám đốc và lợi nhuận của công ty. Bài viết mang tính khơi gợi dưới đây thảo luận về những nỗ lực khác nhau của các học giả nhằm liên kết các thông lệ quản trị hội đồng quản trị cụ thể với hiệu quả hoạt động của doanh nghiệp.</w:t>
      </w:r>
    </w:p>
    <w:p>
      <w:pPr>
        <w:pStyle w:val="Heading4"/>
      </w:pPr>
      <w:r>
        <w:rPr>
          <w:rFonts w:ascii="Calibri" w:hAnsi="Calibri"/>
          <w:b/>
          <w:i w:val="0"/>
          <w:sz w:val="23"/>
        </w:rPr>
        <w:t>Sanjai Bhagat, Brian Bolton &amp; Roberta Romano,</w:t>
      </w:r>
      <w:r>
        <w:br/>
      </w:r>
      <w:r>
        <w:rPr>
          <w:rFonts w:ascii="Calibri" w:hAnsi="Calibri"/>
          <w:b/>
          <w:i w:val="0"/>
          <w:sz w:val="23"/>
        </w:rPr>
        <w:t xml:space="preserve"> </w:t>
      </w:r>
      <w:r>
        <w:rPr>
          <w:rFonts w:ascii="Calibri" w:hAnsi="Calibri"/>
          <w:b/>
          <w:i/>
          <w:sz w:val="23"/>
        </w:rPr>
        <w:t>Lời hứa và hiểm nguy của các chỉ số quản trị công ty</w:t>
      </w:r>
    </w:p>
    <w:p>
      <w:pPr>
        <w:spacing w:after="80"/>
      </w:pPr>
      <w:r>
        <w:rPr>
          <w:b w:val="0"/>
          <w:i w:val="0"/>
        </w:rPr>
        <w:t>108 Colum. L. Rev. 1803 (2008)</w:t>
      </w:r>
    </w:p>
    <w:p>
      <w:pPr>
        <w:spacing w:after="80"/>
      </w:pPr>
      <w:r>
        <w:rPr>
          <w:b w:val="0"/>
          <w:i w:val="0"/>
        </w:rPr>
        <w:t>Quản trị công ty trở nên cấp bách hơn sau sự sụp đổ của Enron và một loạt các vụ bê bối kế toán. Nó trở thành chủ đề được giới truyền thông và các nhà đầu tư tổ chức hoạt động tích cực đặc biệt quan tâm, với hy vọng rằng việc giám sát chặt chẽ hơn đối với quản trị của các doanh nghiệp có thể ngăn chặn thêm những vụ Enron khác. Đồng thời, các doanh nghiệp bị buộc phải xem xét lại quản trị của mình bởi luật pháp liên bang và các yêu cầu niêm yết của sở giao dịch chứng khoán được ban hành để phản ứng lại các vụ bê bối và nhấn mạnh đến các giải pháp quản trị công ty. Và các quỹ tương hỗ (mutual fund) bị thúc đẩy tham gia nhiều hơn vào quản trị theo quy định do Ủy ban Chứng khoán và Giao dịch Hoa Kỳ (SEC) ban hành, trong đó yêu cầu các quỹ phải áp dụng các chính sách bằng văn bản về biểu quyết theo ủy quyền (proxy voting) và công bố các lá phiếu cụ thể của mình. Đổi lại, sự chú ý gia tăng dành cho quản trị công ty đã làm tăng nhu cầu về các dịch vụ liên quan đến quản trị công ty của bên thứ ba—từ phía các nhà đầu tư tổ chức cần nghiên cứu và tư vấn về biểu quyết theo ủy quyền, và từ phía các doanh nghiệp cần tư vấn về cách cải thiện xếp hạng quản trị của mình.</w:t>
      </w:r>
    </w:p>
    <w:p>
      <w:pPr>
        <w:spacing w:after="80"/>
      </w:pPr>
      <w:r>
        <w:rPr>
          <w:b w:val="0"/>
          <w:i w:val="0"/>
        </w:rPr>
        <w:t>Không lâu trước khi sự quan tâm đến quản trị công ty bùng nổ, một nhóm các nhà kinh tế tài chính—Paul Gompers, Joy Ishii và Andrew Metrick (GIM)—đã viết một bài báo mang tính bước ngoặt, trong đó họ xây dựng một chỉ số về chất lượng quản trị công ty cho một số lượng lớn các công ty niêm yết tại Hoa Kỳ. Họ phát hiện rằng chất lượng quản trị cao hơn theo định nghĩa của chỉ số này có liên quan đến hiệu suất cổ phiếu trong tương lai được cải thiện. Sự tập trung vào quản trị công ty sau sự sụp đổ của Enron đã khiến những phát hiện của GIM trở nên hấp dẫn đối với một đối tượng rộng lớn hơn nhiều so với chỉ các học giả về quản trị công ty.</w:t>
      </w:r>
    </w:p>
    <w:p>
      <w:pPr>
        <w:spacing w:after="80"/>
      </w:pPr>
      <w:r>
        <w:rPr>
          <w:b w:val="0"/>
          <w:i w:val="0"/>
        </w:rPr>
        <w:t>Đặc biệt, mối liên hệ giữa quản trị và hiệu quả hoạt động được xác định trong bài báo của GIM đã cung cấp sự hỗ trợ về mặt trí tuệ cho các dịch vụ xếp hạng quản trị thương mại. Mối liên hệ này không bị các nhà cung cấp dịch vụ quản trị thương mại bỏ qua. Mặc dù GIM đã hết sức cẩn trọng trong việc diễn giải dữ liệu của mình và không đưa ra mối liên hệ nhân quả giữa quản trị tốt và hiệu quả hoạt động vượt trội, nhưng các nhà cung cấp dịch vụ quản trị thương mại, cùng một số nhà đầu tư tổ chức hoạt động tích cực, lại không hề thận trọng như vậy. Sự thiếu thận trọng này đã thúc đẩy cả nhu cầu lẫn nguồn cung các dịch vụ quản trị, vốn tăng tốc sau vụ Enron. Ngày nay, một thị trường cho các xếp hạng quản trị công ty đã tồn tại, với các công ty tư vấn biểu quyết theo ủy quyền—như công ty dẫn đầu thị trường chiếm ưu thế là Institutional Shareholder Services, Inc. (ISS)—sử dụng các xếp hạng để đưa ra khuyến nghị biểu quyết, và các nhà cung cấp xếp hạng quản trị khác sử dụng chúng để tư vấn cho các quyết định đầu tư.</w:t>
      </w:r>
    </w:p>
    <w:p>
      <w:pPr>
        <w:spacing w:after="80"/>
      </w:pPr>
      <w:r>
        <w:rPr>
          <w:b w:val="0"/>
          <w:i w:val="0"/>
        </w:rPr>
        <w:t>Ý tưởng cơ bản đằng sau việc xây dựng xếp hạng là đánh giá các đặc điểm quản trị của một doanh nghiệp so với những gì mà người xây dựng chỉ số coi là thông lệ tốt nhất. Theo đó, điểm số của một doanh nghiệp trên chỉ số hoặc xếp hạng nhằm cung cấp một thước đo tóm tắt, dễ so sánh về chất lượng quản trị. Tuy nhiên, việc thiết lập mối liên hệ giữa quản trị và hiệu quả hoạt động là điều khó khăn về mặt kỹ thuật. Hai biến số này, quản trị và hiệu quả hoạt động, có khả năng là nội sinh (endogenous), nghĩa là mối quan hệ của chúng có tính hai chiều chứ không phải một chiều. Và việc sử dụng các chỉ số hiện có có thể khuếch đại vấn đề đó vì việc xây dựng chúng dựa trên hai giả định sai lầm về mặt thực tế: một là, các thành phần quản trị tốt không thay đổi giữa các doanh nghiệp; và hai là, những thành phần như vậy luôn bổ trợ cho nhau chứ không bao giờ thay thế cho nhau.</w:t>
      </w:r>
    </w:p>
    <w:p>
      <w:pPr>
        <w:spacing w:after="80"/>
      </w:pPr>
      <w:r>
        <w:rPr>
          <w:b w:val="0"/>
          <w:i w:val="0"/>
        </w:rPr>
        <w:t>Mục tiêu của bài viết này gồm hai phần: thứ nhất, phân tích hiệu quả của các chỉ số quản trị công ty với vai trò là công cụ dự đoán hiệu quả hoạt động của doanh nghiệp; và thứ hai, xem xét những hàm ý về chính sách công xuất phát từ đánh giá đó. Bài viết này xem xét các vấn đề phương pháp luận trong việc xây dựng và diễn giải các chỉ số quản trị cũng như mối liên hệ của chúng với hiệu quả hoạt động, không phải chủ yếu để phê bình công trình nền tảng của GIM, dù chúng tôi có làm điều đó, mà là để phê bình cách sử dụng mà các chỉ số quản trị công ty như của GIM đã bị đem ra áp dụng. Bởi vì cách xây dựng chính xác của các chỉ số thương mại được chủ sở hữu coi là thông tin độc quyền và do đó không được công bố công khai, nên phân tích của chúng tôi tập trung vào mối liên hệ giữa hiệu quả hoạt động của doanh nghiệp và các chỉ số học thuật hiện có, một số trong đó—may mắn thay cho mục đích của chúng tôi—có liên hệ chặt chẽ với các chỉ số thương mại. Tuy nhiên, chúng tôi tin rằng các kết luận từ phân tích này cũng áp dụng tương tự cho việc sử dụng các chỉ số thương mại. Phán đoán này được củng cố bởi một nghiên cứu gần đây cho thấy không có mối liên hệ có hệ thống nào giữa các xếp hạng quản trị thương mại và hiệu quả hoạt động trong tương lai của doanh nghiệp.</w:t>
      </w:r>
    </w:p>
    <w:p>
      <w:pPr>
        <w:spacing w:after="80"/>
      </w:pPr>
      <w:r>
        <w:rPr>
          <w:b w:val="0"/>
          <w:i w:val="0"/>
        </w:rPr>
        <w:t>Kết luận cốt lõi của chúng tôi là không có mối liên hệ nhất quán nào giữa các chỉ số quản trị học thuật và các chỉ số quản trị thương mại liên quan với hiệu quả hoạt động của doanh nghiệp. Nói ngắn gọn, không có một thước đo "tốt nhất" duy nhất nào cho quản trị công ty: thể chế quản trị hiệu quả nhất phụ thuộc vào bối cảnh và hoàn cảnh cụ thể của từng doanh nghiệp. Do đó, sẽ rất khó để một chỉ số, hay bất kỳ một biến số nào, nắm bắt được những sắc thái quan trọng cần thiết để đưa ra các quyết định sáng suốt về quản lý, đầu tư hoặc biểu quyết theo ủy quyền. Kết quả là, chúng tôi cũng kết luận rằng các chỉ số quản trị là hết sức không hoàn hảo và rằng các nhà đầu tư cũng như các nhà hoạch định chính sách nên hết sức thận trọng khi cố gắng suy luận về chất lượng của một doanh nghiệp hoặc hiệu suất thị trường chứng khoán trong tương lai của nó từ thứ hạng của nó trên bất kỳ thước đo quản trị cụ thể nào. Nếu buộc phải lựa chọn giữa việc sử dụng một chỉ số và một biến số để dự đoán hiệu quả hoạt động từ chất lượng quản trị của một doanh nghiệp, thì thực tế chúng tôi sẽ chọn một biến số: tỷ lệ nắm giữ cổ phần của giám đốc độc lập trung vị. Chúng tôi kết luận từ nghiên cứu mà hai trong số chúng tôi đã thực hiện rằng biến số duy nhất này nhìn chung hoạt động tốt hơn trong việc đánh giá hiệu quả hoạt động của doanh nghiệp.</w:t>
      </w:r>
    </w:p>
    <w:p>
      <w:pPr>
        <w:spacing w:after="80"/>
      </w:pPr>
      <w:r>
        <w:rPr>
          <w:b w:val="0"/>
          <w:i w:val="0"/>
        </w:rPr>
        <w:t>Quan trọng nhất, phân tích của chúng tôi hàm ý rằng quản trị công ty là một lĩnh vực mà một chế độ quản lý linh hoạt cho phép sự đa dạng phong phú giữa các doanh nghiệp là đặc biệt mong muốn, vì có sự khác biệt đáng kể trong mối liên hệ giữa các chỉ số quản trị khác nhau và các thước đo hiệu quả hoạt động khác nhau. Về bản chất, các điều khoản quản trị bắt buộc là tương đương về mặt chức năng với một chỉ số quản trị có hiệu lực pháp luật, bởi vì những điều khoản như vậy áp đặt lên tất cả các doanh nghiệp, mà không cho phép tùy chỉnh theo hoàn cảnh cụ thể của từng doanh nghiệp, những đặc điểm quản trị mà một cơ quan lập pháp hoặc cơ quan quản lý coi là thông lệ tốt nhất, giống hệt như những gì người xây dựng chỉ số làm khi lựa chọn các thành phần cho chỉ số của mình.</w:t>
      </w:r>
    </w:p>
    <w:p>
      <w:pPr>
        <w:pStyle w:val="Heading5"/>
      </w:pPr>
      <w:r>
        <w:rPr>
          <w:rFonts w:ascii="Calibri" w:hAnsi="Calibri"/>
          <w:b/>
          <w:i/>
          <w:sz w:val="22"/>
        </w:rPr>
        <w:t>Bình luận và Câu hỏi</w:t>
      </w:r>
    </w:p>
    <w:p>
      <w:pPr>
        <w:spacing w:after="80"/>
      </w:pPr>
      <w:r>
        <w:rPr>
          <w:b w:val="0"/>
          <w:i w:val="0"/>
        </w:rPr>
        <w:t>1. Làm thế nào những phát hiện của các Giáo sư Bhagat, Bolton và Romano có thể được đưa vào bất kỳ quy định quản trị công ty nào trong tương lai? Hãy ghi nhớ câu hỏi này khi đọc phần mô tả của Giáo sư Romano về Đạo luật Sarbanes-Oxley như là quản trị công ty "lang băm" trong phần tiếp theo.</w:t>
      </w:r>
    </w:p>
    <w:p>
      <w:pPr>
        <w:spacing w:after="80"/>
      </w:pPr>
      <w:r>
        <w:rPr>
          <w:b w:val="0"/>
          <w:i w:val="0"/>
        </w:rPr>
        <w:t>2. Bạn nghĩ lời phê bình này về các chỉ số quản trị (governance indices) liên quan nhiều hơn đến các nhà lập pháp liên bang và tiểu bang, hay đến các công ty đang cân nhắc thuê chuyên gia tư vấn quản trị bên ngoài? Như bài báo nhận xét, các chuyên gia tư vấn quản trị đã phát triển mạnh mẽ sau khi SOX ra đời. Nếu các chuyên gia tư vấn quản trị gạt bỏ các chỉ số quản trị như những chuẩn mực tham chiếu và thay vào đó tham gia vào các phân tích chuyên sâu, riêng biệt cho từng công ty, thì chi phí cho các dịch vụ tư vấn quản trị như vậy có vẻ sẽ tăng lên. Nếu các chỉ số thực sự chỉ cung cấp rất ít hoặc không cung cấp hướng dẫn hữu ích nào trong việc cấu trúc quản trị công ty, thì chẳng phải cuối cùng thị trường sẽ phản ứng sao?</w:t>
      </w:r>
    </w:p>
    <w:p>
      <w:pPr>
        <w:spacing w:after="80"/>
      </w:pPr>
      <w:r>
        <w:rPr>
          <w:b w:val="0"/>
          <w:i w:val="0"/>
        </w:rPr>
        <w:t>—————</w:t>
      </w:r>
    </w:p>
    <w:p>
      <w:pPr>
        <w:spacing w:after="80"/>
      </w:pPr>
      <w:r>
        <w:rPr>
          <w:b w:val="0"/>
          <w:i w:val="0"/>
        </w:rPr>
        <w:t>Bài viết tiếp theo cũng xem xét các phản ứng của thị trường đối với quản trị công ty. Tuy nhiên, thay vì nghiên cứu hiệu suất cổ phiếu liên quan đến các chỉ số quản trị, các Giáo sư Larcker, Ormazabal và Taylor đo lường phản ứng của thị trường đối với các quy định quản trị được đề xuất. Khi xem xét phần trích đoạn này từ bài báo của họ, hãy cân nhắc mức độ quan trọng mà các nhà lập pháp nên dành cho cách thị trường phản ứng trong ngắn hạn đối với các cải cách quản trị nhằm bảo vệ cổ đông trong dài hạn.</w:t>
      </w:r>
    </w:p>
    <w:p>
      <w:pPr>
        <w:pStyle w:val="Heading4"/>
      </w:pPr>
      <w:r>
        <w:rPr>
          <w:rFonts w:ascii="Calibri" w:hAnsi="Calibri"/>
          <w:b/>
          <w:i w:val="0"/>
          <w:sz w:val="23"/>
        </w:rPr>
        <w:t>David F. Larcker, Gaizka Ormazabal &amp; Daniel J. Taylor,</w:t>
      </w:r>
      <w:r>
        <w:br/>
      </w:r>
      <w:r>
        <w:rPr>
          <w:rFonts w:ascii="Calibri" w:hAnsi="Calibri"/>
          <w:b/>
          <w:i w:val="0"/>
          <w:sz w:val="23"/>
        </w:rPr>
        <w:t xml:space="preserve"> </w:t>
      </w:r>
      <w:r>
        <w:rPr>
          <w:rFonts w:ascii="Calibri" w:hAnsi="Calibri"/>
          <w:b/>
          <w:i/>
          <w:sz w:val="23"/>
        </w:rPr>
        <w:t>The Market Reaction to Corporate Governance Regulation</w:t>
      </w:r>
    </w:p>
    <w:p>
      <w:pPr>
        <w:spacing w:after="80"/>
      </w:pPr>
      <w:r>
        <w:rPr>
          <w:b w:val="0"/>
          <w:i/>
        </w:rPr>
        <w:t>available at</w:t>
      </w:r>
      <w:r>
        <w:rPr>
          <w:b w:val="0"/>
          <w:i w:val="0"/>
        </w:rPr>
        <w:t xml:space="preserve"> www.ssrn.com/abstract=1650333 (2010)</w:t>
      </w:r>
    </w:p>
    <w:p>
      <w:pPr>
        <w:spacing w:after="80"/>
      </w:pPr>
      <w:r>
        <w:rPr>
          <w:b w:val="0"/>
          <w:i w:val="0"/>
        </w:rPr>
        <w:t>Ủy ban Chứng khoán và Giao dịch (Securities and Exchange Commission), tiểu bang Delaware, cùng nhiều thượng nghị sĩ và hạ nghị sĩ gần đây đã đề xuất những quy định đáng kể nhằm giới hạn thù lao điều hành, giới hạn quyền kiểm soát của công ty đối với quy trình ủy quyền (tức là quyền tiếp cận ủy quyền - proxy access), và cấm một số điều khoản quản trị công ty cụ thể (ví dụ: hội đồng quản trị phân kỳ - staggered boards và kiêm nhiệm chức danh CEO-chủ tịch). Với bản chất của những thay đổi được đề xuất này, không có gì ngạc nhiên khi các tổ chức như Phòng Thương mại Hoa Kỳ (U.S. Chamber of Commerce), Business Roundtable và các tổ chức tương tự khác đã phản ứng theo hướng tiêu cực, trong khi CalPERS, CalSTRS và các cổ đông hoạt động khác lại ca ngợi các đề xuất này. Sử dụng các phương pháp nghiên cứu sự kiện (event study) tiêu chuẩn, bài báo này xem xét phản ứng của thị trường chứng khoán đối với việc công bố những hành động này và các hành động gần đây khác liên quan đến việc quản lý quản trị công ty.</w:t>
      </w:r>
    </w:p>
    <w:p>
      <w:pPr>
        <w:spacing w:after="80"/>
      </w:pPr>
      <w:r>
        <w:rPr>
          <w:b w:val="0"/>
          <w:i w:val="0"/>
        </w:rPr>
        <w:t>Có một cuộc tranh luận đang diễn ra trong tài liệu nghiên cứu về việc liệu các thực tiễn quản trị hiện hành được đặc trưng bởi việc trích lợi (rent extraction) hay tối đa hóa tài sản cổ đông (shareholder wealth maximization). Nhằm cố gắng cung cấp hiểu biết sâu sắc về cuộc tranh luận này, một khối lượng lớn tài liệu nghiên cứu đã tương quan các thước đo quản trị công ty với nhiều thước đo khác nhau về giá trị cổ đông. Tuy nhiên, với bản chất nội sinh (endogenous) của quản trị công ty, không có gì ngạc nhiên khi nhiều kết quả liên kết giữa quản trị và giá trị cổ đông lại mang tính hỗn hợp. Bởi vì các lựa chọn quản trị là những quyết định nội sinh do các nhà quản lý và cổ đông đưa ra, nên các lựa chọn quản trị tối đa hóa giá trị cho một công ty có thể rất khác biệt so với các lựa chọn quản trị tối đa hóa giá trị của một công ty khác. Kết quả là, ở trạng thái cân bằng, mối quan hệ giữa các lựa chọn quản trị và giá trị cổ đông sẽ mang tính mơ hồ.</w:t>
      </w:r>
    </w:p>
    <w:p>
      <w:pPr>
        <w:spacing w:after="80"/>
      </w:pPr>
      <w:r>
        <w:rPr>
          <w:b w:val="0"/>
          <w:i w:val="0"/>
        </w:rPr>
        <w:t>Các quy định quản trị công ty gần đây đại diện cho một cú sốc ngoại sinh (exogenous shock) đối với các thực tiễn quản trị ở trạng thái cân bằng. Do đó, phản ứng của thị trường đối với quy định quản trị công ty gần đây mang đến một bối cảnh mới mẻ để xem xét mối quan hệ giữa quản trị và giá trị cổ đông, ít bị ảnh hưởng bởi tính nội sinh, hay lời phê bình "trong trạng thái cân bằng", của các nghiên cứu hiện có. Nếu các thực tiễn quản trị hiện hành, xét trung bình, được đặc trưng bởi việc trích lợi, chúng ta kỳ vọng việc quản lý các thực tiễn này sẽ làm tăng giá trị cổ đông. Ngược lại, nếu các thực tiễn quản trị hiện hành, xét trung bình, tối đa hóa giá trị, chúng ta kỳ vọng việc quản lý các thực tiễn này sẽ làm giảm giá trị cổ đông.</w:t>
      </w:r>
    </w:p>
    <w:p>
      <w:pPr>
        <w:spacing w:after="80"/>
      </w:pPr>
      <w:r>
        <w:rPr>
          <w:b w:val="0"/>
          <w:i w:val="0"/>
        </w:rPr>
        <w:t>Schwert (1981), Binder (1985) và nhiều người khác lưu ý rằng phản ứng của thị trường chứng khoán đối với một quy định được đề xuất là một hàm số của (i) sự thay đổi trong xác suất quy định đó được thông qua và (ii) giá trị bằng đô la của tác động dự kiến của quy định đó lên tài sản cổ đông. Theo đó, chúng tôi kỳ vọng rằng phản ứng đối với các quy định quản trị công ty sẽ rõ rệt nhất đối với những công ty bị ảnh hưởng bởi quy định đó. Cụ thể, chúng tôi kỳ vọng những công ty có thực tiễn quản trị hiện hành không nhất quán với quy định (ví dụ: các công ty có lãnh đạo được trả thù lao cao và các công ty có hội đồng quản trị phân kỳ) sẽ có phản ứng rõ rệt hơn so với những công ty có thực tiễn quản trị nhất quán với quy định.</w:t>
      </w:r>
    </w:p>
    <w:p>
      <w:pPr>
        <w:spacing w:after="80"/>
      </w:pPr>
      <w:r>
        <w:rPr>
          <w:b w:val="0"/>
          <w:i w:val="0"/>
        </w:rPr>
        <w:t xml:space="preserve">Khi tiến hành các kiểm định của mình, chúng tôi lấy mẫu rộng rãi các sự kiện lập pháp và quy định liên quan đến quản trị, thay vì tập trung vào bất kỳ sự kiện đơn lẻ nào, hoặc chỉ những sự kiện gắn liền với lợi nhuận bất thường (abnormal returns) đáng kể. Chúng tôi xem xét phản ứng của thị trường đối với mười tám sự kiện then chốt liên quan đến quy định quản trị công ty trên toàn nền kinh tế từ tháng 3 năm 2007 đến tháng 6 năm 2009. Chúng tôi nhóm mỗi sự kiện trong số mười tám sự kiện này vào hai loại không loại trừ lẫn nhau: </w:t>
      </w:r>
      <w:r>
        <w:rPr>
          <w:b w:val="0"/>
          <w:i/>
        </w:rPr>
        <w:t>Sự kiện về Thù lao Điều hành</w:t>
      </w:r>
      <w:r>
        <w:rPr>
          <w:b w:val="0"/>
          <w:i w:val="0"/>
        </w:rPr>
        <w:t xml:space="preserve"> và </w:t>
      </w:r>
      <w:r>
        <w:rPr>
          <w:b w:val="0"/>
          <w:i/>
        </w:rPr>
        <w:t>Sự kiện về Quyền tiếp cận Ủy quyền.</w:t>
      </w:r>
      <w:r>
        <w:rPr>
          <w:b w:val="0"/>
          <w:i w:val="0"/>
        </w:rPr>
        <w:t xml:space="preserve"> Tám trong số các sự kiện này là </w:t>
      </w:r>
      <w:r>
        <w:rPr>
          <w:b w:val="0"/>
          <w:i/>
        </w:rPr>
        <w:t>Sự kiện về Thù lao Điều hành</w:t>
      </w:r>
      <w:r>
        <w:rPr>
          <w:b w:val="0"/>
          <w:i w:val="0"/>
        </w:rPr>
        <w:t xml:space="preserve">, và liên quan đến quy định sẽ giới hạn một cách rõ ràng thù lao điều hành và/hoặc yêu cầu bỏ phiếu "say on pay" hàng năm. Điều thú vị là, cả tám sự kiện này đều liên quan đến các hành động lập pháp và không có sự kiện nào trong số này liên quan đến hành động của các cơ quan quản lý (ví dụ: SEC). Mười ba sự kiện là </w:t>
      </w:r>
      <w:r>
        <w:rPr>
          <w:b w:val="0"/>
          <w:i/>
        </w:rPr>
        <w:t>Sự kiện về Quyền tiếp cận Ủy quyền</w:t>
      </w:r>
      <w:r>
        <w:rPr>
          <w:b w:val="0"/>
          <w:i w:val="0"/>
        </w:rPr>
        <w:t xml:space="preserve">, và liên quan đến quy định sẽ trao thêm quyền lực cho các cổ đông nắm giữ tỷ lệ sở hữu từ 1% trở lên (hoặc các liên minh cổ đông nắm giữ từ 1% trở lên) để đề cử giám đốc trong các cuộc bầu cử có tranh chấp và gây ảnh hưởng đến quy trình ủy quyền. Năm trong số mười ba sự kiện này liên quan đến việc giảm khả năng xảy ra quy định về quyền tiếp cận ủy quyền. Ngoài ra, ba sự kiện liên quan đến cả quy định về thù lao điều hành và quyền tiếp cận ủy quyền, và những sự kiện này cũng liên quan đến luật cấm các thực tiễn quản trị cụ thể như hội đồng quản trị phân kỳ và kiêm nhiệm chức danh CEO-chủ tịch. Nếu bất kỳ sự kiện nào không gắn liền với sự thay đổi trong xác suất có quy định </w:t>
      </w:r>
      <w:r>
        <w:rPr>
          <w:b w:val="0"/>
          <w:i/>
        </w:rPr>
        <w:t>hoặc</w:t>
      </w:r>
      <w:r>
        <w:rPr>
          <w:b w:val="0"/>
          <w:i w:val="0"/>
        </w:rPr>
        <w:t xml:space="preserve"> quy định đó được kỳ vọng có tác động không đáng kể lên giá trị, chúng tôi kỳ vọng sẽ quan sát thấy cả phản ứng thị trường không đáng kể và phản ứng đó không liên quan đến các lựa chọn quản trị hiện hành của công ty. Bởi vì chúng tôi xem xét nhiều sự kiện liên quan đến quy định quản trị công ty, nên những thay đổi không đáng kể trong xác suất một quy định được thông qua </w:t>
      </w:r>
      <w:r>
        <w:rPr>
          <w:b w:val="0"/>
          <w:i/>
        </w:rPr>
        <w:t>hoặc</w:t>
      </w:r>
      <w:r>
        <w:rPr>
          <w:b w:val="0"/>
          <w:i w:val="0"/>
        </w:rPr>
        <w:t xml:space="preserve"> những tác động không đáng kể lên tài sản cổ đông sẽ làm giảm sức mạnh của các kiểm định của chúng tôi và tạo thiên lệch chống lại việc tìm thấy cả những thay đổi đáng kể trong giá trị cổ đông cho một sự kiện nhất định và những thay đổi đáng kể trong giá trị cổ đông xét trung bình trên tất cả các sự kiện.</w:t>
      </w:r>
    </w:p>
    <w:p>
      <w:pPr>
        <w:spacing w:after="80"/>
      </w:pPr>
      <w:r>
        <w:rPr>
          <w:b w:val="0"/>
          <w:i w:val="0"/>
        </w:rPr>
        <w:t>Kết quả của chúng tôi như sau:</w:t>
      </w:r>
    </w:p>
    <w:p>
      <w:pPr>
        <w:spacing w:after="80"/>
      </w:pPr>
      <w:r>
        <w:rPr>
          <w:b w:val="0"/>
          <w:i/>
        </w:rPr>
        <w:t>Sự kiện về Thù lao Điều hành.</w:t>
      </w:r>
      <w:r>
        <w:rPr>
          <w:b w:val="0"/>
          <w:i w:val="0"/>
        </w:rPr>
        <w:t xml:space="preserve"> Chúng tôi tìm thấy phản ứng không đáng kể đối với các sự kiện liên quan đến quy định về thù lao điều hành. Tuy nhiên, khi xem xét sự biến thiên theo mặt cắt ngang (cross-sectional variation) trong phản ứng của thị trường, xét trung bình, chúng tôi tìm thấy mối quan hệ tiêu cực giữa lợi nhuận bất thường vào những ngày diễn ra các sự kiện này và thù lao của CEO. Thù lao của CEO càng cao so với các đối thủ cùng ngành và cùng quy mô, thì phản ứng càng tiêu cực. Những kết quả này nhất quán với quan điểm tối đa hóa giá trị về các thực tiễn thù lao hiện hành, ngay cả đối với những công ty có mức thù lao cực cao. Các kết quả nhất quán với lập luận của những người chỉ trích rằng việc giới hạn hoặc quản lý thù lao điều hành sẽ dẫn đến các hợp đồng kém hiệu quả hơn và ảnh hưởng tiêu cực đến tài sản cổ đông tại những công ty này.</w:t>
      </w:r>
    </w:p>
    <w:p>
      <w:pPr>
        <w:spacing w:after="80"/>
      </w:pPr>
      <w:r>
        <w:rPr>
          <w:b w:val="0"/>
          <w:i/>
        </w:rPr>
        <w:t>Sự kiện về Quyền tiếp cận Ủy quyền.</w:t>
      </w:r>
      <w:r>
        <w:rPr>
          <w:b w:val="0"/>
          <w:i w:val="0"/>
        </w:rPr>
        <w:t xml:space="preserve"> Xét trung bình, chúng tôi tìm thấy một phản ứng tiêu cực yếu đối với quy định về quyền tiếp cận ủy quyền. Khi xem xét sự biến thiên theo mặt cắt ngang trong phản ứng của thị trường, chúng tôi tìm thấy bằng chứng mạnh mẽ rằng lợi nhuận bất thường ngày càng tiêu cực đối với các công ty có số lượng lớn các cổ đông tổ chức nắm giữ khối lượng lớn (tức là những cổ đông nắm giữ ít nhất 1% số cổ phiếu đang lưu hành). Ngoài ra, chúng tôi tìm thấy bằng chứng mạnh mẽ rằng lợi nhuận bất thường giảm khi mức độ dễ dàng để các nhà đầu tư tổ chức nhỏ có thể tiếp cận quy trình ủy quyền tăng lên. Điều này nhất quán với tuyên bố của những người chỉ trích rằng các quy định về quyền tiếp cận ủy quyền trao cho các cổ đông (hoặc liên minh cổ đông) nắm giữ từ 1% trở lên khả năng đề cử danh sách giám đốc của riêng họ và/hoặc đưa ra các đề xuất ủy quyền sẽ làm tăng quyền lực của các cổ đông nắm giữ khối lượng lớn, những người có thể không hành động vì lợi ích của các cổ đông khác (ví dụ: một số nhà hoạt động, người mua có vị thế ban đầu - toeholds, hoặc kẻ săn đuổi công ty - corporate raiders).</w:t>
      </w:r>
    </w:p>
    <w:p>
      <w:pPr>
        <w:spacing w:after="80"/>
      </w:pPr>
      <w:r>
        <w:rPr>
          <w:b w:val="0"/>
          <w:i/>
        </w:rPr>
        <w:t>Các Thực tiễn Quản trị Cụ thể.</w:t>
      </w:r>
      <w:r>
        <w:rPr>
          <w:b w:val="0"/>
          <w:i w:val="0"/>
        </w:rPr>
        <w:t xml:space="preserve"> Tài liệu nghiên cứu trước đây lập luận rằng hội đồng quản trị phân kỳ và kiêm nhiệm chức danh CEO-chủ tịch cho phép các nhà quản lý trích lợi từ cổ đông (ví dụ: Bebchuk và Cohen, 2005). Nếu đúng như vậy, chúng tôi kỳ vọng các công ty có hội đồng quản trị phân kỳ và các công ty mà CEO đồng thời là chủ tịch hội đồng quản trị sẽ phản ứng tích cực với quy định nhằm (i) cấm những thực tiễn như vậy hoặc (ii) trao cho cổ đông tiếng nói lớn hơn trong quy trình ủy quyền (tức là giảm chi phí thay đổi những thực tiễn như vậy). Khi xem xét sự biến thiên theo mặt cắt ngang trong phản ứng của thị trường, xét trung bình, chúng tôi tìm thấy mối quan hệ </w:t>
      </w:r>
      <w:r>
        <w:rPr>
          <w:b w:val="0"/>
          <w:i/>
        </w:rPr>
        <w:t>tiêu cực</w:t>
      </w:r>
      <w:r>
        <w:rPr>
          <w:b w:val="0"/>
          <w:i w:val="0"/>
        </w:rPr>
        <w:t xml:space="preserve"> đáng kể giữa lợi nhuận bất thường đối với các sự kiện này và sự hiện diện của hội đồng quản trị phân kỳ, và không có bằng chứng về mối quan hệ giữa lợi nhuận bất thường đối với các sự kiện này và kiêm nhiệm chức danh CEO-chủ tịch. Điều này không nhất quán với việc thị trường xem việc loại bỏ hội đồng quản trị phân kỳ là làm tăng giá trị. Nếu có gì đó, các kết quả lại gợi ý điều ngược lại, việc loại bỏ lựa chọn có hội đồng quản trị phân kỳ là làm giảm giá trị. Một lời giải thích cho việc thiếu sự biến thiên theo mặt cắt ngang đối với kiêm nhiệm chức danh CEO-chủ tịch là thị trường đã dự đoán đúng phần quy định liên quan đến kiêm nhiệm chức danh CEO-chủ tịch, nhưng không dự đoán đúng phần liên quan đến thù lao CEO và quyền tiếp cận ủy quyền. Một lời giải thích khác là các quy định liên quan đến kiêm nhiệm chức danh CEO-chủ tịch đã không được dự đoán đầy đủ, nhưng kiêm nhiệm chức danh CEO-chủ tịch không ảnh hưởng đến giá trị cổ đông ngoài các điều khoản của quy định liên quan đến thù lao CEO và quyền tiếp cận ủy quyền. Điều này nhất quán với quan điểm rằng công ty có thể sử dụng các điều khoản quản trị tương tự, nhưng không bị quản lý, để đạt được hiệu quả tương tự như những điều khoản đang bị cấm.</w:t>
      </w:r>
    </w:p>
    <w:p>
      <w:pPr>
        <w:spacing w:after="80"/>
      </w:pPr>
      <w:r>
        <w:rPr>
          <w:b w:val="0"/>
          <w:i w:val="0"/>
        </w:rPr>
        <w:t>Việc so sánh kết quả giữa những ngày không có sự kiện và những ngày có sự kiện[] cho phép chúng tôi loại trừ khả năng rằng các mối quan hệ thống kê mà chúng tôi ghi nhận là một hiện tượng chung, không đặc thù cho phản ứng của thị trường đối với quy định quản trị. Kết quả của phân tích này gợi ý rằng các mối quan hệ mà chúng tôi ghi nhận giữa các biến số quản trị và lợi nhuận sự kiện là đặc thù cho các sự kiện quy định quản trị mà chúng tôi xem xét.</w:t>
      </w:r>
    </w:p>
    <w:p>
      <w:pPr>
        <w:spacing w:after="80"/>
      </w:pPr>
      <w:r>
        <w:rPr>
          <w:b w:val="0"/>
          <w:i w:val="0"/>
        </w:rPr>
        <w:t>Việc xem xét phản ứng của thị trường đối với các hành động gần đây liên quan đến quy định quản trị công ty mang đến cơ hội nghiên cứu tác động của một cú sốc ngoại sinh đối với các thực tiễn quản trị ở trạng thái cân bằng lên giá trị cổ đông. Quan điểm quyền lực nhà quản lý (managerial power view) về quản trị gợi ý rằng nhiều thực tiễn quản trị hiện hành là kết quả của việc trích lợi của nhà quản lý. Quan điểm này dự đoán rằng quy định trên toàn nền kinh tế nhằm hạn chế các thực tiễn quản trị trích lợi sẽ dẫn đến các hợp đồng làm tăng giá trị cổ đông. Ngược lại, một quan điểm khác về quản trị gợi ý rằng các thực tiễn quản trị hiện hành là kết quả của các hợp đồng tối đa hóa giá trị giữa cổ đông và ban quản lý. Quan điểm này dự đoán rằng việc quản lý quản trị công ty sẽ dẫn đến các hợp đồng kém hiệu quả hơn và làm giảm giá trị cổ đông.</w:t>
      </w:r>
    </w:p>
    <w:p>
      <w:pPr>
        <w:spacing w:after="80"/>
      </w:pPr>
      <w:r>
        <w:rPr>
          <w:b w:val="0"/>
          <w:i w:val="0"/>
        </w:rPr>
        <w:t>Về quy định trả lương cho ban điều hành, bằng chứng cho thấy cổ đông ngày càng phản ứng tiêu cực hơn đối với các công ty có CEO được trả lương cao. Một cách giải thích khả dĩ cho kết quả này là thị trường nhận định rằng việc quy định thù lao cho ban điều hành cuối cùng sẽ dẫn đến những hợp đồng kém hấp dẫn hơn và có khả năng làm giảm nguồn cung các nhà điều hành chất lượng cao cho các công ty đại chúng.</w:t>
      </w:r>
    </w:p>
    <w:p>
      <w:pPr>
        <w:spacing w:after="80"/>
      </w:pPr>
      <w:r>
        <w:rPr>
          <w:b w:val="0"/>
          <w:i w:val="0"/>
        </w:rPr>
        <w:t>Về quy định tiếp cận ủy quyền (proxy access), bằng chứng cho thấy phản ứng của thị trường giảm dần theo số lượng các cổ đông lớn nắm giữ khối lượng lớn và giảm dần theo số lượng liên minh mà các nhà đầu tư tổ chức nhỏ có thể thành lập để cùng nhau kiểm soát 1% cổ phần đang lưu hành. Điều này nhất quán với lập luận của những người chỉ trích rằng các cổ đông (và liên minh cổ đông) nắm giữ từ 1% trở lên sẽ lợi dụng những đặc quyền mà quy định tiếp cận ủy quyền dành cho họ để thao túng quá trình quản trị nhằm mang lại lợi ích cho bản thân bằng cách gây thiệt hại cho các cổ đông khác. Bởi vì chi phí và lợi ích của tiếp cận ủy quyền khác biệt đáng kể giữa các công ty, kết quả của chúng tôi gợi ý rằng cổ đông có thể được phục vụ tốt nhất thông qua cơ chế tiếp cận ủy quyền tự nguyện, trong đó chính cổ đông (thay vì chính phủ) xác định các quy tắc chi phối việc tiếp cận ủy quyền theo từng công ty cụ thể (ví dụ, Grundfest, 2009).</w:t>
      </w:r>
    </w:p>
    <w:p>
      <w:pPr>
        <w:spacing w:after="80"/>
      </w:pPr>
      <w:r>
        <w:rPr>
          <w:b w:val="0"/>
          <w:i w:val="0"/>
        </w:rPr>
        <w:t>Về các thực hành quản trị cụ thể, bằng chứng cho thấy phản ứng của thị trường ngày càng tiêu cực hơn đối với các công ty có hội đồng quản trị theo nhiệm kỳ so le (staggered board). Điều này nhất quán với quan điểm rằng sự hiện diện của hội đồng quản trị theo nhiệm kỳ so le là một lựa chọn quản trị tối đa hóa giá trị, đến mức việc cấm hội đồng quản trị theo nhiệm kỳ so le sẽ làm giảm giá trị cổ đông.</w:t>
      </w:r>
    </w:p>
    <w:p>
      <w:pPr>
        <w:spacing w:after="80"/>
      </w:pPr>
      <w:r>
        <w:rPr>
          <w:b w:val="0"/>
          <w:i w:val="0"/>
        </w:rPr>
        <w:t>Xuyên suốt tất cả các kiểm định, chúng tôi nhìn chung tìm thấy bằng chứng vững chắc về phản ứng giá cổ phiếu tiêu cực đối với các công ty mà thực hành quản trị của họ sẽ bị ảnh hưởng bởi các quy định được đề xuất. Kết quả ủng hộ quan điểm rằng các quy định quản trị được đề xuất gây tổn hại cho cổ đông của các công ty bị ảnh hưởng. Tuy nhiên, một lưu ý quan trọng là kết quả không loại trừ khả năng tồn tại một hình thức quy định quản trị nào đó làm gia tăng tài sản cho cổ đông.</w:t>
      </w:r>
    </w:p>
    <w:p>
      <w:pPr>
        <w:pStyle w:val="Heading5"/>
      </w:pPr>
      <w:r>
        <w:rPr>
          <w:rFonts w:ascii="Calibri" w:hAnsi="Calibri"/>
          <w:b/>
          <w:i/>
          <w:sz w:val="22"/>
        </w:rPr>
        <w:t>Bình luận và Câu hỏi</w:t>
      </w:r>
    </w:p>
    <w:p>
      <w:pPr>
        <w:spacing w:after="80"/>
      </w:pPr>
      <w:r>
        <w:rPr>
          <w:b w:val="0"/>
          <w:i w:val="0"/>
        </w:rPr>
        <w:t>1. Những phản ứng thị trường thực tế nào mà các Giáo sư Larcker, Ormazabal và Taylor xác định là phản hồi đối với các sự kiện quy định? Phản ứng trong một ngày của các thành phần thị trường đối với quy định tiềm năng cho chúng ta biết điều gì về các tác động thị trường thực tế có khả năng xảy ra của những biện pháp quy định đó?</w:t>
      </w:r>
    </w:p>
    <w:p>
      <w:pPr>
        <w:spacing w:after="80"/>
      </w:pPr>
      <w:r>
        <w:rPr>
          <w:b w:val="0"/>
          <w:i w:val="0"/>
        </w:rPr>
        <w:t xml:space="preserve">2. Ở mức độ nào các nhà lập pháp nên xem xét những nghiên cứu như nghiên cứu này khi soạn thảo và tranh luận về luật quản trị doanh nghiệp mới? Bạn có thể nhận diện những vấn đề tiềm ẩn khi dựa vào công trình thực nghiệm của giới học thuật không? Quốc hội có nên ưu tiên tối đa hóa tài sản của cổ đông làm mục tiêu quy định của mình không? Còn các mục tiêu chính sách khác thì sao, như ổn định thị trường, giảm rủi ro hệ thống, hay chống tội phạm doanh nghiệp, và các bên liên quan khác của doanh nghiệp? Ngay cả khi giả định rằng Quốc hội quy định quản trị doanh nghiệp nhằm mục đích tối đa hóa giá trị cổ đông, các cổ đông vẫn có những chân trời đầu tư khác nhau. Quản trị doanh nghiệp nên ưu ái các nhà đầu tư dài hạn hay cổ đông ngắn hạn? Xem Jesse M. Fried, </w:t>
      </w:r>
      <w:r>
        <w:rPr>
          <w:b w:val="0"/>
          <w:i/>
        </w:rPr>
        <w:t>The Uneasy Case for Favoring Long-Term Shareholders</w:t>
      </w:r>
      <w:r>
        <w:rPr>
          <w:b w:val="0"/>
          <w:i w:val="0"/>
        </w:rPr>
        <w:t xml:space="preserve"> , 124 Yale L. J. 1554 (2015) (thách thức luận điểm chuẩn tắc phổ biến rằng chính sách công nên khuyến khích việc nắm giữ cổ phần dài hạn).</w:t>
      </w:r>
    </w:p>
    <w:p>
      <w:pPr>
        <w:pStyle w:val="Heading2"/>
      </w:pPr>
      <w:r>
        <w:rPr>
          <w:rFonts w:ascii="Calibri" w:hAnsi="Calibri"/>
          <w:b/>
          <w:i w:val="0"/>
          <w:sz w:val="32"/>
        </w:rPr>
        <w:t>II. Cuộc tranh luận về Quản trị Doanh nghiệp Lang băm</w:t>
      </w:r>
    </w:p>
    <w:p>
      <w:pPr>
        <w:spacing w:after="80"/>
      </w:pPr>
      <w:r>
        <w:rPr>
          <w:b w:val="0"/>
          <w:i w:val="0"/>
        </w:rPr>
        <w:t>Phần trước đã đưa ra một loạt quan điểm về việc quy định quản trị doanh nghiệp. Phần này bắt đầu bằng cách mô tả SOX của Giáo sư Roberta Romano – nay đã nổi tiếng – là "quản trị doanh nghiệp lang băm" và tiếp tục với các trích đoạn từ những học giả hoặc đã bảo vệ đạo luật này hoặc đã bổ sung ủng hộ cho những cáo buộc của Giáo sư Romano. Khi đọc những trích đoạn này, hãy xem xét các giả định làm nền tảng cho lập luận của các tác giả, so với động cơ đằng sau đạo luật cụ thể đang được bàn đến. Liệu cuộc trao đổi này có thể diễn ra ngay cả khi không có động lực từ những nỗ lực của Quốc hội nhằm cải cách quản trị doanh nghiệp sau cuộc khủng hoảng tài chính toàn cầu năm 2008 không? Cường độ của cuộc tranh cãi này có khả năng sẽ gia tăng khi có thêm dữ liệu thực nghiệm.</w:t>
      </w:r>
    </w:p>
    <w:p>
      <w:pPr>
        <w:pStyle w:val="Heading4"/>
      </w:pPr>
      <w:r>
        <w:rPr>
          <w:rFonts w:ascii="Calibri" w:hAnsi="Calibri"/>
          <w:b/>
          <w:i w:val="0"/>
          <w:sz w:val="23"/>
        </w:rPr>
        <w:t xml:space="preserve">Roberta Romano, </w:t>
      </w:r>
      <w:r>
        <w:rPr>
          <w:rFonts w:ascii="Calibri" w:hAnsi="Calibri"/>
          <w:b/>
          <w:i/>
          <w:sz w:val="23"/>
        </w:rPr>
        <w:t>The Sarbanes-Oxley Act and the</w:t>
      </w:r>
      <w:r>
        <w:br/>
      </w:r>
      <w:r>
        <w:rPr>
          <w:rFonts w:ascii="Calibri" w:hAnsi="Calibri"/>
          <w:b/>
          <w:i/>
          <w:sz w:val="23"/>
        </w:rPr>
        <w:t xml:space="preserve"> Making of Quack Corporate Governance</w:t>
      </w:r>
    </w:p>
    <w:p>
      <w:pPr>
        <w:spacing w:after="80"/>
      </w:pPr>
      <w:r>
        <w:rPr>
          <w:b w:val="0"/>
          <w:i w:val="0"/>
        </w:rPr>
        <w:t>114 Yale L.J. 1521 (2005)</w:t>
      </w:r>
    </w:p>
    <w:p>
      <w:pPr>
        <w:spacing w:after="80"/>
      </w:pPr>
      <w:r>
        <w:rPr>
          <w:b w:val="0"/>
          <w:i w:val="0"/>
        </w:rPr>
        <w:t>SOX được ban hành trong một loạt hoạt động lập pháp gấp gáp trước thềm cuộc bầu cử giữa nhiệm kỳ năm 2002, sau sự sụp đổ ngoạn mục của Enron và WorldCom – những công ty từng được đánh giá rất cao. Các công ty đó đã bước vào thủ tục phá sản sau những tiết lộ về thực hành kế toán gian lận và các giao dịch tự lợi của ban điều hành. Nhưng nhiều điều khoản quản trị doanh nghiệp thực chất trong SOX thực tế không phải là những đổi mới quy định do Quốc hội nghĩ ra để đối phó với những khiếm khuyết trong môi trường kinh doanh khiến Enron và WorldCom sụp đổ. Thay vào đó, chúng có thể được mô tả chính xác hơn là những ý tưởng tái chế đã được những doanh nhân quản trị doanh nghiệp cổ vũ từ khá lâu. Cụ thể, yêu cầu về giám đốc độc lập và lệnh cấm các công ty kế toán cung cấp dịch vụ tư vấn cho khách hàng kiểm toán đã được đề xuất như những cải cách luật doanh nghiệp cần thiết từ rất lâu trước khi Enron xuất hiện trên chương trình nghị sự của bất kỳ chính trị gia nào. Điều đó tất nhiên không phải là duy nhất hay đáng ngạc nhiên, bởi vì các sáng kiến của Quốc hội hiếm khi được dựng nên từ con số không; thay vào đó, cải cách luật thành công trên đấu trường quốc gia thường liên quan đến việc tái kết hợp những yếu tố cũ đã được đề xuất trong giới hoạch định chính sách nhiều năm trước khi được thông qua.</w:t>
      </w:r>
    </w:p>
    <w:p>
      <w:pPr>
        <w:spacing w:after="80"/>
      </w:pPr>
      <w:r>
        <w:rPr>
          <w:b w:val="0"/>
          <w:i w:val="0"/>
        </w:rPr>
        <w:t>Các nhiệm vụ quản trị doanh nghiệp thực chất trong SOX – trọng tâm của Bài viết này – bao gồm các điều khoản yêu cầu ủy ban kiểm toán độc lập, hạn chế việc các công ty mua dịch vụ phi kiểm toán từ kiểm toán viên của mình, cấm các khoản vay doanh nghiệp cho các quan chức, và yêu cầu ban điều hành chứng thực báo cáo tài chính. Trái ngược với các điều khoản trong SOX hoàn toàn nằm trong phạm vi quy định chứng khoán liên bang truyền thống, như chỉ đạo tăng cường công bố các giao dịch ngoài bảng cân đối, hoặc nằm ngoài phạm vi quy định đối với tổ chức phát hành, như việc thành lập một hội đồng công mới để giám sát kiểm toán viên, các điều khoản quản trị doanh nghiệp thực chất đã vượt qua ranh giới truyền thống giữa thẩm quyền liên bang và tiểu bang, mặc dù chúng không nhất thiết phải làm vậy. Chúng có thể đã được xây dựng dưới dạng các yêu cầu công bố thông tin. Nếu làm như vậy, những điều khoản đó sẽ nằm trong bộ máy quy định thông thường. Thay vào đó, chúng được áp đặt như những nhiệm vụ thực chất – một cách tiếp cận quy định khác biệt và tốn kém hơn. Điều đáng lưu ý là các sáng kiến của SOX không hề xuất hiện trong bất kỳ bộ luật doanh nghiệp nào của tiểu bang.</w:t>
      </w:r>
    </w:p>
    <w:p>
      <w:pPr>
        <w:spacing w:after="80"/>
      </w:pPr>
      <w:r>
        <w:rPr>
          <w:b w:val="0"/>
          <w:i w:val="0"/>
        </w:rPr>
        <w:t>Khuyến nghị chính sách trung tâm của Bài viết này là các điều khoản quản trị doanh nghiệp của SOX nên được loại bỏ tính bắt buộc và trở thành tùy chọn đối với các tổ chức đăng ký. Các phát hiện của tài liệu thực nghiệm nhất quán với quan điểm rằng các chế độ luật doanh nghiệp và luật chứng khoán hiệu quả hơn là sản phẩm của các hệ thống pháp lý cạnh tranh, cho phép các đổi mới pháp lý thấm dần từ dưới lên thông qua thử và sai, thay vì bị áp đặt từ trên xuống bởi các nhà quản lý quy định hoặc các doanh nhân quản trị doanh nghiệp, những người cách xa hoạt động hàng ngày của các công ty. Về điểm đó, điều quan trọng cần chỉ ra là phần lớn các điều khoản của các bộ luật doanh nghiệp cạnh tranh mang tính cho phép, cho phép các công ty điều chỉnh tổ chức nội bộ của mình theo nhu cầu cụ thể. Con đường tốt nhất để khắc phục việc Quốc hội ban hành sai lầm các nhiệm vụ quản trị thực chất thông qua SOX là điều chỉnh chúng theo cách tiếp cận cho phép của các tiểu bang đối với luật doanh nghiệp. Một cơ chế khả thi để giảm xác suất xảy ra những sai lầm chính sách trong tương lai ở quy mô của SOX là thể chế hóa yêu cầu xem xét định kỳ đối với bất kỳ đạo luật nào được ban hành trong tình huống khẩn cấp hoặc tương tự khủng hoảng.</w:t>
      </w:r>
    </w:p>
    <w:p>
      <w:pPr>
        <w:spacing w:after="80"/>
      </w:pPr>
      <w:r>
        <w:rPr>
          <w:b w:val="0"/>
          <w:i w:val="0"/>
        </w:rPr>
        <w:t>Đánh giá các Nhiệm vụ Quản trị Doanh nghiệp Thực chất trong SOX</w:t>
      </w:r>
    </w:p>
    <w:p>
      <w:pPr>
        <w:spacing w:after="80"/>
      </w:pPr>
      <w:r>
        <w:rPr>
          <w:b w:val="0"/>
          <w:i w:val="0"/>
        </w:rPr>
        <w:t>Một khối lượng đáng kể nghiên cứu về tài chính doanh nghiệp và kế toán có liên quan đến hiệu quả của các nhiệm vụ quản trị doanh nghiệp thực chất của SOX. Phần này điểm qua ngắn gọn tài liệu thực nghiệm liên quan, cho thấy dữ liệu không ủng hộ quan điểm rằng các sáng kiến của SOX sẽ cải thiện quản trị doanh nghiệp hay hiệu quả hoạt động.</w:t>
      </w:r>
    </w:p>
    <w:p>
      <w:pPr>
        <w:spacing w:after="80"/>
      </w:pPr>
      <w:r>
        <w:rPr>
          <w:b w:val="0"/>
          <w:i/>
        </w:rPr>
        <w:t>Ủy ban Kiểm toán Độc lập</w:t>
      </w:r>
    </w:p>
    <w:p>
      <w:pPr>
        <w:spacing w:after="80"/>
      </w:pPr>
      <w:r>
        <w:rPr>
          <w:b w:val="0"/>
          <w:i w:val="0"/>
        </w:rPr>
        <w:t>Mục 301 của SOX yêu cầu tất cả các công ty niêm yết phải có ủy ban kiểm toán bao gồm hoàn toàn các giám đốc độc lập, theo định nghĩa của Quốc hội. Lý do cho quy định này là những giám đốc như vậy được kỳ vọng sẽ giám sát ban điều hành một cách hiệu quả và từ đó giảm khả năng thất bại trong kiểm toán, bởi vì sự phụ thuộc tài chính của họ vào công ty chỉ giới hạn ở thù lao giám đốc (ví dụ, việc khai sai thu nhập sẽ không làm tăng thu nhập của họ như trường hợp của những người nội bộ có thù lao thưởng gắn với thu nhập). Quốc hội cũng bắt buộc công bố liệu có bất kỳ giám đốc nào trong số đó là "chuyên gia tài chính" hay không, kèm theo giải thích—đối với các công ty không có chuyên gia trong ủy ban kiểm toán—về lý do tại sao không có thành viên nào của ủy ban là chuyên gia.</w:t>
      </w:r>
    </w:p>
    <w:p>
      <w:pPr>
        <w:spacing w:after="80"/>
      </w:pPr>
      <w:r>
        <w:rPr>
          <w:b w:val="0"/>
          <w:i w:val="0"/>
        </w:rPr>
        <w:t>Một lượng lớn tài liệu nghiên cứu đã phát triển về việc liệu hội đồng quản trị độc lập có cải thiện hiệu quả hoạt động của doanh nghiệp hay không. Qua nhiều phương pháp phân tích khác nhau, bài học từ tài liệu đó là hội đồng quản trị độc lập không cải thiện hiệu quả hoạt động và hội đồng quản trị có quá nhiều người ngoài thực tế có thể có tác động tiêu cực đến hiệu quả hoạt động. Có ít nghiên cứu hơn về mối quan hệ giữa thành phần ủy ban kiểm toán và hiệu quả hoạt động của công ty (tổng cộng bốn nghiên cứu). Không nghiên cứu nào trong số này tìm thấy mối quan hệ nào giữa tính độc lập của ủy ban kiểm toán và hiệu quả hoạt động, sử dụng nhiều thước đo hiệu quả khác nhau bao gồm cả thước đo kế toán và thị trường cũng như các thước đo về chiến lược đầu tư và năng suất của tài sản dài hạn.</w:t>
      </w:r>
    </w:p>
    <w:p>
      <w:pPr>
        <w:spacing w:after="80"/>
      </w:pPr>
      <w:r>
        <w:rPr>
          <w:b w:val="0"/>
          <w:i w:val="0"/>
        </w:rPr>
        <w:t>Một vài nghiên cứu phát hiện rằng việc có một giám đốc có chuyên môn tài chính sẽ cải thiện hiệu quả hoạt động và cụ thể hơn, tính độc lập hoàn toàn ít quan trọng hơn chuyên môn đối với mối quan hệ giữa thành phần ủy ban kiểm toán và chất lượng báo cáo kế toán. Những kết quả này đáng chú ý ở chỗ SOX không bắt buộc phải có chuyên gia tài chính trong ủy ban kiểm toán (nó chỉ có yêu cầu công bố thông tin về chuyên môn tài chính trong ủy ban), trong khi nó bắt buộc ủy ban kiểm toán phải hoàn toàn độc lập.</w:t>
      </w:r>
    </w:p>
    <w:p>
      <w:pPr>
        <w:spacing w:after="80"/>
      </w:pPr>
      <w:r>
        <w:rPr>
          <w:b w:val="0"/>
          <w:i w:val="0"/>
        </w:rPr>
        <w:t>Tóm lại, xu hướng thuyết phục của tài liệu nghiên cứu về thành phần ủy ban kiểm toán không ủng hộ quan điểm rằng việc yêu cầu ủy ban kiểm toán chỉ bao gồm các giám đốc độc lập sẽ giảm xác suất sai phạm trong báo cáo tài chính hoặc cải thiện hiệu quả hoạt động của doanh nghiệp. Điều đó không chỉ đúng với phần lớn áp đảo các nghiên cứu, mà quan trọng hơn, còn đúng với các nghiên cứu sử dụng những kỹ thuật tinh vi hơn.</w:t>
      </w:r>
    </w:p>
    <w:p>
      <w:pPr>
        <w:spacing w:after="80"/>
      </w:pPr>
      <w:r>
        <w:rPr>
          <w:b w:val="0"/>
          <w:i/>
        </w:rPr>
        <w:t>Việc Cung cấp Dịch vụ Phi Kiểm toán</w:t>
      </w:r>
    </w:p>
    <w:p>
      <w:pPr>
        <w:spacing w:after="80"/>
      </w:pPr>
      <w:r>
        <w:rPr>
          <w:b w:val="0"/>
          <w:i w:val="0"/>
        </w:rPr>
        <w:t>Mục 201 của SOX cấm các công ty kế toán cung cấp các dịch vụ phi kiểm toán được chỉ định cho các công ty mà họ kiểm toán. Các dịch vụ bị cấm bao gồm thiết kế và triển khai hệ thống thông tin tài chính, dịch vụ thẩm định hoặc định giá, dịch vụ kiểm toán nội bộ, dịch vụ ngân hàng đầu tư, dịch vụ pháp lý và chuyên gia không liên quan đến kiểm toán, dịch vụ môi giới và dịch vụ tính toán bảo hiểm (actuarial). Mặc dù quy định này nằm trong nhóm các quy định của SOX hướng đến nghề kế toán, nhưng thực tế nó là một mệnh lệnh quản trị doanh nghiệp mang tính thực chất. Quốc hội đang thay thế phán đoán của mình về việc công ty có thể mua những dịch vụ nào từ kiểm toán viên của mình bằng phán đoán của hội đồng quản trị hoặc cổ đông. Lý do cho lệnh cấm là việc nhận thù lao cao cho các dịch vụ phi kiểm toán làm tổn hại tính độc lập của kiểm toán viên bằng cách tạo cho kiểm toán viên động cơ tài chính để cho phép ban điều hành thực hiện các giao dịch hoặc thực hành kế toán đáng ngờ trong cuộc kiểm toán.</w:t>
      </w:r>
    </w:p>
    <w:p>
      <w:pPr>
        <w:spacing w:after="80"/>
      </w:pPr>
      <w:r>
        <w:rPr>
          <w:b w:val="0"/>
          <w:i w:val="0"/>
        </w:rPr>
        <w:t>Kết luận rằng chất lượng kiểm toán—và do đó là tính độc lập của kiểm toán viên—không bị đe dọa bởi việc cung cấp dịch vụ phi kiểm toán là thuyết phục không chỉ vì đó là phát hiện của phần lớn áp đảo các nghiên cứu mà còn vì đó là kết quả của các nghiên cứu sử dụng những kỹ thuật tinh vi nhất, cũng như những nghiên cứu có phát hiện vững chắc nhất trước các đặc tả mô hình thay thế. Việc không có mối quan hệ nghịch đảo mang tính hệ thống giữa phí phi kiểm toán và chất lượng kiểm toán (trên tất cả các thước đo chất lượng kiểm toán) trong tài liệu học thuật phù hợp với việc Ủy ban về Hiệu quả Kiểm toán (Panel on Audit Effectiveness) không xác định được một trường hợp nào về cuộc kiểm toán bị tổn hại bởi các kiểm toán viên cung cấp dịch vụ phi kiểm toán trong nghiên cứu thực địa của mình về tính độc lập của kiểm toán viên. Phát hiện đó chắc chắn đã góp phần vào quyết định của Ủy ban, cũng như của Ủy ban Tiêu chuẩn Độc lập (Independence Standards Board), không khuyến nghị cấm việc cung cấp dịch vụ phi kiểm toán và thay vào đó chọn củng cố chức năng của ủy ban kiểm toán bằng cách đề xuất rằng ủy ban kiểm toán nên bao gồm các giám đốc độc lập và hiểu biết về tài chính.</w:t>
      </w:r>
    </w:p>
    <w:p>
      <w:pPr>
        <w:spacing w:after="80"/>
      </w:pPr>
      <w:r>
        <w:rPr>
          <w:b w:val="0"/>
          <w:i/>
        </w:rPr>
        <w:t>Các Khoản Vay cho Ban Điều hành</w:t>
      </w:r>
    </w:p>
    <w:p>
      <w:pPr>
        <w:spacing w:after="80"/>
      </w:pPr>
      <w:r>
        <w:rPr>
          <w:b w:val="0"/>
          <w:i w:val="0"/>
        </w:rPr>
        <w:t>Mục 402(a) của SOX cấm các công ty thu xếp hoặc cấp tín dụng cho các quan chức điều hành hoặc giám đốc (trừ khi công ty là tổ chức tài chính cung cấp tín dụng trong hoạt động kinh doanh thông thường và các điều khoản tín dụng giống như những điều khoản cung cấp cho công chúng). Các khoản vay trở thành tâm điểm chú ý của Quốc hội sau những tiết lộ rằng các quan chức điều hành tại Enron, WorldCom, Tyco International và Adelphia Communications đã nhận được những khoản vay cực kỳ lớn (trong một số trường hợp lên đến hàng trăm triệu đô la), hưởng lợi cá nhân từ những công ty mà cổ đông và nhân viên phải chịu tổn thất tài chính tàn khốc. Lệnh cấm được đưa ra vào cuối quá trình lập pháp tại Thượng viện như một tu chính án tại nghị trường thay thế cho một quy định đã được soạn thảo và báo cáo ra khỏi ủy ban Thượng viện như một biện pháp công bố thông tin. Lệnh cấm toàn diện đã gây lo ngại trong giới hành nghề, vì nó dường như cấm các thực hành thù lao tiêu chuẩn được cho là không gây tranh cãi và có lợi, chẳng hạn như mua các hợp đồng bảo hiểm nhân thọ chia đôi (split-dollar life insurance) và việc thu xếp với các nhà môi giới hoặc tổ chức tài chính khác để nhân viên thực hiện quyền chọn cổ phiếu không dùng tiền mặt theo các kế hoạch thù lao khuyến khích.</w:t>
      </w:r>
    </w:p>
    <w:p>
      <w:pPr>
        <w:spacing w:after="80"/>
      </w:pPr>
      <w:r>
        <w:rPr>
          <w:b w:val="0"/>
          <w:i w:val="0"/>
        </w:rPr>
        <w:t>Bởi vì các khoản vay cho ban điều hành trong nhiều trường hợp dường như phục vụ mục đích tăng quyền sở hữu cổ phiếu của ban điều hành, từ đó gắn kết lợi ích của ban điều hành và cổ đông, nên lệnh cấm toàn diện các khoản vay cho ban điều hành trong SOX hiển nhiên là một sai lầm về chính sách công. Quy định trong dự luật Thượng viện ban đầu, vốn nhất quán với cách tiếp cận quản lý liên bang thông thường, yêu cầu công bố thông tin về các khoản vay cho ban điều hành nhưng không cấm chúng. Cách tiếp cận như vậy sẽ ít có vấn đề hơn nhiều so với sản phẩm lập pháp cuối cùng từ góc độ phúc lợi cổ đông. Nó sẽ có tác dụng tạo điều kiện chấm dứt những khoản vay ít có khả năng mang lại lợi ích cho cổ đông nhất, bằng cách làm nổi bật sự hiện diện của chúng với các nhà đầu tư, những người sau đó có thể đưa việc xóa bỏ những khoản vay đó vào chương trình nghị sự quản trị doanh nghiệp (ở nhiều bang mà nếu không thì họ sẽ không được tham gia vì việc phê duyệt khoản vay của cổ đông không được yêu cầu). Thay vào đó, luật này là một cách tiếp cận kiểu súng hoa cải (blunderbuss) cấm tất cả các khoản vay, bất kể chúng có hữu ích trong việc tạo điều kiện cho mục tiêu của cổ đông là mang lại hiệu ứng khuyến khích mong muốn hay không.</w:t>
      </w:r>
    </w:p>
    <w:p>
      <w:pPr>
        <w:spacing w:after="80"/>
      </w:pPr>
      <w:r>
        <w:rPr>
          <w:b w:val="0"/>
          <w:i/>
        </w:rPr>
        <w:t>Việc Ban Điều hành Chứng nhận Báo cáo Tài chính</w:t>
      </w:r>
    </w:p>
    <w:p>
      <w:pPr>
        <w:spacing w:after="80"/>
      </w:pPr>
      <w:r>
        <w:rPr>
          <w:b w:val="0"/>
          <w:i w:val="0"/>
        </w:rPr>
        <w:t>Mục 302 của SOX yêu cầu CEO và CFO chứng nhận rằng các báo cáo định kỳ của công ty không chứa sai sót trọng yếu hoặc thiếu sót và "trình bày trung thực" tình hình tài chính và kết quả hoạt động của công ty. Yêu cầu chứng nhận chứa các mệnh lệnh quản trị doanh nghiệp mang tính thực chất. Nó áp đặt lên các quan chức ký kết trách nhiệm thiết lập và duy trì kiểm soát nội bộ và đánh giá hiệu quả của những kiểm soát đó, cùng với nghĩa vụ công bố cho ủy ban kiểm toán bất kỳ khiếm khuyết nào trong thiết kế kiểm soát nội bộ hoặc bất kỳ gian lận nào liên quan đến bất kỳ quan chức hoặc nhân viên nào có vai trò quan trọng trong kiểm soát nội bộ của công ty. Chữ ký của các quan chức chứng nhận cả việc thực hiện những nhiệm vụ đó và tính xác thực của thông tin tài chính. Mục 404 chứa một yêu cầu nộp hồ sơ liên quan, một báo cáo của ban điều hành được kiểm toán viên bên ngoài chứng thực đánh giá các kiểm soát nội bộ. Một quy định thứ ba, mục 906(a), là một đạo luật hình sự mới liệt kê các hình phạt cho việc cố ý vi phạm yêu cầu chứng nhận tương tự như yêu cầu của mục 302.</w:t>
      </w:r>
    </w:p>
    <w:p>
      <w:pPr>
        <w:spacing w:after="80"/>
      </w:pPr>
      <w:r>
        <w:rPr>
          <w:b w:val="0"/>
          <w:i w:val="0"/>
        </w:rPr>
        <w:t>[M]ột cách tiếp cận chính sách sẽ là biến chế độ chứng nhận thành tùy chọn. Điều đó sẽ cho phép các công ty mà việc này mang lại lợi ích được tham gia vào các chứng nhận đặc biệt thay vì các chữ ký báo cáo tài chính thông thường (ví dụ, các công ty không minh bạch như các công ty mẹ ngân hàng) làm như vậy. Cách tiếp cận như vậy được hỗ trợ bởi chi phí tuân thủ đáng kể liên quan đến chứng nhận đã được báo cáo hoặc dự đoán: Các công ty sẽ tự chọn tham gia chế độ này khi gánh nặng tuân thủ có nhiều khả năng mang lại lợi ích tích cực cho nhà đầu tư của họ.</w:t>
      </w:r>
    </w:p>
    <w:p>
      <w:pPr>
        <w:spacing w:after="80"/>
      </w:pPr>
      <w:r>
        <w:rPr>
          <w:b w:val="0"/>
          <w:i w:val="0"/>
        </w:rPr>
        <w:t>Hàm ý Chính sách</w:t>
      </w:r>
    </w:p>
    <w:p>
      <w:pPr>
        <w:spacing w:after="80"/>
      </w:pPr>
      <w:r>
        <w:rPr>
          <w:b w:val="0"/>
          <w:i w:val="0"/>
        </w:rPr>
        <w:t>Việc phân tích tài liệu thực nghiệm và động lực chính trị liên quan đến các mệnh lệnh quản trị doanh nghiệp của SOX cho thấy những quy định đó được hoạch định kém, bởi vì không có cơ sở để tin rằng chúng sẽ có hiệu quả. Do đó, có sự mất kết nối giữa phương tiện và mục đích. Hàm ý chính sách trực tiếp của khoảng cách này giữa hành động của Quốc hội và bài học liên quan đến nó là các mệnh lệnh đó nên bị bãi bỏ. Cơ chế dễ nhất để hiện thực hóa thay đổi chính sách như vậy là biến các mệnh lệnh của SOX thành tùy chọn, tức là các quy tắc mặc định theo luật mà các công ty có thể chọn có áp dụng hay không. Một cách tiếp cận thay thế và sâu rộng hơn, có lợi thế là khả năng cao hơn tạo ra các quy tắc mặc định được đa số nhà đầu tư và tổ chức phát hành ưa thích, sẽ là loại bỏ hoàn toàn các quy định quản trị doanh nghiệp khỏi luật liên bang và chuyển giao những vấn đề đó cho các bang. Cuối cùng, một hàm ý tổng quát hơn liên quan đến luật pháp khẩn cấp. Sẽ là khôn ngoan nếu Quốc hội, khi lập pháp trong các tình huống khủng hoảng, đưa vào các biện pháp bảo vệ theo luật để tạo điều kiện sửa chữa các đề xuất không phù hợp bằng cách yêu cầu, như trong một điều khoản hết hiệu lực (sunset provision), xem xét lại vấn đề khi có thể cân nhắc kỹ lưỡng hơn.</w:t>
      </w:r>
    </w:p>
    <w:p>
      <w:pPr>
        <w:spacing w:after="80"/>
      </w:pPr>
      <w:r>
        <w:rPr>
          <w:b w:val="0"/>
          <w:i/>
        </w:rPr>
        <w:t>Chuyển đổi các quy định bắt buộc thành mặc định luật định</w:t>
      </w:r>
    </w:p>
    <w:p>
      <w:pPr>
        <w:spacing w:after="80"/>
      </w:pPr>
      <w:r>
        <w:rPr>
          <w:b w:val="0"/>
          <w:i w:val="0"/>
        </w:rPr>
        <w:t>Nếu các quy định bắt buộc về quản trị doanh nghiệp của SOX được coi là mặc định, thì các công ty sẽ có thể chọn không tuân theo thông qua biểu quyết của cổ đông. Theo cách này, chẳng hạn, những công ty nhỏ mà việc thành lập ủy ban kiểm toán, dịch vụ phi kiểm toán và các yêu cầu chứng nhận gây ra chi phí đáng kể sẽ có thể né tránh việc bị áp dụng—trái ngược với những công ty lớn hơn có chi phí tuân thủ thấp hơn, mà chủ sở hữu của họ có thể nhận thấy tỷ lệ lợi ích-chi phí hấp dẫn từ các quy định bắt buộc và muốn giữ chúng. Đây sẽ là cách dễ nhất để cải tổ các điều khoản quản trị doanh nghiệp sai lầm của Quốc hội, bởi vì SEC có thể thực hiện điều đó dưới quyền hạn miễn trừ chung của mình, mà không cần Quốc hội hành động.</w:t>
      </w:r>
    </w:p>
    <w:p>
      <w:pPr>
        <w:spacing w:after="80"/>
      </w:pPr>
      <w:r>
        <w:rPr>
          <w:b w:val="0"/>
          <w:i w:val="0"/>
        </w:rPr>
        <w:t>Luật doanh nghiệp cấp bang chủ yếu bao gồm các điều khoản cho phép hoạt động như những mặc định mà các công ty có thể chọn không tuân theo nếu việc điều chỉnh phù hợp hơn với nhu cầu tổ chức của họ. Do đó, các công ty có thể cá biệt hóa điều lệ công ty của mình, cũng như chọn bộ luật bang phù hợp nhất với yêu cầu của họ, để giảm thiểu chi phí kinh doanh, từ đó tăng lợi nhuận cho nhà đầu tư. Những mặc định được đưa vào bộ luật bang là những mặc định được kỳ vọng sẽ được đại đa số công ty lựa chọn, điều này càng làm giảm chi phí giao dịch (vì hầu hết công ty không cần phải chịu chi phí cá biệt hóa điều lệ của mình). Việc chuyển đổi các quy định bắt buộc của SOX thành những mặc định tùy chọn cho các công ty sẽ đưa chế độ liên bang tiến gần hơn đến cách tiếp cận của luật bang đối với quản trị doanh nghiệp.</w:t>
      </w:r>
    </w:p>
    <w:p>
      <w:pPr>
        <w:spacing w:after="80"/>
      </w:pPr>
      <w:r>
        <w:rPr>
          <w:b w:val="0"/>
          <w:i w:val="0"/>
        </w:rPr>
        <w:t>Từ góc độ giảm chi phí giao dịch trong quy định quản trị doanh nghiệp, thật đáng ngờ liệu tất cả, hay thậm chí hầu hết, các quy định bắt buộc của SOX có được đa số công ty lựa chọn hay không và do đó, liệu chúng có nên được cấu trúc như những điều khoản mặc định kiểu chọn tham gia (opt-in) hay chọn không tham gia (opt-out). Một số sự kiện liên quan ủng hộ cách tiếp cận opt-in. Chẳng hạn, các bang lẽ ra có thể ban hành những yêu cầu tương tự SOX như những mặc định luật định, nhưng không bang nào chọn làm vậy. Thật vậy, trong trường hợp cho vay đối với giám đốc điều hành, bộ luật công ty cấp bang lại chứa quy tắc mặc định thực chất ngược lại, quy định các tiêu chí để thực hiện những giao dịch như vậy. Suy luận hợp lý và đơn giản nhất để rút ra là không có nhu cầu đối với các quy định bắt buộc của SOX: Nếu có nhu cầu đáng kể, thì các điều khoản đó lẽ ra đã xuất hiện trong ít nhất một số bộ luật bang.</w:t>
      </w:r>
    </w:p>
    <w:p>
      <w:pPr>
        <w:spacing w:after="80"/>
      </w:pPr>
      <w:r>
        <w:rPr>
          <w:b w:val="0"/>
          <w:i w:val="0"/>
        </w:rPr>
        <w:t>Ngoài ra, bất chấp sự im lặng của bộ luật công ty cấp bang, các công ty lẽ ra có thể từ chối mua dịch vụ phi kiểm toán từ kiểm toán viên, từ chối cho vay đối với giám đốc điều hành, và thành lập các ủy ban kiểm toán hoàn toàn độc lập (trước khi có yêu cầu của sở giao dịch chứng khoán về những ủy ban như vậy). Nhiều công ty đã chọn không làm vậy, và các tài liệu nghiên cứu cho thấy họ có lý do chính đáng: Các ủy ban kiểm toán hoàn toàn độc lập không mang lại lợi ích đáng kể nào so với các ủy ban độc lập đa số (và lợi ích từ ngay cả các ủy ban độc lập đa số vẫn còn là câu hỏi mở), việc mua dịch vụ phi kiểm toán từ kiểm toán viên không làm giảm chất lượng kiểm toán, và các chương trình cho vay đối với giám đốc điều hành có thể phục vụ những mục đích chính đáng mang lại lợi ích cho cổ đông. Nếu các quy định bắt buộc của SOX được biến thành tùy chọn, những công ty thấy chúng có lợi sẽ không bị ảnh hưởng, bởi vì họ có thể tiếp tục tuân theo các quy định nghiêm ngặt của SOX. Chẳng hạn, những công ty không muốn mua dịch vụ phi kiểm toán từ kiểm toán viên của mình có thể theo đuổi chính sách như vậy mà không cần nó phải bị bắt buộc, và để thể hiện cam kết tiếp tục với chính sách đó, họ có thể chọn tham gia vào điều khoản mặc định của liên bang.</w:t>
      </w:r>
    </w:p>
    <w:p>
      <w:pPr>
        <w:pStyle w:val="Heading5"/>
      </w:pPr>
      <w:r>
        <w:rPr>
          <w:rFonts w:ascii="Calibri" w:hAnsi="Calibri"/>
          <w:b/>
          <w:i/>
          <w:sz w:val="22"/>
        </w:rPr>
        <w:t>Bình luận và Câu hỏi</w:t>
      </w:r>
    </w:p>
    <w:p>
      <w:pPr>
        <w:spacing w:after="80"/>
      </w:pPr>
      <w:r>
        <w:rPr>
          <w:b w:val="0"/>
          <w:i w:val="0"/>
        </w:rPr>
        <w:t xml:space="preserve">1. Hai năm sau khi Giáo sư Romano công bố đánh giá của bà về Đạo luật Sarbanes-Oxley, các Giáo sư Robert Prentice và David Spence đã phản hồi lại điều mà họ mô tả là việc bà "đả kích" luật này. </w:t>
      </w:r>
      <w:r>
        <w:rPr>
          <w:b w:val="0"/>
          <w:i/>
        </w:rPr>
        <w:t>Xem</w:t>
      </w:r>
      <w:r>
        <w:rPr>
          <w:b w:val="0"/>
          <w:i w:val="0"/>
        </w:rPr>
        <w:t xml:space="preserve"> Robert A. Prentice &amp; David B. Spence, </w:t>
      </w:r>
      <w:r>
        <w:rPr>
          <w:b w:val="0"/>
          <w:i/>
        </w:rPr>
        <w:t>Sarbanes-Oxley as Quack Corporate Governance: How Wise Is the Received Wisdom?</w:t>
      </w:r>
      <w:r>
        <w:rPr>
          <w:b w:val="0"/>
          <w:i w:val="0"/>
        </w:rPr>
        <w:t xml:space="preserve"> , 95 Geo. L.J. 1843, (2007). Trong số những chỉ trích khác, các tác giả đặt câu hỏi về động cơ chính trị của Giáo sư Romano khi dán nhãn SOX là trò lang băm. Bạn nghĩ sao? Việc chứng minh động cơ chính trị sẽ làm suy yếu các lập luận của Giáo sư Romano như thế nào?</w:t>
      </w:r>
    </w:p>
    <w:p>
      <w:pPr>
        <w:spacing w:after="80"/>
      </w:pPr>
      <w:r>
        <w:rPr>
          <w:b w:val="0"/>
          <w:i w:val="0"/>
        </w:rPr>
        <w:t>2. Những lợi ích và chi phí của việc áp dụng một chế độ quản lý liên bang tùy chọn, như Giáo sư Romano đề xuất, là gì? Nếu cả năm mươi bang đều thông qua các phiên bản SOX giống hệt nhau, liệu những phản đối của Giáo sư Romano có còn tồn tại không?</w:t>
      </w:r>
    </w:p>
    <w:p>
      <w:pPr>
        <w:spacing w:after="80"/>
      </w:pPr>
      <w:r>
        <w:rPr>
          <w:b w:val="0"/>
          <w:i w:val="0"/>
        </w:rPr>
        <w:t>3. Các Giáo sư Prentice và Spence cũng đặt câu hỏi về luận điểm của Giáo sư Romano rằng luật khẩn cấp vốn dĩ đã khiếm khuyết hoặc không mong muốn. Họ lập luận rằng Quốc hội có khả năng lập pháp phù hợp với ý chí của công chúng nói chung tốt hơn, trải qua điều được gọi là "khoảnh khắc cộng hòa" (republican moment), khi phản ứng với một cuộc khủng hoảng mà cả quốc gia đều quan tâm. Các Giáo sư Prentice và Spence cũng lập luận rằng các nhóm vận động hành lang doanh nghiệp hùng mạnh có nhiều khả năng gây ảnh hưởng đến luật được ban hành trong các tình huống không khẩn cấp hơn, bởi vì công chúng nói chung ít quan tâm đến loại luật đó hơn. Bạn nghĩ sao? Quốc hội có nên xem xét lại các luật đã ban hành bằng cách sử dụng các điều khoản hết hiệu lực (sunset provisions) và các ủy ban ưu tú (blue ribbon committees), như Giáo sư Romano đề xuất không?</w:t>
      </w:r>
    </w:p>
    <w:p>
      <w:pPr>
        <w:spacing w:after="80"/>
      </w:pPr>
      <w:r>
        <w:rPr>
          <w:b w:val="0"/>
          <w:i w:val="0"/>
        </w:rPr>
        <w:t>—————</w:t>
      </w:r>
    </w:p>
    <w:p>
      <w:pPr>
        <w:spacing w:after="80"/>
      </w:pPr>
      <w:r>
        <w:rPr>
          <w:b w:val="0"/>
          <w:i w:val="0"/>
        </w:rPr>
        <w:t>Mặc dù lợi ích của các thông lệ quản trị tốt nhất, bao gồm tác động của chúng lên hiệu quả hoạt động của doanh nghiệp, rất khó đo lường, nhưng chi phí của các cải cách quản trị doanh nghiệp lại có thể định lượng được nhiều hơn. Đạo luật Sarbanes-Oxley đã áp đặt những yêu cầu báo cáo và giám sát nội bộ mới đáng kể đối với các công ty đại chúng. Đoạn trích sau đây mô tả các chi phí khác nhau mà các công ty đại chúng phải gánh chịu khi tuân thủ SOX.</w:t>
      </w:r>
    </w:p>
    <w:p>
      <w:pPr>
        <w:pStyle w:val="Heading4"/>
      </w:pPr>
      <w:r>
        <w:rPr>
          <w:rFonts w:ascii="Calibri" w:hAnsi="Calibri"/>
          <w:b/>
          <w:i w:val="0"/>
          <w:sz w:val="23"/>
        </w:rPr>
        <w:t xml:space="preserve">Harry N. Butler &amp; Larry E. Ribstein, </w:t>
      </w:r>
      <w:r>
        <w:rPr>
          <w:rFonts w:ascii="Calibri" w:hAnsi="Calibri"/>
          <w:b/>
          <w:i/>
          <w:sz w:val="23"/>
        </w:rPr>
        <w:t>The Sarbanes-Oxley Debacle:</w:t>
      </w:r>
      <w:r>
        <w:br/>
      </w:r>
      <w:r>
        <w:rPr>
          <w:rFonts w:ascii="Calibri" w:hAnsi="Calibri"/>
          <w:b/>
          <w:i/>
          <w:sz w:val="23"/>
        </w:rPr>
        <w:t xml:space="preserve"> What We've Learned; How to Fix It</w:t>
      </w:r>
    </w:p>
    <w:p>
      <w:pPr>
        <w:spacing w:after="80"/>
      </w:pPr>
      <w:r>
        <w:rPr>
          <w:b w:val="0"/>
          <w:i w:val="0"/>
        </w:rPr>
        <w:t>AEI Press 2006</w:t>
      </w:r>
    </w:p>
    <w:p>
      <w:pPr>
        <w:spacing w:after="80"/>
      </w:pPr>
      <w:r>
        <w:rPr>
          <w:b w:val="0"/>
          <w:i w:val="0"/>
        </w:rPr>
        <w:t>Sự biện hộ hiện tại cho SOX là, bất chấp những chi phí rõ ràng của nó, ít nhất nó đã giúp chúng ta loại bỏ gian lận đã đánh sập thị trường vốn sau Enron. Như sẽ được thảo luận dưới đây, . . . chi phí trực tiếp của SOX khá cao—thật vậy, đủ cao để thu hút sự chú ý đáng kể trên báo chí kinh doanh.</w:t>
      </w:r>
    </w:p>
    <w:p>
      <w:pPr>
        <w:spacing w:after="80"/>
      </w:pPr>
      <w:r>
        <w:rPr>
          <w:b w:val="0"/>
          <w:i w:val="0"/>
        </w:rPr>
        <w:t>Nhiều người biện hộ tập trung vào những chi phí tuân thủ trực tiếp này, và trấn an chúng ta rằng những chi phí này chỉ tạm thời, sẽ giảm khi các công ty tìm ra cách tuân thủ, và dù sao thì cũng đáng giá nếu kết quả là giảm gian lận. Tuy nhiên, những đánh giá này dựa trên quan điểm quá lạc quan về những gì việc tuân thủ SOX thực sự đòi hỏi và sự thất bại trong việc nhận ra nó đang trói một gánh nặng nặng nề lên đôi chân của các công ty Mỹ. Trong số những điều khác, SOX đã chuyển hướng sự chú ý của các giám đốc điều hành khỏi công việc khó khăn là tối đa hóa giá trị cổ đông và bóp méo các động cơ khuyến khích cũng như quyết định đầu tư của họ. [N]ghiên cứu sâu rộng và thuyết phục nhất về chi phí tài chính của SOX ước tính tổn thất về tổng giá trị thị trường của các công ty xung quanh các sự kiện lập pháp dẫn đến việc thông qua SOX là 1,4 nghìn tỷ đô la.</w:t>
      </w:r>
    </w:p>
    <w:p>
      <w:pPr>
        <w:spacing w:after="80"/>
      </w:pPr>
      <w:r>
        <w:rPr>
          <w:b w:val="0"/>
          <w:i w:val="0"/>
        </w:rPr>
        <w:t>Nhất quán với triết lý công bố thông tin của các Đạo luật gốc năm 1933 và 1934, SOX gia tăng việc công bố thông tin bắt buộc trong một số lĩnh vực. Có lẽ điều khoản công bố thông tin mới rắc rối nhất là Mục 404, điều khoản áp đặt một nghĩa vụ hoàn toàn mới và rộng lớn lên các nhà quản lý trong việc đánh giá chất lượng kiểm soát nội bộ của họ. Ít được thảo luận hay tranh luận tại Quốc hội, và ít được chú ý trong cơn lốc của tháng 7 năm 2002, điều khoản này quy định các quy tắc của SEC yêu cầu báo cáo thường niên của các công ty</w:t>
      </w:r>
    </w:p>
    <w:p>
      <w:pPr>
        <w:spacing w:after="80"/>
      </w:pPr>
      <w:r>
        <w:rPr>
          <w:b w:val="0"/>
          <w:i w:val="0"/>
        </w:rPr>
        <w:t>phải có một báo cáo kiểm soát nội bộ, trong đó—(1) nêu rõ trách nhiệm của ban quản lý trong việc thiết lập và duy trì một cơ cấu kiểm soát nội bộ và các quy trình báo cáo tài chính đầy đủ; và (2) bao gồm một đánh giá, tính đến thời điểm cuối năm tài chính gần nhất của tổ chức phát hành, về tính hiệu quả của cơ cấu kiểm soát nội bộ và các quy trình báo cáo tài chính của tổ chức phát hành.</w:t>
      </w:r>
    </w:p>
    <w:p>
      <w:pPr>
        <w:spacing w:after="80"/>
      </w:pPr>
      <w:r>
        <w:rPr>
          <w:b w:val="0"/>
          <w:i w:val="0"/>
        </w:rPr>
        <w:t>SOX cũng yêu cầu các kiểm toán viên bên ngoài đưa ra ý kiến về cả đánh giá của ban quản lý lẫn đánh giá của chính họ về tính hiệu quả của kiểm soát. . . .</w:t>
      </w:r>
    </w:p>
    <w:p>
      <w:pPr>
        <w:spacing w:after="80"/>
      </w:pPr>
      <w:r>
        <w:rPr>
          <w:b w:val="0"/>
          <w:i w:val="0"/>
        </w:rPr>
        <w:t>Ban đầu, SEC ước tính rằng các quy định đề xuất của mình nhằm thực thi Mục 404 của SOX “sẽ áp đặt thêm 5 giờ gánh nặng mỗi tổ chức phát hành liên quan đến mỗi báo cáo hàng quý và hàng năm.” Ước tính này đã bị chỉ trích gay gắt trong các ý kiến bình luận về quy định đề xuất. Quy định cuối cùng của SEC đã điều chỉnh ước tính lên “khoảng . . . 91.000 đô la mỗi công ty,” không bao gồm “các gánh nặng chi phí bổ sung mà một công ty sẽ phải chịu do phải có được chứng thực của kiểm toán viên.” Hơn nữa, SEC đã sai lệch rất xa ngay cả sau khi điều chỉnh ước tính chi phí của mình. Ví dụ, Financial Executives International ước tính chi phí tuân thủ là 4,36 triệu đô la mỗi công ty tính đến giữa năm 2005. AMR Research đã ước tính rằng các công ty sẽ chi 6 tỷ đô la để tuân thủ SOX trong năm 2006. Người ta chỉ có thể tự hỏi SEC (hoặc các luật sư nguyên đơn) sẽ phản ứng thế nào trước những sai sót và việc phải lập lại báo cáo với mức độ tương tự của một tập đoàn niêm yết đại chúng.</w:t>
      </w:r>
    </w:p>
    <w:p>
      <w:pPr>
        <w:spacing w:after="80"/>
      </w:pPr>
      <w:r>
        <w:rPr>
          <w:b w:val="0"/>
          <w:i w:val="0"/>
        </w:rPr>
        <w:t>Những người soạn thảo và bảo vệ SOX dường như nghĩ rằng các nhà quản lý có dư dả thời gian và sức lực, và rằng miễn là họ không có nhiều việc khác phải làm, thì họ cũng nên dành thời gian cho những nhiệm vụ mà SOX giao phó. Trên thực tế, sức lực và nguồn lực của ban quản lý là hữu hạn. Những gì được chi cho việc tuân thủ SOX thì không được chi cho các hoạt động khác có thể có giá trị hơn đối với công ty và xã hội. Điều này gợi nhớ đến lời răn của Milton Friedman được ghi nhớ với tên gọi “TANSTAAFL”—“không có thứ gì gọi là bữa trưa miễn phí cả.”</w:t>
      </w:r>
    </w:p>
    <w:p>
      <w:pPr>
        <w:spacing w:after="80"/>
      </w:pPr>
      <w:r>
        <w:rPr>
          <w:b w:val="0"/>
          <w:i w:val="0"/>
        </w:rPr>
        <w:t>SOX đã đòi hỏi sự chú ý của tất cả các thành viên hội đồng quản trị và các cán bộ cấp cao của mọi công ty niêm yết đại chúng ở Mỹ. Rất khó để đo lường chi phí cơ hội của thời gian dành cho việc tuân thủ SOX.</w:t>
      </w:r>
    </w:p>
    <w:p>
      <w:pPr>
        <w:spacing w:after="80"/>
      </w:pPr>
      <w:r>
        <w:rPr>
          <w:b w:val="0"/>
          <w:i w:val="0"/>
        </w:rPr>
        <w:t>Quy định về kiểm soát nội bộ cũng đặt gánh nặng đặc biệt lớn lên các công ty nhỏ hơn, với lợi ích mang lại cho nhà đầu tư ít hơn đáng kể. Điều này được củng cố bởi bằng chứng rằng các công ty nhỏ hơn và ít được giao dịch tích cực hơn đã phản ứng bất lợi hơn trước các sự kiện làm tăng khả năng SOX được thông qua. Cụ thể, các công ty nhỏ hơn có chi phí gián tiếp tương đối cao hơn so với các công ty lớn hơn, và do đó phải vật lộn để cạnh tranh với họ. Bất kỳ sự gia tăng nào về chi phí gián tiếp đều tạo thêm gánh nặng. Các công ty nhỏ hơn cạnh tranh, một phần, thông qua tính linh hoạt—khả năng thay đổi kế hoạch kinh doanh nhanh chóng để đáp ứng nhu cầu khách hàng, và kết hợp nhiều chức năng vào một cá nhân duy nhất.</w:t>
      </w:r>
    </w:p>
    <w:p>
      <w:pPr>
        <w:spacing w:after="80"/>
      </w:pPr>
      <w:r>
        <w:rPr>
          <w:b w:val="0"/>
          <w:i w:val="0"/>
        </w:rPr>
        <w:t>Gánh nặng lớn mà SOX áp đặt lên các công ty nhỏ đã gây ra tác dụng phụ đáng kể là khiến các công ty này giảm quyền sở hữu đại chúng để tránh SOX. Họ có thể làm điều này bằng cách trở thành công ty tư nhân hoặc bằng cách “going dark”—tức là giảm số lượng cổ đông đại chúng danh nghĩa xuống dưới 300, đây là ngưỡng để áp dụng Đạo luật Giao dịch Chứng khoán năm 1934, mà SOX là một phần của đạo luật đó.</w:t>
      </w:r>
    </w:p>
    <w:p>
      <w:pPr>
        <w:spacing w:after="80"/>
      </w:pPr>
      <w:r>
        <w:rPr>
          <w:b w:val="0"/>
          <w:i w:val="0"/>
        </w:rPr>
        <w:t>Các nghiên cứu cũng đã chỉ ra rằng 200 công ty đã “going dark” vào năm 2003, một năm sau khi SOX được ban hành, rằng nhiều công ty đã chuyển thành tư nhân sau SOX, và rằng 44 trong số 114 công ty chuyển thành tư nhân vào năm 2004 đã viện dẫn chi phí tuân thủ SOX như một lý do. . . .</w:t>
      </w:r>
    </w:p>
    <w:p>
      <w:pPr>
        <w:pStyle w:val="Heading5"/>
      </w:pPr>
      <w:r>
        <w:rPr>
          <w:rFonts w:ascii="Calibri" w:hAnsi="Calibri"/>
          <w:b/>
          <w:i/>
          <w:sz w:val="22"/>
        </w:rPr>
        <w:t>Bình luận và Câu hỏi</w:t>
      </w:r>
    </w:p>
    <w:p>
      <w:pPr>
        <w:spacing w:after="80"/>
      </w:pPr>
      <w:r>
        <w:rPr>
          <w:b w:val="0"/>
          <w:i w:val="0"/>
        </w:rPr>
        <w:t xml:space="preserve">1. Các giáo sư Butler và Ribstein lập luận rằng SOX gây hại cho cổ đông bằng cách áp đặt lên các công ty đại chúng những chi phí vượt xa chi phí của gian lận và các hành vi sai trái khác mà các nhà lập pháp muốn ngăn chặn bằng cách ban hành đạo luật này. Những lập luận tương tự cũng đã được đưa ra về các quy tắc quản trị doanh nghiệp bắt buộc khác. Những người chỉ trích khẳng định rằng các cổ đông hoạt động tích cực, không giống như các nhà quản lý, tập trung vào việc tăng giá trị cổ phiếu trong ngắn hạn thay vì “sức khỏe lâu dài của các công ty, chứ chưa nói đến sức khỏe và sự ổn định lâu dài của toàn bộ hệ thống tài chính nói chung.” Nicholas Calcina Howson, </w:t>
      </w:r>
      <w:r>
        <w:rPr>
          <w:b w:val="0"/>
          <w:i/>
        </w:rPr>
        <w:t>When “Good” Corporate Governance Makes “Bad” (Financial) Firms: The Global Crisis and the Limits of Private Law</w:t>
      </w:r>
      <w:r>
        <w:rPr>
          <w:b w:val="0"/>
          <w:i w:val="0"/>
        </w:rPr>
        <w:t xml:space="preserve"> , 108 Mich. L. Rev. First Impressions 44, 47 (2009). Nếu thực tế, các cổ đông tìm kiếm hiệu quả ngắn hạn thay vì giá trị dài hạn, thì tại sao ban quản lý lại có thể hành động trái với lợi ích của cổ đông? Việc nắm giữ cổ phiếu của chính các giám đốc điều hành sẽ ảnh hưởng thế nào đến các quyết định và hành vi của họ?</w:t>
      </w:r>
    </w:p>
    <w:p>
      <w:pPr>
        <w:spacing w:after="80"/>
      </w:pPr>
      <w:r>
        <w:rPr>
          <w:b w:val="0"/>
          <w:i w:val="0"/>
        </w:rPr>
        <w:t xml:space="preserve">2. Mặc dù được ban hành với sự ủng hộ lưỡng đảng rộng rãi, những chỉ trích đối với SOX đã lan rộng sau khi Tổng thống George W. Bush ký dự luật thành luật vào tháng 7 năm 2002. Trong khi các giáo sư Butler và Ribstein tập trung vào các chi phí do các quy định áp đặt, những nhà bình luận khác lại lập luận rằng SOX đơn giản là đã không mang lại những lợi ích như đã hứa. Ví dụ, giáo sư James McConvill đã khẳng định rằng “việc chuyển dịch sang các quy tắc chính thức trong nhiều khía cạnh khác nhau của quản trị doanh nghiệp đã không dẫn đến sự cải thiện hữu hình về hiệu quả hoạt động của công ty cũng như của các giám đốc điều hành và cố vấn của công ty.” James A. McConvill, </w:t>
      </w:r>
      <w:r>
        <w:rPr>
          <w:b w:val="0"/>
          <w:i/>
        </w:rPr>
        <w:t>Reflections on the Regulation of Contemporary Corporate Governance</w:t>
      </w:r>
      <w:r>
        <w:rPr>
          <w:b w:val="0"/>
          <w:i w:val="0"/>
        </w:rPr>
        <w:t xml:space="preserve"> , 2 Corp. Gov. L. Rev. 1, 19 (2006). Bằng chứng nào có thể ủng hộ hoặc bác bỏ lập luận này?</w:t>
      </w:r>
    </w:p>
    <w:p>
      <w:pPr>
        <w:spacing w:after="80"/>
      </w:pPr>
      <w:r>
        <w:rPr>
          <w:b w:val="0"/>
          <w:i w:val="0"/>
        </w:rPr>
        <w:t xml:space="preserve">3. Nhiều lập luận mà các giáo sư Butler và Ribstein đưa ra liên quan đến tác động của các yêu cầu của đạo luật đối với các công ty đại chúng nhỏ hơn. Liệu những lo ngại tương tự có áp dụng cho các công ty đại chúng lớn hơn không? Trên thực tế, nhiều điều khoản của SOX đã nhận được sự ủng hộ của Phòng Thương mại. </w:t>
      </w:r>
      <w:r>
        <w:rPr>
          <w:b w:val="0"/>
          <w:i/>
        </w:rPr>
        <w:t>Xem</w:t>
      </w:r>
      <w:r>
        <w:rPr>
          <w:b w:val="0"/>
          <w:i w:val="0"/>
        </w:rPr>
        <w:t xml:space="preserve"> Remarks by Thomas J. Donohue, President, U.S. Chamber of Commerce, SIA (Mar. 3, 2005). Với những lo ngại này, liệu có hợp lý không khi miễn trừ các công ty đại chúng nhỏ khỏi một phần hoặc toàn bộ các yêu cầu của SOX? Quốc hội đã làm đúng như vậy khi ban hành Đạo luật Dodd-Frank vào năm 2010. Mục 989G đã quy định miễn trừ yêu cầu chứng thực trong Mục 404(b) của SOX đối với các công ty không phải là đơn vị nộp báo cáo nhanh (accelerated filer). Về bản chất, các công ty có vốn hóa thị trường dưới 75 triệu đô la không bắt buộc phải có kiểm toán viên chứng thực tính hiệu quả của các quy trình nội bộ của họ. </w:t>
      </w:r>
      <w:r>
        <w:rPr>
          <w:b w:val="0"/>
          <w:i/>
        </w:rPr>
        <w:t>Xem</w:t>
      </w:r>
      <w:r>
        <w:rPr>
          <w:b w:val="0"/>
          <w:i w:val="0"/>
        </w:rPr>
        <w:t xml:space="preserve"> Rule 12b-2, 17 C.F.R. 240.12b-2 (định nghĩa đơn vị nộp báo cáo nhanh).</w:t>
      </w:r>
    </w:p>
    <w:p>
      <w:pPr>
        <w:spacing w:after="80"/>
      </w:pPr>
      <w:r>
        <w:rPr>
          <w:b w:val="0"/>
          <w:i w:val="0"/>
        </w:rPr>
        <w:t xml:space="preserve">4. SOX cũng bắt buộc các công bố thông tin doanh nghiệp mới. Mặc dù những cải cách này có khả năng làm giảm các vụ gian lận báo cáo tài chính, nhưng việc định lượng lợi ích này nổi tiếng là rất khó. Dữ liệu cho thấy các cổ đông đã nộp ít đơn kiện hơn cáo buộc gian lận chứng khoán như vậy, một xu hướng vẫn tiếp diễn ngay cả sau cuộc khủng hoảng tài chính năm 2008. </w:t>
      </w:r>
      <w:r>
        <w:rPr>
          <w:b w:val="0"/>
          <w:i/>
        </w:rPr>
        <w:t>Xem</w:t>
      </w:r>
      <w:r>
        <w:rPr>
          <w:b w:val="0"/>
          <w:i w:val="0"/>
        </w:rPr>
        <w:t xml:space="preserve"> Securities Class Action Clearinghouse, Stanford Law School, http://securities.stanford.edu (bao gồm dữ liệu về số lượng đơn kiện tập thể về chứng khoán được nộp kể từ năm 1997; số lượng nộp trong năm 2009 là thấp nhất trong lịch sử, chỉ trừ năm 2006).</w:t>
      </w:r>
    </w:p>
    <w:p>
      <w:pPr>
        <w:spacing w:after="80"/>
      </w:pPr>
      <w:r>
        <w:rPr>
          <w:b w:val="0"/>
          <w:i w:val="0"/>
        </w:rPr>
        <w:t>5. Phân tích của các giáo sư Butler và Ribstein về SOX so với đánh giá của giáo sư Cheffins về đạo luật này như thế nào? Bạn nghĩ ai đúng? Liệu các sự kiện sau đó, như cuộc khủng hoảng tài chính năm 2008, có ảnh hưởng đến quan điểm của bạn không?</w:t>
      </w:r>
    </w:p>
    <w:p>
      <w:pPr>
        <w:spacing w:after="80"/>
      </w:pPr>
      <w:r>
        <w:rPr>
          <w:b w:val="0"/>
          <w:i w:val="0"/>
        </w:rPr>
        <w:t>—————</w:t>
      </w:r>
    </w:p>
    <w:p>
      <w:pPr>
        <w:spacing w:after="80"/>
      </w:pPr>
      <w:r>
        <w:rPr>
          <w:b w:val="0"/>
          <w:i w:val="0"/>
        </w:rPr>
        <w:t>Các giáo sư Butler và Ribstein nhấn mạnh các chi phí trực tiếp do SOX áp đặt. Trong khi một số khoản chi phí có thể đã tăng lên sau khi Quốc hội ban hành SOX (điều này, đến lượt nó, ảnh hưởng đến khả năng tiếp cận thị trường đại chúng của một số công ty), thì các chi phí khác có thể không dễ định lượng như những người chỉ trích gợi ý.</w:t>
      </w:r>
    </w:p>
    <w:p>
      <w:pPr>
        <w:pStyle w:val="Heading4"/>
      </w:pPr>
      <w:r>
        <w:rPr>
          <w:rFonts w:ascii="Calibri" w:hAnsi="Calibri"/>
          <w:b/>
          <w:i w:val="0"/>
          <w:sz w:val="23"/>
        </w:rPr>
        <w:t xml:space="preserve">J. Robert Brown, Jr., </w:t>
      </w:r>
      <w:r>
        <w:rPr>
          <w:rFonts w:ascii="Calibri" w:hAnsi="Calibri"/>
          <w:b/>
          <w:i/>
          <w:sz w:val="23"/>
        </w:rPr>
        <w:t>Tiểu luận: Phê bình những người phê bình:</w:t>
      </w:r>
      <w:r>
        <w:br/>
      </w:r>
      <w:r>
        <w:rPr>
          <w:rFonts w:ascii="Calibri" w:hAnsi="Calibri"/>
          <w:b/>
          <w:i/>
          <w:sz w:val="23"/>
        </w:rPr>
        <w:t xml:space="preserve"> Sarbanes-Oxley và Quản trị doanh nghiệp kiểu lang băm</w:t>
      </w:r>
    </w:p>
    <w:p>
      <w:pPr>
        <w:spacing w:after="80"/>
      </w:pPr>
      <w:r>
        <w:rPr>
          <w:b w:val="0"/>
          <w:i w:val="0"/>
        </w:rPr>
        <w:t>90 Marq. L. Rev. 309 (2006)</w:t>
      </w:r>
    </w:p>
    <w:p>
      <w:pPr>
        <w:spacing w:after="80"/>
      </w:pPr>
      <w:r>
        <w:rPr>
          <w:b w:val="0"/>
          <w:i w:val="0"/>
        </w:rPr>
        <w:t>Những thay đổi mà SOX thực hiện trong lĩnh vực này đã tạo ra nhóm chi phí rõ ràng nhất phát sinh từ đạo luật và do đó, biến nó thành mục tiêu ưa thích. Mục 404 cùng yêu cầu rằng các kiểm toán viên bên ngoài phải chứng thực hệ thống kiểm soát nội bộ của công ty đã bị gán cho — có lẽ một cách sai lầm — là điều khoản tốn kém nhất được SOX bổ sung. Các nghiên cứu đã cố gắng định lượng những chi phí này, với phần lớn chỉ trích tập trung vào các khoản chi phí không cân xứng mà những công ty nhỏ hơn phải gánh chịu.</w:t>
      </w:r>
    </w:p>
    <w:p>
      <w:pPr>
        <w:spacing w:after="80"/>
      </w:pPr>
      <w:r>
        <w:rPr>
          <w:b w:val="0"/>
          <w:i w:val="0"/>
        </w:rPr>
        <w:t>Trước hết, có vẻ đủ rõ ràng rằng SOX đã dẫn đến việc gia tăng các khoản chi phí thực chi cho các công ty đại chúng. Tuy nhiên, khi định lượng các chi phí này, dữ liệu cho đến nay nhìn chung còn yếu và không đầy đủ. Thứ nhất, phần lớn những gì được sử dụng mang tính giai thoại và thường dựa trên việc ngoại suy từ những mẫu nhỏ. Thứ hai, các con số này phóng đại chi phí thường xuyên của SOX. Chúng thường không tách riêng những khoản chi phí chỉ là sự kiện một lần cần thiết để đưa các công ty vào trạng thái tuân thủ ban đầu — một quá trình lẽ ra sẽ trở nên rẻ hơn theo thời gian.</w:t>
      </w:r>
    </w:p>
    <w:p>
      <w:pPr>
        <w:spacing w:after="80"/>
      </w:pPr>
      <w:r>
        <w:rPr>
          <w:b w:val="0"/>
          <w:i w:val="0"/>
        </w:rPr>
        <w:t>Thứ ba, một số chi phí được quy cho Mục 404 lẽ ra vẫn sẽ phát sinh dù điều khoản này chưa từng được thông qua. Trong chừng mực các hãng kế toán bị buộc phải đảm nhận vai trò người gác cổng xa cách hơn, thật hợp lý khi cho rằng phí của họ sẽ tăng, bất kể có Mục 404 hay không. Hơn nữa, dù vai trò người gác cổng được củng cố bởi các điều khoản khác của SOX, nhiều khả năng là ngay cả khi không có luật, các hãng kế toán, sau hậu quả của Enron và WorldCom, cũng sẽ đi theo hướng này để giảm thiểu rủi ro pháp lý.</w:t>
      </w:r>
    </w:p>
    <w:p>
      <w:pPr>
        <w:spacing w:after="80"/>
      </w:pPr>
      <w:r>
        <w:rPr>
          <w:b w:val="0"/>
          <w:i w:val="0"/>
        </w:rPr>
        <w:t>Tương tự, tác động lên các công ty nhỏ hơn đã bỏ qua thực tế rằng những công ty này nổi tiếng là có hệ thống kế toán nội bộ kém cỏi. Đặc biệt khi quy mô của chúng tăng lên, chúng sẽ cần cải thiện những hệ thống này. Người ta có thể cho rằng SOX đã thúc đẩy một quá trình cải thiện mà ít nhất một phần trong đó lẽ ra đã xảy ra, hoặc đáng lẽ phải xảy ra, dù sao đi nữa.</w:t>
      </w:r>
    </w:p>
    <w:p>
      <w:pPr>
        <w:spacing w:after="80"/>
      </w:pPr>
      <w:r>
        <w:rPr>
          <w:b w:val="0"/>
          <w:i w:val="0"/>
        </w:rPr>
        <w:t>Tập dữ liệu khác được dùng để chứng minh chi phí cao của SOX liên quan đến số lượng công ty “chuyển sang bóng tối” (going dark), tức những công ty để số cổ đông được ghi nhận giảm xuống dưới 300. Hậu quả của việc chuyển sang bóng tối rất nghiêm trọng. Không còn phải tuân theo các yêu cầu báo cáo định kỳ, các công ty này không thể được giao dịch trên một sàn giao dịch hay trên Bulletin Board và bị giới hạn trong các thị trường không được quản lý như pink sheets tự động. Nhìn chung, chỉ những công ty nhỏ nhất với tính thanh khoản hạn chế mới để điều này xảy ra.</w:t>
      </w:r>
    </w:p>
    <w:p>
      <w:pPr>
        <w:spacing w:after="80"/>
      </w:pPr>
      <w:r>
        <w:rPr>
          <w:b w:val="0"/>
          <w:i w:val="0"/>
        </w:rPr>
        <w:t>Số lượng công ty “chuyển sang bóng tối” vì SOX rất khó nhận diện. Một báo cáo của GAO ghi nhận sự gia tăng con số này sau SOX, với một số công ty — không đáng ngạc nhiên — đưa ra một lời giải thích là do chi phí (bao gồm cả những chi phí mà SOX áp đặt) để duy trì tư cách công ty đại chúng. Tuy vậy, các con số này cùng lắm chỉ ở mức khiêm tốn, tăng từ 143 vào năm 2001, năm trọn vẹn cuối cùng trước khi SOX được thông qua, lên 245 vào năm 2004; chưa đến hai phần trăm tổng số công ty đại chúng. Hơn nữa, về quy mô, chúng đều nhỏ và giao dịch trên những thị trường kém thanh khoản nhất.</w:t>
      </w:r>
    </w:p>
    <w:p>
      <w:pPr>
        <w:spacing w:after="80"/>
      </w:pPr>
      <w:r>
        <w:rPr>
          <w:b w:val="0"/>
          <w:i w:val="0"/>
        </w:rPr>
        <w:t>Những người khác đã nghiên cứu các thương vụ mua lại bằng vốn vay (“LBO”) và các giao dịch “chuyển sang tư nhân” (going private). Dữ liệu cho thấy trong vài năm đầu sau khi SOX được thông qua, số lượng các giao dịch này đã tăng lên, dù một lần nữa, các con số vẫn khiêm tốn. Những loại giao dịch này xảy ra vì nhiều lý do khác nhau, với chi phí duy trì tư cách đại chúng chỉ là một yếu tố. Dù SOX chắc chắn đóng một vai trò ở mức biên (cũng như các chi phí liên quan đến việc duy trì tư cách đại chúng nói chung), việc quy sự gia tăng, hoặc thậm chí một phần đáng kể của sự gia tăng, cho đạo luật này là một sự suy diễn quá xa.</w:t>
      </w:r>
    </w:p>
    <w:p>
      <w:pPr>
        <w:spacing w:after="80"/>
      </w:pPr>
      <w:r>
        <w:rPr>
          <w:b w:val="0"/>
          <w:i w:val="0"/>
        </w:rPr>
        <w:t>Các thương vụ LBO thường liên quan đến việc mua lại cổ phần từ các cổ đông đại chúng với giá cao hơn, được tài trợ chủ yếu bằng vay nợ, lấy tài sản của công ty làm đòn bẩy. Do đó, giá cổ phần là biến số then chốt. Ngay cả trước khi SOX được thông qua, giá cổ phần về cơ bản đã sụp đổ, chỉ chạm đáy vào cuối năm 2002. Sự sụt giảm này khiến các giao dịch LBO trở nên khả thi hơn và, như có thể dự đoán, con số đã tăng lên. Giá cổ phần trên NYSE đã phục hồi vào cuối năm 2005 và 2006. Không đáng ngạc nhiên, số lượng LBO dường như đã giảm xuống.</w:t>
      </w:r>
    </w:p>
    <w:p>
      <w:pPr>
        <w:spacing w:after="80"/>
      </w:pPr>
      <w:r>
        <w:rPr>
          <w:b w:val="0"/>
          <w:i w:val="0"/>
        </w:rPr>
        <w:t>Dù dựa vào chi phí liên quan đến việc tuân thủ hay số lượng công ty “chuyển sang bóng tối” hoặc tham gia vào các thương vụ LBO, phân tích này đều ít hoặc không đặt trọng số nào lên những lợi ích gắn với các cải cách. Chắc chắn, việc cải cách kiểm soát nội bộ sẽ không “ngăn chặn” mọi gian lận, dù việc giảm bớt quyền kiểm soát của CEO và CFO đối với tài chính bằng cách trao quyền cho ủy ban kiểm toán và các hãng kế toán sẽ ngăn chặn được một số trường hợp. Liệu chỉ riêng điều đó có đủ để biện minh cho các cải cách và những chi phí kèm theo hay không là một câu hỏi thực nghiệm chưa sẵn sàng để trả lời.</w:t>
      </w:r>
    </w:p>
    <w:p>
      <w:pPr>
        <w:spacing w:after="80"/>
      </w:pPr>
      <w:r>
        <w:rPr>
          <w:b w:val="0"/>
          <w:i w:val="0"/>
        </w:rPr>
        <w:t>Nhưng việc chỉ tập trung vào phòng chống gian lận đã cố ý hạ thấp lợi ích của SOX. Nói rộng hơn, đạo luật này còn gia tăng niềm tin của nhà đầu tư vào hiệu lực của việc công bố thông tin doanh nghiệp, điều nhiều khả năng sẽ theo sau sự cải thiện về tính trung thực của các báo cáo tài chính. Suy cho cùng, phần lớn những sai sót không bắt nguồn từ gian lận. Các công ty có thể có báo cáo tài chính không chính xác vì họ không tuân thủ nghiêm ngặt các yêu cầu hiện hành hoặc không có hệ thống kiểm soát nội bộ đầy đủ.</w:t>
      </w:r>
    </w:p>
    <w:p>
      <w:pPr>
        <w:pStyle w:val="Heading5"/>
      </w:pPr>
      <w:r>
        <w:rPr>
          <w:rFonts w:ascii="Calibri" w:hAnsi="Calibri"/>
          <w:b/>
          <w:i/>
          <w:sz w:val="22"/>
        </w:rPr>
        <w:t>Bình luận và Câu hỏi</w:t>
      </w:r>
    </w:p>
    <w:p>
      <w:pPr>
        <w:spacing w:after="80"/>
      </w:pPr>
      <w:r>
        <w:rPr>
          <w:b w:val="0"/>
          <w:i w:val="0"/>
        </w:rPr>
        <w:t>1. Bài viết của Giáo sư Brown gợi ý điều gì về các khoản chi phí thực chi gắn với những cải cách quản trị doanh nghiệp? Tại sao việc so sánh phí kiểm toán và chi phí kiểm soát nội bộ ngay trước khi SOX được ban hành với những khoản phí và chi phí phát sinh ngay sau khi các yêu cầu của đạo luật có hiệu lực lại có thể phóng đại chi phí trực tiếp thực tế dài hạn của luật?</w:t>
      </w:r>
    </w:p>
    <w:p>
      <w:pPr>
        <w:spacing w:after="80"/>
      </w:pPr>
      <w:r>
        <w:rPr>
          <w:b w:val="0"/>
          <w:i w:val="0"/>
        </w:rPr>
        <w:t>2. Sau khi đã xem xét các lập luận do các Giáo sư Romano, Ribstein và Butler đưa ra cùng những phản biện mà Giáo sư Brown trình bày, bạn thấy những luận điểm nào thuyết phục nhất và vì sao?</w:t>
      </w:r>
    </w:p>
    <w:p>
      <w:pPr>
        <w:spacing w:after="80"/>
      </w:pPr>
      <w:r>
        <w:rPr>
          <w:b w:val="0"/>
          <w:i w:val="0"/>
        </w:rPr>
        <w:t>3. Nếu bạn là một thành viên Quốc hội đang xem xét lại các cải cách của SOX, bạn sẽ muốn xem xét thêm những bằng chứng thực nghiệm nào về chi phí và lợi ích gắn với đạo luật này?</w:t>
      </w:r>
    </w:p>
    <w:p>
      <w:pPr>
        <w:spacing w:after="80"/>
      </w:pPr>
      <w:r>
        <w:rPr>
          <w:b w:val="0"/>
          <w:i w:val="0"/>
        </w:rPr>
        <w:t xml:space="preserve">4. Sau khi khảo sát khoảng 120 bài báo do các học giả về kế toán, kinh doanh và luật viết, những người đã nghiên cứu chi phí và lợi ích của SOX trong giai đoạn 2003-2015, Giáo sư John Coates và Suraj Srinivasan đã xác định rằng “tình trạng nghiên cứu hiện nay đến mức—ngay cả sau mười năm—không thể đưa ra kết luận nào về chi phí và lợi ích ròng của Đạo luật, về ảnh hưởng của nó đối với tài sản ròng của cổ đông, hay các nghiên cứu khác liên quan đến việc đánh giá nó.” John C. Coates IV &amp; Suraj Srinivasan, </w:t>
      </w:r>
      <w:r>
        <w:rPr>
          <w:b w:val="0"/>
          <w:i/>
        </w:rPr>
        <w:t>SOX After Ten Years: A Multidisciplinary Review</w:t>
      </w:r>
      <w:r>
        <w:rPr>
          <w:b w:val="0"/>
          <w:i w:val="0"/>
        </w:rPr>
        <w:t xml:space="preserve"> , 28 Acct. Horizons 627 (2014). Bằng chứng thực tế cho thấy rằng, bất chấp chi phí ban đầu cao để tuân thủ các quy định về kiểm soát nội bộ của đạo luật, các công ty và thị trường vẫn hưởng lợi từ những yêu cầu đó. Thật vậy, SOX dường như đã tạo ra mức độ tin cậy cao hơn đối với báo cáo tài chính của doanh nghiệp. Hơn nữa, các công ty chuyển sang tư nhân thường rất nhỏ, với vốn hóa thị trường thường dưới 30 triệu đô la, và bằng chứng cho thấy SOX làm giảm số lượng IPO là “yếu nhất có thể, và được bù đắp bằng bằng chứng rằng giá IPO đã được cải thiện.”</w:t>
      </w:r>
    </w:p>
    <w:p>
      <w:pPr>
        <w:spacing w:after="80"/>
      </w:pPr>
      <w:r>
        <w:rPr>
          <w:b w:val="0"/>
          <w:i w:val="0"/>
        </w:rPr>
        <w:t>—————</w:t>
      </w:r>
    </w:p>
    <w:p>
      <w:pPr>
        <w:spacing w:after="80"/>
      </w:pPr>
      <w:r>
        <w:rPr>
          <w:b w:val="0"/>
          <w:i w:val="0"/>
        </w:rPr>
        <w:t>Sau cuộc khủng hoảng tín dụng năm 2008 và cuộc khủng hoảng tài chính toàn cầu sau đó, áp lực chính trị gia tăng buộc Quốc hội phải thông qua một vòng cải cách tài chính mới. Được dẫn dắt bởi Thượng nghị sĩ Chris Dodd (D-CT) và Nghị sĩ Barney Frank (D-MA), những nỗ lực lập pháp này đã đạt đỉnh điểm khi Quốc hội thông qua Đạo luật Dodd-Frank vào mùa hè năm 2010. Mặc dù cuộc thảo luận về “quản trị doanh nghiệp lang băm” của SOX vẫn chưa kết thúc, việc ban hành Dodd-Frank đã làm sống lại cuộc tranh luận. Trong đoạn trích sau đây, Giáo sư Bainbridge đề xuất một số dấu hiệu chính cho “quản trị doanh nghiệp lang băm” nhằm hỗ trợ cho lời cáo buộc của ông đối với các cải cách quản trị doanh nghiệp của Dodd-Frank. Khi đọc bài phê bình của Giáo sư Bainbridge, hãy xem xét cách các tiêu chí của ông và việc áp dụng chúng liên quan như thế nào đến đánh giá “quản trị doanh nghiệp lang băm” ban đầu của Giáo sư Romano.</w:t>
      </w:r>
    </w:p>
    <w:p>
      <w:pPr>
        <w:pStyle w:val="Heading4"/>
      </w:pPr>
      <w:r>
        <w:rPr>
          <w:rFonts w:ascii="Calibri" w:hAnsi="Calibri"/>
          <w:b/>
          <w:i w:val="0"/>
          <w:sz w:val="23"/>
        </w:rPr>
        <w:t xml:space="preserve">Stephen M. Bainbridge, </w:t>
      </w:r>
      <w:r>
        <w:rPr>
          <w:rFonts w:ascii="Calibri" w:hAnsi="Calibri"/>
          <w:b/>
          <w:i/>
          <w:sz w:val="23"/>
        </w:rPr>
        <w:t>Dodd-Frank:</w:t>
      </w:r>
      <w:r>
        <w:br/>
      </w:r>
      <w:r>
        <w:rPr>
          <w:rFonts w:ascii="Calibri" w:hAnsi="Calibri"/>
          <w:b/>
          <w:i/>
          <w:sz w:val="23"/>
        </w:rPr>
        <w:t xml:space="preserve"> Quack Federal Corporate Governance Round II</w:t>
      </w:r>
    </w:p>
    <w:p>
      <w:pPr>
        <w:spacing w:after="80"/>
      </w:pPr>
      <w:r>
        <w:rPr>
          <w:b w:val="0"/>
          <w:i/>
        </w:rPr>
        <w:t>có tại</w:t>
      </w:r>
      <w:r>
        <w:rPr>
          <w:b w:val="0"/>
          <w:i w:val="0"/>
        </w:rPr>
        <w:t xml:space="preserve"> http://ssrn.com/abstract=1673575 (2010)</w:t>
      </w:r>
    </w:p>
    <w:p>
      <w:pPr>
        <w:spacing w:after="80"/>
      </w:pPr>
      <w:r>
        <w:rPr>
          <w:b w:val="0"/>
          <w:i w:val="0"/>
        </w:rPr>
        <w:t>Để đáp lại sự phẫn nộ của công chúng do thua lỗ trên thị trường chứng khoán và tình trạng gian lận dường như tràn lan, Quốc hội đã thông qua “Đạo luật Cải cách Kế toán Công ty Đại chúng và Bảo vệ Nhà đầu tư” năm 2002 (thường được gọi là Đạo luật Sarbanes-Oxley hay SOX). Khi Tổng thống George W. Bush ký Đạo luật này vào cuối tháng đó, ông đã ca ngợi nó vì đã thực hiện “những cải cách sâu rộng nhất đối với hoạt động kinh doanh của Mỹ kể từ thời Franklin Delano Roosevelt.” Ngược lại, giáo sư luật Yale Roberta Romano lại chỉ trích SOX là “quản trị doanh nghiệp lang băm.”</w:t>
      </w:r>
    </w:p>
    <w:p>
      <w:pPr>
        <w:spacing w:after="80"/>
      </w:pPr>
      <w:r>
        <w:rPr>
          <w:b w:val="0"/>
          <w:i w:val="0"/>
        </w:rPr>
        <w:t>Khi nền kinh tế trải qua một giai đoạn tồi tệ hơn nữa vào cuối thập kỷ, việc một vòng quy định mới sẽ xuất hiện là điều hoàn toàn có thể dự đoán được. Câu chuyện về sự vỡ bong bóng nhà đất, cuộc khủng hoảng cho vay thế chấp dưới chuẩn và Đại Suy thoái quá phức tạp để kể lại ở đây. Chỉ cần nói rằng, cũng như trường hợp của SOX, sự phẫn nộ của quần chúng đã thúc đẩy Quốc hội thông qua Đạo luật Cải cách Phố Wall và Bảo vệ Người tiêu dùng năm 2010 (“Dodd-Frank” hay “Đạo luật Dodd-Frank”).</w:t>
      </w:r>
    </w:p>
    <w:p>
      <w:pPr>
        <w:spacing w:after="80"/>
      </w:pPr>
      <w:r>
        <w:rPr>
          <w:b w:val="0"/>
          <w:i w:val="0"/>
        </w:rPr>
        <w:t>Mặc dù 2319 trang của Dodd-Frank vượt trội SOX cả về quy mô lẫn phạm vi, phần lớn Đạo luật lại đề cập đến các vấn đề khác ngoài quản trị doanh nghiệp. Các điều khoản chính liên quan đến câu hỏi của chúng ta gồm sáu điều:</w:t>
      </w:r>
    </w:p>
    <w:p>
      <w:pPr>
        <w:spacing w:after="80"/>
        <w:ind w:left="360"/>
      </w:pPr>
      <w:r>
        <w:t xml:space="preserve">1. </w:t>
      </w:r>
      <w:r>
        <w:rPr>
          <w:b w:val="0"/>
          <w:i w:val="0"/>
        </w:rPr>
        <w:t>Yêu cầu cái gọi là “say on pay” của Mục 951, buộc phải có các cuộc bỏ phiếu tư vấn định kỳ của cổ đông về thù lao điều hành.</w:t>
      </w:r>
    </w:p>
    <w:p>
      <w:pPr>
        <w:spacing w:after="80"/>
        <w:ind w:left="360"/>
      </w:pPr>
      <w:r>
        <w:t xml:space="preserve">2. </w:t>
      </w:r>
      <w:r>
        <w:rPr>
          <w:b w:val="0"/>
          <w:i w:val="0"/>
        </w:rPr>
        <w:t>Yêu cầu của Mục 952 rằng các ủy ban thù lao của các công ty báo cáo phải hoàn toàn độc lập và các ủy ban đó phải được giao một số trách nhiệm giám sát cụ thể nhất định.</w:t>
      </w:r>
    </w:p>
    <w:p>
      <w:pPr>
        <w:spacing w:after="80"/>
        <w:ind w:left="360"/>
      </w:pPr>
      <w:r>
        <w:t xml:space="preserve">3. </w:t>
      </w:r>
      <w:r>
        <w:rPr>
          <w:b w:val="0"/>
          <w:i w:val="0"/>
        </w:rPr>
        <w:t>Chỉ đạo của Mục 953 rằng SEC yêu cầu các công ty cung cấp thêm thông tin công bố liên quan đến thù lao điều hành.</w:t>
      </w:r>
    </w:p>
    <w:p>
      <w:pPr>
        <w:spacing w:after="80"/>
        <w:ind w:left="360"/>
      </w:pPr>
      <w:r>
        <w:t xml:space="preserve">4. </w:t>
      </w:r>
      <w:r>
        <w:rPr>
          <w:b w:val="0"/>
          <w:i w:val="0"/>
        </w:rPr>
        <w:t>Việc Mục 954 mở rộng các quy định của SOX về việc thu hồi thù lao điều hành.</w:t>
      </w:r>
    </w:p>
    <w:p>
      <w:pPr>
        <w:spacing w:after="80"/>
        <w:ind w:left="360"/>
      </w:pPr>
      <w:r>
        <w:t xml:space="preserve">5. </w:t>
      </w:r>
      <w:r>
        <w:rPr>
          <w:b w:val="0"/>
          <w:i w:val="0"/>
        </w:rPr>
        <w:t>Khẳng định của Mục 971 rằng SEC có thẩm quyền ban hành cái gọi là quy định “tiếp cận cổ đông”, theo đó cổ đông sẽ được phép sử dụng bản tuyên bố ủy quyền của công ty để đề cử ứng viên vào hội đồng quản trị.</w:t>
      </w:r>
    </w:p>
    <w:p>
      <w:pPr>
        <w:spacing w:after="80"/>
        <w:ind w:left="360"/>
      </w:pPr>
      <w:r>
        <w:t xml:space="preserve">6. </w:t>
      </w:r>
      <w:r>
        <w:rPr>
          <w:b w:val="0"/>
          <w:i w:val="0"/>
        </w:rPr>
        <w:t>Yêu cầu của Mục 972 rằng các công ty phải công bố liệu cùng một người có nắm giữ cả vị trí CEO và Chủ tịch Hội đồng quản trị hay không và lý do tại sao họ làm hoặc không làm như vậy.</w:t>
      </w:r>
    </w:p>
    <w:p>
      <w:pPr>
        <w:spacing w:after="80"/>
      </w:pPr>
      <w:r>
        <w:rPr>
          <w:b w:val="0"/>
          <w:i w:val="0"/>
        </w:rPr>
        <w:t>Câu hỏi đặt ra trước chúng ta là liệu các điều khoản quản trị doanh nghiệp của Dodd-Frank, giống như những điều khoản của SOX, có phải chỉ là trò lang băm hay không.</w:t>
      </w:r>
    </w:p>
    <w:p>
      <w:pPr>
        <w:spacing w:after="80"/>
      </w:pPr>
      <w:r>
        <w:rPr>
          <w:b w:val="0"/>
          <w:i w:val="0"/>
        </w:rPr>
        <w:t>[Q]uy định quản trị doanh nghiệp lang băm sẽ có một số hoặc tất cả các đặc điểm sau:</w:t>
      </w:r>
    </w:p>
    <w:p>
      <w:pPr>
        <w:spacing w:after="80"/>
        <w:ind w:left="360"/>
      </w:pPr>
      <w:r>
        <w:t xml:space="preserve">1. </w:t>
      </w:r>
      <w:r>
        <w:rPr>
          <w:b w:val="0"/>
          <w:i w:val="0"/>
        </w:rPr>
        <w:t>Đó là một đạo luật bong bóng, được ban hành để đối phó với một biến cố kinh tế tiêu cực lớn.</w:t>
      </w:r>
    </w:p>
    <w:p>
      <w:pPr>
        <w:spacing w:after="80"/>
        <w:ind w:left="360"/>
      </w:pPr>
      <w:r>
        <w:t xml:space="preserve">2. </w:t>
      </w:r>
      <w:r>
        <w:rPr>
          <w:b w:val="0"/>
          <w:i w:val="0"/>
        </w:rPr>
        <w:t>Nó được ban hành trong một môi trường khủng hoảng.</w:t>
      </w:r>
    </w:p>
    <w:p>
      <w:pPr>
        <w:spacing w:after="80"/>
        <w:ind w:left="360"/>
      </w:pPr>
      <w:r>
        <w:t xml:space="preserve">3. </w:t>
      </w:r>
      <w:r>
        <w:rPr>
          <w:b w:val="0"/>
          <w:i w:val="0"/>
        </w:rPr>
        <w:t>Đó là phản ứng trước làn sóng phản đối dân túy chống lại các tập đoàn và/hoặc thị trường.</w:t>
      </w:r>
    </w:p>
    <w:p>
      <w:pPr>
        <w:spacing w:after="80"/>
        <w:ind w:left="360"/>
      </w:pPr>
      <w:r>
        <w:t xml:space="preserve">4. </w:t>
      </w:r>
      <w:r>
        <w:rPr>
          <w:b w:val="0"/>
          <w:i w:val="0"/>
        </w:rPr>
        <w:t>Nó được thông qua ở cấp liên bang thay vì cấp tiểu bang.</w:t>
      </w:r>
    </w:p>
    <w:p>
      <w:pPr>
        <w:spacing w:after="80"/>
        <w:ind w:left="360"/>
      </w:pPr>
      <w:r>
        <w:t xml:space="preserve">5. </w:t>
      </w:r>
      <w:r>
        <w:rPr>
          <w:b w:val="0"/>
          <w:i w:val="0"/>
        </w:rPr>
        <w:t>Nó chuyển giao quyền lực từ các tiểu bang sang chính phủ liên bang.</w:t>
      </w:r>
    </w:p>
    <w:p>
      <w:pPr>
        <w:spacing w:after="80"/>
        <w:ind w:left="360"/>
      </w:pPr>
      <w:r>
        <w:t xml:space="preserve">6. </w:t>
      </w:r>
      <w:r>
        <w:rPr>
          <w:b w:val="0"/>
          <w:i w:val="0"/>
        </w:rPr>
        <w:t>Các nhóm lợi ích mạnh ở cấp liên bang nhưng yếu ở cấp Delaware ủng hộ nó.</w:t>
      </w:r>
    </w:p>
    <w:p>
      <w:pPr>
        <w:spacing w:after="80"/>
        <w:ind w:left="360"/>
      </w:pPr>
      <w:r>
        <w:t xml:space="preserve">7. </w:t>
      </w:r>
      <w:r>
        <w:rPr>
          <w:b w:val="0"/>
          <w:i w:val="0"/>
        </w:rPr>
        <w:t>Thông thường, đó không phải là một đề xuất mới lạ, mà là một mục trong chương trình nghị sự lâu dài của một nhóm lợi ích quyền lực nào đó.</w:t>
      </w:r>
    </w:p>
    <w:p>
      <w:pPr>
        <w:spacing w:after="80"/>
        <w:ind w:left="360"/>
      </w:pPr>
      <w:r>
        <w:t xml:space="preserve">8. </w:t>
      </w:r>
      <w:r>
        <w:rPr>
          <w:b w:val="0"/>
          <w:i w:val="0"/>
        </w:rPr>
        <w:t>Bằng chứng thực nghiệm được viện dẫn để ủng hộ đề xuất này, xét cho cùng, là không rõ ràng và thường cho thấy đề xuất đó là không khôn ngoan.</w:t>
      </w:r>
    </w:p>
    <w:p>
      <w:pPr>
        <w:spacing w:after="80"/>
      </w:pPr>
      <w:r>
        <w:rPr>
          <w:b w:val="0"/>
          <w:i w:val="0"/>
        </w:rPr>
        <w:t>Toàn bộ Dodd-Frank đáp ứng bốn tiêu chí đầu tiên. Nó được ban hành sau làn sóng phản đối dân túy mạnh mẽ xuất phát từ một trong những cuộc khủng hoảng kinh tế tồi tệ nhất trong lịch sử hiện đại. Như chúng ta sẽ thấy trong Phần tiếp theo, mỗi điều khoản về quản trị doanh nghiệp đều thỏa mãn tất cả hoặc phần lớn các tiêu chí còn lại.</w:t>
      </w:r>
    </w:p>
    <w:p>
      <w:pPr>
        <w:spacing w:after="80"/>
      </w:pPr>
      <w:r>
        <w:rPr>
          <w:b w:val="0"/>
          <w:i w:val="0"/>
        </w:rPr>
        <w:t>Trò lang băm Vòng II</w:t>
      </w:r>
    </w:p>
    <w:p>
      <w:pPr>
        <w:spacing w:after="80"/>
      </w:pPr>
      <w:r>
        <w:rPr>
          <w:b w:val="0"/>
          <w:i w:val="0"/>
        </w:rPr>
        <w:t>So với một số đề xuất được đưa ra tại Quốc hội sau cuộc khủng hoảng tài chính 2007–2008, các điều khoản về quản trị doanh nghiệp của Dodd-Frank tương đối khiêm tốn. Chẳng hạn, Dự luật Quyền của Cổ đông của các Thượng nghị sĩ Maria Cantwell và Charles Schumer sẽ buộc phải sử dụng hình thức bỏ phiếu theo đa số trong việc bầu chọn giám đốc. Dự luật đó cũng sẽ cấm việc sử dụng hội đồng quản trị luân phiên (staggered boards of directors) và yêu cầu thành lập các ủy ban quản lý rủi ro ở cấp hội đồng quản trị. Không có điều khoản nào trong số này lọt vào Đạo luật Dodd-Frank cuối cùng. Các điều khoản khác của dự luật Cantwell-Schumer chỉ lọt vào Dodd-Frank dưới một hình thức bị làm yếu đi rất nhiều. Thay vì chỉ thị cho SEC thông qua một quy tắc tiếp cận ủy quyền (proxy access rule), Dodd-Frank chỉ khẳng định rằng SEC có thẩm quyền làm như vậy. Thay vì yêu cầu các công ty tách biệt vị trí CEO và Chủ tịch Hội đồng Quản trị, với người sau là một giám đốc độc lập, Dodd-Frank chỉ yêu cầu các công ty công bố chính sách của họ liên quan đến việc bổ nhiệm các vị trí đó. Tuy vậy, câu hỏi vẫn còn đó là liệu những điều khoản còn trụ lại được có khả năng cải thiện quản trị doanh nghiệp hay không.</w:t>
      </w:r>
    </w:p>
    <w:p>
      <w:pPr>
        <w:spacing w:after="80"/>
      </w:pPr>
      <w:r>
        <w:rPr>
          <w:b w:val="0"/>
          <w:i w:val="0"/>
        </w:rPr>
        <w:t>Công bố mang tính trị liệu</w:t>
      </w:r>
    </w:p>
    <w:p>
      <w:pPr>
        <w:spacing w:after="80"/>
      </w:pPr>
      <w:r>
        <w:rPr>
          <w:b w:val="0"/>
          <w:i w:val="0"/>
        </w:rPr>
        <w:t>Các công bố mang tính trị liệu không nhằm mục đích cung cấp thông tin cho nhà đầu tư. Thay vào đó, chúng nhằm tác động đến hành vi thực chất của doanh nghiệp. Hai điều khoản như vậy được chứa trong Dodd-Frank.</w:t>
      </w:r>
    </w:p>
    <w:p>
      <w:pPr>
        <w:spacing w:after="80"/>
      </w:pPr>
      <w:r>
        <w:rPr>
          <w:b w:val="0"/>
          <w:i/>
        </w:rPr>
        <w:t>Công bố về Thù lao</w:t>
      </w:r>
    </w:p>
    <w:p>
      <w:pPr>
        <w:spacing w:after="80"/>
      </w:pPr>
      <w:r>
        <w:rPr>
          <w:b w:val="0"/>
          <w:i w:val="0"/>
        </w:rPr>
        <w:t>Mục 953 yêu cầu rằng bản tuyên bố ủy quyền hàng năm của mỗi công ty báo cáo phải chứa một phần trình bày rõ ràng về mối quan hệ giữa thù lao điều hành và kết quả tài chính của tổ chức phát hành. Điều này còn yêu cầu công bố “mức trung vị của tổng thù lao hàng năm của tất cả nhân viên của tổ chức phát hành,” ngoại trừ CEO, tổng thù lao hàng năm của CEO, và tỷ lệ giữa hai khoản tiền này. Yêu cầu này được dự đoán là cực kỳ nặng nề: [Nó] có nghĩa là với mỗi nhân viên, công ty sẽ phải tính toán lương, tiền thưởng, các khoản thưởng cổ phiếu, các khoản thưởng quyền chọn, thù lao theo kế hoạch khuyến khích không dựa trên vốn chủ sở hữu, thay đổi giá trị lương hưu và thu nhập từ thù lao hoãn lại không đủ tiêu chuẩn, và tất cả các khoản thù lao khác (ví dụ: các đặc quyền). Thông tin này chắc chắn sẽ cực kỳ tốn thời gian để thu thập và phân tích, khiến một công ty có hàng nghìn nhân viên gần như không thể tuân thủ mục này của Đạo luật.</w:t>
      </w:r>
    </w:p>
    <w:p>
      <w:pPr>
        <w:spacing w:after="80"/>
      </w:pPr>
      <w:r>
        <w:rPr>
          <w:b w:val="0"/>
          <w:i w:val="0"/>
        </w:rPr>
        <w:t>Ủy ban Thượng viện đã viện dẫn Hội đồng Nhà đầu tư Tổ chức (Council of Institutional Investors - CII) là đơn vị đã ủng hộ điều khoản này. Vị thế của CII như một hiệp hội thương mại trên thực tế cho các nhà đầu tư lớn, có tính hoạt động tích cực, khiến nó trở thành một doanh nhân chính sách quan trọng. Tuy nhiên, ngoài việc là một phần trong chương trình nghị sự của một nhóm lợi ích then chốt, điều khoản này cũng nên được nhìn nhận như một phần của làn sóng phản đối dân túy chống lại các tập đoàn và thị trường. “Đạo luật này khai thác sự phẫn nộ của công chúng trước khoảng cách ngày càng lớn giữa thu nhập đang chững lại của tầng lớp trung lưu Mỹ và mức thù lao hàng triệu đô la gần như miễn nhiễm với suy thoái của vị giám đốc doanh nghiệp điển hình.”</w:t>
      </w:r>
    </w:p>
    <w:p>
      <w:pPr>
        <w:spacing w:after="80"/>
      </w:pPr>
      <w:r>
        <w:rPr>
          <w:b w:val="0"/>
          <w:i/>
        </w:rPr>
        <w:t>Công bố Cấu trúc Hội đồng Quản trị</w:t>
      </w:r>
    </w:p>
    <w:p>
      <w:pPr>
        <w:spacing w:after="80"/>
      </w:pPr>
      <w:r>
        <w:rPr>
          <w:b w:val="0"/>
          <w:i w:val="0"/>
        </w:rPr>
        <w:t>Mục 973 chỉ đạo SEC ban hành một quy định mới yêu cầu các công ty báo cáo phải công bố liệu cùng một người hay những người khác nhau nắm giữ các vị trí CEO và Chủ tịch Hội đồng Quản trị. Trong cả hai trường hợp, công ty phải công bố lý do của mình. “Luật pháp không ủng hộ cũng không cấm cả hai phương thức.” Nếu đây là hiệu ứng cuối cùng mà Mục 973 tạo ra, thì nó sẽ không có sự hỗ trợ thuyết phục nào từ các tài liệu thực nghiệm. Một nghiên cứu của Olubunmi Faleye, chẳng hạn, tìm thấy bằng chứng ủng hộ giả thuyết rằng các công ty chủ động cân nhắc chi phí và lợi ích của các cấu trúc lãnh đạo thay thế trong hoàn cảnh riêng của họ và kết luận rằng việc yêu cầu một mô hình đồng nhất tách biệt vị trí CEO và Chủ tịch có thể phản tác dụng. Một nghiên cứu khác của James Brickley, Jeffrey Coles và Gregg A. Jarrell tìm thấy “sự ủng hộ ban đầu cho giả thuyết rằng chi phí tách biệt lớn hơn lợi ích đối với hầu hết các công ty.”</w:t>
      </w:r>
    </w:p>
    <w:p>
      <w:pPr>
        <w:spacing w:after="80"/>
      </w:pPr>
      <w:r>
        <w:rPr>
          <w:b w:val="0"/>
          <w:i w:val="0"/>
        </w:rPr>
        <w:t>Theo quan điểm của tôi, những người ủng hộ việc bắt buộc có một Chủ tịch Hội đồng Quản trị không điều hành đã phóng đại lợi ích của việc tách biệt các vị trí, trong khi đánh giá thấp hoặc thậm chí bỏ qua chi phí của việc làm đó. Michael Jensen đã xác định những lợi ích tiềm năng trong Bài phát biểu Tổng thống năm 1993 của ông trước Hiệp hội Tài chính Hoa Kỳ, lập luận rằng: “Chức năng của chủ tịch là điều hành các cuộc họp hội đồng quản trị và giám sát quá trình tuyển dụng, sa thải, đánh giá và trả thù lao cho CEO. . . . Do đó, để hội đồng quản trị hoạt động hiệu quả, điều quan trọng là phải tách biệt vị trí CEO và Chủ tịch.” Tuy nhiên, trên thực tế, việc giám sát “tuyển dụng, sa thải, đánh giá và trả thù lao cho CEO” là công việc của toàn bộ hội đồng quản trị, chứ không chỉ của Chủ tịch Hội đồng Quản trị.</w:t>
      </w:r>
    </w:p>
    <w:p>
      <w:pPr>
        <w:spacing w:after="80"/>
      </w:pPr>
      <w:r>
        <w:rPr>
          <w:b w:val="0"/>
          <w:i w:val="0"/>
        </w:rPr>
        <w:t>Chắc chắn rằng, trong nhiều công ty, Chủ tịch Hội đồng Quản trị được trao những quyền hạn đặc biệt để triệu tập các cuộc họp bất thường, thiết lập chương trình nghị sự của hội đồng quản trị, và những việc tương tự. Ở những công ty như vậy, một người vừa là CEO vừa là Chủ tịch thực sự nắm giữ những quyền lực có thể cản trở việc hội đồng quản trị giám sát hiệu suất của chính họ. Tuy nhiên, ở những công ty như vậy, vấn đề không phải là một người nắm giữ cả hai vị trí; vấn đề là các thành viên độc lập của hội đồng quản trị đã trao quá nhiều quyền lực cho Chủ tịch. Giải pháp là ban hành các điều lệ cho phép các thành viên hội đồng quản trị độc lập triệu tập các cuộc họp bất thường, yêu cầu họ họp định kỳ mà không có sự hiện diện của các nhà quản lý, và những việc tương tự.</w:t>
      </w:r>
    </w:p>
    <w:p>
      <w:pPr>
        <w:spacing w:after="80"/>
      </w:pPr>
      <w:r>
        <w:rPr>
          <w:b w:val="0"/>
          <w:i w:val="0"/>
        </w:rPr>
        <w:t>Chuyển từ khía cạnh lợi ích sang khía cạnh chi phí của phương trình, ngay cả khi việc tách biệt các vị trí giúp hội đồng quản trị dễ dàng giám sát CEO hơn, thì hội đồng quản trị giờ đây lại có vấn đề mới là phải giám sát một Chủ tịch không điều hành đầy quyền lực. Hội đồng quản trị giờ đây phải nỗ lực để đảm bảo rằng một Chủ tịch như vậy không lợi dụng vị trí của mình để trục lợi từ công ty và hơn nữa, rằng Chủ tịch đó dành đủ nỗ lực cần thiết để thực hiện hiệu quả các nhiệm vụ của vị trí này. Hội đồng quản trị cũng phải đảm bảo rằng không nảy sinh sự cạnh tranh rối loạn chức năng giữa Chủ tịch và CEO, cả hai đều được cho là những cá nhân đầy tham vọng và có năng lực cao. Nói cách khác, nếu vấn đề là “ai giám sát người giám sát?”, thì việc tách biệt hai vị trí chỉ đơn giản tạo ra một người giám sát thứ hai cũng cần phải được giám sát. Ngoài ra, một Chủ tịch không điều hành chắc chắn sẽ ít được thông tin đầy đủ hơn so với CEO. Do đó, một Chủ tịch như vậy sẽ ít có khả năng dẫn dắt hội đồng quản trị trong việc thực hiện các vai trò cố vấn và kết nối của mình. Tương tự, một Chủ tịch như vậy sẽ kém hiệu quả hơn trong việc dẫn dắt hội đồng quản trị giám sát các nhà quản lý cấp cao dưới quyền CEO, vì Chủ tịch sẽ không hiểu rõ những nhà quản lý đó như CEO.</w:t>
      </w:r>
    </w:p>
    <w:p>
      <w:pPr>
        <w:spacing w:after="80"/>
      </w:pPr>
      <w:r>
        <w:rPr>
          <w:b w:val="0"/>
          <w:i w:val="0"/>
        </w:rPr>
        <w:t>Quyền Truy cập Ủy quyền</w:t>
      </w:r>
    </w:p>
    <w:p>
      <w:pPr>
        <w:spacing w:after="80"/>
      </w:pPr>
      <w:r>
        <w:rPr>
          <w:b w:val="0"/>
          <w:i w:val="0"/>
        </w:rPr>
        <w:t>Dodd-Frank § 971 khẳng định rằng SEC có thẩm quyền ban hành các quy định về quyền truy cập ủy quyền được đề xuất. Nó không yêu cầu SEC phải làm như vậy. Tuy nhiên, nếu SEC làm như vậy, Quốc hội dự định rằng SEC “nên có quyền tự do rộng rãi trong việc thiết lập các điều khoản của quyền truy cập ủy quyền đó.” Cụ thể, § 971 trao quyền rõ ràng cho SEC để miễn trừ “một tổ chức phát hành hoặc một nhóm tổ chức phát hành” khỏi bất kỳ quy định nào về quyền truy cập ủy quyền và đặc biệt yêu cầu SEC “xem xét, trong số các cân nhắc khác, liệu” quyền truy cập ủy quyền có “gây gánh nặng không tương xứng cho các tổ chức phát hành nhỏ” hay không. Quyền truy cập ủy quyền là mục tiêu lâu dài của các nhà hoạt động cổ đông, đặc biệt là trong cộng đồng nhà đầu tư tổ chức. Không ngạc nhiên, nó được ủng hộ bởi các doanh nhân chính sách từ CII và “[m]ột liên minh các quan chức nhà nước phụ trách đầu tư công, AFSCME, CalPERS và Nhóm Công tác Nhà đầu tư. . . .”</w:t>
      </w:r>
    </w:p>
    <w:p>
      <w:pPr>
        <w:spacing w:after="80"/>
      </w:pPr>
      <w:r>
        <w:rPr>
          <w:b w:val="0"/>
          <w:i w:val="0"/>
        </w:rPr>
        <w:t>Vì tác động của quyền truy cập ủy quyền sẽ là tăng số lượng danh sách ứng viên ngắn, mặc dù ở mức độ không chắc chắn, tác động của nó đối với quản trị công ty có thể sẽ tương tự như tác động của bỏ phiếu tích lũy. Cả hai đều dẫn đến các hội đồng quản trị bị chia rẽ đại diện cho các nhóm cử tri khác nhau. Đổi lại, trong khi một số công ty có thể hưởng lợi từ sự hiện diện của các quan điểm hoài nghi từ bên ngoài, các hội đồng quản trị bị chia rẽ có khả năng sẽ bị chi phối bởi các mối quan hệ đối kháng giữa khối đa số và thiểu số các ứng viên cổ đông.</w:t>
      </w:r>
    </w:p>
    <w:p>
      <w:pPr>
        <w:spacing w:after="80"/>
      </w:pPr>
      <w:r>
        <w:rPr>
          <w:b w:val="0"/>
          <w:i w:val="0"/>
        </w:rPr>
        <w:t>Do đó, những tác động có thể xảy ra của quyền truy cập ủy quyền sẽ không phải là quản trị tốt hơn. Nhiều khả năng là sự gia tăng xung đột giữa các cá nhân (trái ngược với xung đột nhận thức hữu ích hơn). Có thể sẽ có sự giảm sút trong các mối quan hệ dựa trên niềm tin, vốn là nguyên nhân khiến việc giám sát ngang trong hội đồng quản trị tạo ra các ràng buộc hiệu quả đối với chi phí đại diện. Cũng có thể có sự gia tăng việc khối đa số sử dụng các cuộc họp kín trước cuộc họp và giảm dòng thông tin đến toàn bộ hội đồng quản trị.</w:t>
      </w:r>
    </w:p>
    <w:p>
      <w:pPr>
        <w:spacing w:after="80"/>
      </w:pPr>
      <w:r>
        <w:rPr>
          <w:b w:val="0"/>
          <w:i w:val="0"/>
        </w:rPr>
        <w:t>Tóm lại, quyền truy cập ủy quyền là chính sách công tồi, không được bằng chứng thực nghiệm ủng hộ, và là dự án tâm huyết của một nhóm lợi ích quyền lực. Như chúng ta đã thấy, đây là những đặc điểm của quản trị công ty lang băm.</w:t>
      </w:r>
    </w:p>
    <w:p>
      <w:pPr>
        <w:spacing w:after="80"/>
      </w:pPr>
      <w:r>
        <w:rPr>
          <w:b w:val="0"/>
          <w:i w:val="0"/>
        </w:rPr>
        <w:t>Thù lao Điều hành</w:t>
      </w:r>
    </w:p>
    <w:p>
      <w:pPr>
        <w:spacing w:after="80"/>
      </w:pPr>
      <w:r>
        <w:rPr>
          <w:b w:val="0"/>
          <w:i w:val="0"/>
        </w:rPr>
        <w:t>Mục 952 chứa một số điều khoản liên quan đến các ủy ban thù lao, bao gồm một chỉ thị yêu cầu SEC chỉ đạo các tổ chức tự quản lý (SRO) ban hành các tiêu chuẩn niêm yết yêu cầu mỗi thành viên của ủy ban thù lao của tổ chức phát hành phải độc lập. Điều khoản này được ủng hộ bởi CII, tổ chức lập luận rằng dự luật nên “đảm bảo rằng các ủy ban thù lao không có xung đột và nhận được lời khuyên khách quan.” Một lần nữa chúng ta lại thấy một mô hình đồng nhất khác bị áp đặt lên tất cả các công ty đại chúng. Một lần nữa, mệnh lệnh này thiếu sự hỗ trợ từ bằng chứng thực nghiệm. Hầu hết các nghiên cứu thực nghiệm đã bác bỏ giả thuyết rằng tính độc lập của ủy ban thù lao có tương quan thuận với hiệu suất công ty hoặc với các thực tiễn thù lao CEO được cải thiện.</w:t>
      </w:r>
    </w:p>
    <w:p>
      <w:pPr>
        <w:spacing w:after="80"/>
      </w:pPr>
      <w:r>
        <w:rPr>
          <w:b w:val="0"/>
          <w:i w:val="0"/>
        </w:rPr>
        <w:t>Dodd-Frank § 954 bổ sung một § 10D mới vào Đạo luật Giao dịch Chứng khoán, theo đó SEC được chỉ thị chỉ đạo các SRO yêu cầu các công ty niêm yết của họ công bố các chính sách công ty về việc thu hồi thù lao dựa trên khuyến khích đã trả cho các quan chức điều hành hiện tại hoặc trước đây trong trường hợp phải lập lại báo cáo tài chính của công ty do không tuân thủ trọng yếu bất kỳ yêu cầu báo cáo tài chính nào của luật chứng khoán liên bang. Các tổ chức phát hành không ban hành chính sách như vậy phải bị hủy niêm yết. Chính sách cần thiết phải quy định việc thu hồi bất kỳ khoản thù lao “vượt mức” nào mà bất kỳ quan chức điều hành như vậy đã nhận được trong khoảng thời gian ba năm trước ngày tổ chức phát hành buộc phải lập lại báo cáo tài chính. Thù lao vượt mức được định nghĩa là chênh lệch giữa số tiền mà quan chức điều hành được trả và số tiền mà họ lẽ ra sẽ nhận được nếu báo cáo tài chính chính xác.</w:t>
      </w:r>
    </w:p>
    <w:p>
      <w:pPr>
        <w:spacing w:after="80"/>
      </w:pPr>
      <w:r>
        <w:rPr>
          <w:b w:val="0"/>
          <w:i w:val="0"/>
        </w:rPr>
        <w:t>Mục 954 có những sai sót nghiêm trọng ở một số khía cạnh. Một mặt, như một biện pháp răn đe đối với gian lận và sai sót trong báo cáo tài chính, nó bao trùm quá rộng. Nó bao gồm tất cả các quan chức điều hành, không xét đến trách nhiệm hay không trách nhiệm của họ đối với báo cáo tài chính được đề cập. Do đó, một số quan chức điều hành vô tội sẽ phải mất đi một khoản thù lao đáng kể. Mặt khác, nó lại bao trùm quá hẹp. Các quan chức điều hành bao gồm “chủ tịch, bất kỳ phó chủ tịch nào . . . phụ trách một đơn vị kinh doanh, bộ phận hoặc chức năng chính. . ., bất kỳ quan chức nào khác thực hiện chức năng hoạch định chính sách hoặc bất kỳ người nào khác thực hiện các chức năng hoạch định chính sách tương tự. . . .” Như ủy ban Thượng viện đã thừa nhận, chính sách do đó chỉ áp dụng cho một “số lượng rất hạn chế nhân viên. . . .” Vấn đề với giới hạn này là “các quyết định của những cá nhân như nhà giao dịch tự doanh, những người có thể không nằm trong số” các quan chức điều hành của tổ chức phát hành, tuy nhiên “có thể ảnh hưởng tiêu cực, thậm chí làm sụp đổ, một công ty.” Một mối lo ngại khác là khả năng cao xảy ra những hậu quả ngoài ý muốn. Để đối phó với điều khoản thu hồi hẹp hơn nhiều của SOX, “các công ty đã tăng thù lao cố định, không thể mất, và giảm thù lao khuyến khích, qua đó cung cấp bảo hiểm cho các nhà quản lý trước rủi ro gia tăng.” Vì chính sách liên bang hiện tại tìm cách thúc đẩy trả lương theo hiệu suất, việc thu hồi bắt buộc làm suy yếu mục tiêu đó. Hơn nữa, có một rủi ro đáng kể rằng những hậu quả ngoài ý muốn khác sẽ phát triển do “nhiều điểm mơ hồ trong ngôn ngữ lập pháp sẽ phải được làm rõ trong các quy định thực thi của SEC, ví dụ: liệu nó có hồi tố không, cách tính số tiền có thể thu hồi, các ngày mà việc thu hồi phải được tìm kiếm.”</w:t>
      </w:r>
    </w:p>
    <w:p>
      <w:pPr>
        <w:spacing w:after="80"/>
      </w:pPr>
      <w:r>
        <w:rPr>
          <w:b w:val="0"/>
          <w:i w:val="0"/>
        </w:rPr>
        <w:t>Dodd-Frank § 951 tạo ra một § 14A mới của Đạo luật Giao dịch Chứng khoán, theo đó các công ty báo cáo phải tiến hành bỏ phiếu tư vấn của cổ đông về thù lao điều hành được chỉ định không ít hơn ba năm một lần. Ít nhất sáu năm một lần, cổ đông phải bỏ phiếu về tần suất tổ chức cuộc bỏ phiếu tư vấn như vậy (tức là hàng năm, hai năm một lần, hoặc ba năm một lần). Các thỏa thuận thù lao thuộc đối tượng bỏ phiếu của cổ đông là những thỏa thuận được nêu trong Mục 402 của Quy định S-K. Ngoài ra, cần có ý kiến tư vấn của cổ đông về các gói trợ cấp vàng. Kết quả bỏ phiếu phải được kiểm đếm và công bố, nhưng không ràng buộc đối với hội đồng quản trị. Cuộc bỏ phiếu không được coi là có hiệu lực hoặc ảnh hưởng đến nghĩa vụ ủy thác của các giám đốc. SEC được trao quyền miễn trừ và được chỉ thị cụ thể để đánh giá tác động đối với các tổ chức phát hành nhỏ.</w:t>
      </w:r>
    </w:p>
    <w:p>
      <w:pPr>
        <w:spacing w:after="80"/>
      </w:pPr>
      <w:r>
        <w:rPr>
          <w:b w:val="0"/>
          <w:i w:val="0"/>
        </w:rPr>
        <w:t>Quyền phát biểu về thù lao gây nhiều tranh cãi. Những người ủng hộ bao gồm CII, “Liên đoàn Người tiêu dùng Hoa Kỳ, AFSCME và Nhóm Công tác Nhà đầu tư.” Đây là mục tiêu lâu dài của AFL-CIO. Các nhóm doanh nghiệp, như Business Roundtable156 và Phòng Thương mại Hoa Kỳ, từ lâu đã phản đối nó.</w:t>
      </w:r>
    </w:p>
    <w:p>
      <w:pPr>
        <w:spacing w:after="80"/>
      </w:pPr>
      <w:r>
        <w:rPr>
          <w:b w:val="0"/>
          <w:i w:val="0"/>
        </w:rPr>
        <w:t>Có Phải Có Một Cuộc Khủng Hoảng về Thù Lao Điều Hành?</w:t>
      </w:r>
    </w:p>
    <w:p>
      <w:pPr>
        <w:spacing w:after="80"/>
      </w:pPr>
      <w:r>
        <w:rPr>
          <w:b w:val="0"/>
          <w:i w:val="0"/>
        </w:rPr>
        <w:t>Lập luận cốt lõi cho quyền biểu quyết về thù lao (say on pay) là thù lao điều hành đã bị tách rời khỏi kết quả tài chính của công ty họ. Như ủy ban Thượng viện đã diễn đạt, “[c]uộc khủng hoảng kinh tế đã phơi bày những trường hợp mà các giám đốc điều hành doanh nghiệp nhận được thù lao rất cao bất chấp kết quả kinh doanh rất kém của công ty họ.”</w:t>
      </w:r>
    </w:p>
    <w:p>
      <w:pPr>
        <w:spacing w:after="80"/>
      </w:pPr>
      <w:r>
        <w:rPr>
          <w:b w:val="0"/>
          <w:i w:val="0"/>
        </w:rPr>
        <w:t>Báo cáo Hạ viện 110-088, đi kèm với một dự luật say on pay trước đó, giải thích rằng trong năm tài chính 2005, vị CEO trung vị trong số 1400 công ty lớn “nhận được tổng thù lao 13,51 triệu đô la, tăng 16 phần trăm so với năm tài chính 2004.” Báo cáo cũng lưu ý rằng “vào năm 1991, CEO trung bình của công ty lớn nhận được khoảng 140 lần mức lương của một người lao động trung bình; vào năm 2003, tỷ lệ này là khoảng 500 trên 1.” Tuy nhiên, thật khó để mô tả những khoản tiền đó là tạo thành một cuộc khủng hoảng tự thân khi mà ngày nay nhiều nghề nghiệp còn mang lại phần thưởng lớn hơn nữa. Chẳng hạn, nhân viên ngân hàng đầu tư được trả lương cao nhất trên Phố Wall năm 2006 là Lloyd Blankfein của Goldman Sachs, người đã “kiếm được 54,3 triệu đô la từ lương, tiền mặt, cổ phiếu hạn chế và quyền chọn cổ phiếu,”161 tức khoảng 4 lần mức lương CEO trung vị của năm trước đó. Nhưng thù lao của một số nhà quản lý quỹ đầu cơ tư nhân còn khiến con số đó trở nên nhỏ bé. Ví dụ, nhà quản lý quỹ đầu cơ James Simons kiếm được 1,7 tỷ đô la vào năm 2006, và hai nhà quản lý quỹ đầu cơ khác cũng vượt mốc một tỷ đô la trong năm đó.</w:t>
      </w:r>
    </w:p>
    <w:p>
      <w:pPr>
        <w:spacing w:after="80"/>
      </w:pPr>
      <w:r>
        <w:rPr>
          <w:b w:val="0"/>
          <w:i w:val="0"/>
        </w:rPr>
        <w:t>Hiệu quả của say on pay đang bị tranh cãi gay gắt. Báo cáo của ủy ban Thượng viện lập luận rằng:</w:t>
      </w:r>
    </w:p>
    <w:p>
      <w:pPr>
        <w:spacing w:after="80"/>
      </w:pPr>
      <w:r>
        <w:rPr>
          <w:b w:val="0"/>
          <w:i w:val="0"/>
        </w:rPr>
        <w:t>Vương quốc Anh đã triển khai chính sách “say on pay”. Giáo sư John Coates trong lời khai trước Ủy ban Ngân hàng Thượng viện đã tuyên bố rằng kinh nghiệm của Vương quốc Anh là tích cực; “các nhà nghiên cứu khác nhau đã tiến hành một số cuộc điều tra thuộc loại này . . . Những phát hiện này gợi ý rằng luật say-on-pay sẽ có tác động tích cực đến quản trị doanh nghiệp ở Hoa Kỳ. Mặc dù hai bối cảnh pháp lý không hoàn toàn giống nhau, không có bằng chứng nào trong tài liệu hiện có cho thấy sự khác biệt sẽ biến một ý tưởng hay ở Vương quốc Anh thành một ý tưởng tồi ở Hoa Kỳ.”</w:t>
      </w:r>
    </w:p>
    <w:p>
      <w:pPr>
        <w:spacing w:after="80"/>
      </w:pPr>
      <w:r>
        <w:rPr>
          <w:b w:val="0"/>
          <w:i w:val="0"/>
        </w:rPr>
        <w:t>Ngược lại, Giáo sư Jeffrey Gordon lập luận rằng kinh nghiệm của Vương quốc Anh với say on pay khiến cho một cuộc biểu quyết bắt buộc trở thành một “lựa chọn đáng ngờ.” Thứ nhất, vì việc xem xét riêng lẻ các phương án thù lao tại khoảng 10.000 công ty báo cáo của Hoa Kỳ sẽ tốn kém đến mức cấm cản, các nhà đầu tư tổ chức hoạt động tích cực có thể sẽ khăng khăng đòi một phạm vi hẹp các chương trình thù lao, điều này sẽ buộc các công ty phải đi theo một mô hình gần như đồng nhất cho tất cả. Thứ hai, vì nhiều nhà đầu tư tổ chức dựa vào các công ty tư vấn ủy quyền (proxy advisory firms), một số rất nhỏ những người gác cổng sẽ nắm giữ ảnh hưởng quá mức đối với thù lao. Kết quả có khả năng xảy ra này làm suy yếu nghiêm trọng lập luận ủng hộ say on pay. Như chúng ta đã thấy, những người ủng hộ say on pay tuyên bố rằng nó sẽ giúp ban điều hành có trách nhiệm giải trình hơn, nhưng họ bỏ qua khả năng rằng say on pay thực sự sẽ chuyển quyền lực từ hội đồng quản trị không phải sang cổ đông mà sang các công ty tư vấn như RiskMetrics. Có lý do chính đáng để nghĩ rằng các hội đồng quản trị có trách nhiệm giải trình cao hơn những công ty đó. “Cố vấn ủy quyền quan trọng nhất, RiskMetrics, đã phải đối mặt với các vấn đề xung đột trong vai trò kép vừa tư vấn vừa xếp hạng các công ty về quản trị doanh nghiệp, điều này sẽ được khuếch đại rất nhiều khi nó bắt đầu xếp hạng các công ty về các phương án thù lao của họ.” Trớ trêu thay, ràng buộc duy nhất đối với xung đột của RiskMetrics lại chính là thị trường—tức là khả năng họ sẽ mất uy tín và do đó mất khách hàng—chính là lực lượng mà hầu hết những người ủng hộ quyền lực cổ đông cho rằng không hiệu quả khi nói đến việc buộc ban điều hành phải chịu trách nhiệm giải trình.</w:t>
      </w:r>
    </w:p>
    <w:p>
      <w:pPr>
        <w:spacing w:after="80"/>
      </w:pPr>
      <w:r>
        <w:rPr>
          <w:b w:val="0"/>
          <w:i w:val="0"/>
        </w:rPr>
        <w:t>Gordon kết luận “rằng ‘say on pay’ có một số mặt trái ngay cả ở Vương quốc Anh, những mặt trái sẽ bị làm trầm trọng thêm khi đơn thuần cấy ghép sang Hoa Kỳ.” Ông khuyến nghị rằng bất kỳ quy định liên bang nào cũng nên được giới hạn trong một cơ chế tự nguyện tham gia (opt-in) hoặc, nếu một hình thức cơ chế bắt buộc nào đó là cần thiết về mặt chính trị, thì nên giới hạn nó cho các công ty lớn nhất. Như chúng ta đã thấy, Quốc hội đã đi theo một hướng khác, bất chấp sự không chắc chắn đáng kể về việc liệu say on pay có hiệu quả hay không.</w:t>
      </w:r>
    </w:p>
    <w:p>
      <w:pPr>
        <w:spacing w:after="80"/>
      </w:pPr>
      <w:r>
        <w:rPr>
          <w:b w:val="0"/>
          <w:i w:val="0"/>
        </w:rPr>
        <w:t>Sự Rời Bỏ Chủ Nghĩa Lấy Hội Đồng Quản Trị Làm Trung Tâm</w:t>
      </w:r>
    </w:p>
    <w:p>
      <w:pPr>
        <w:spacing w:after="80"/>
      </w:pPr>
      <w:r>
        <w:rPr>
          <w:b w:val="0"/>
          <w:i w:val="0"/>
        </w:rPr>
        <w:t>Không có câu hỏi nào cơ bản hơn trong quản trị doanh nghiệp bằng “ai quyết định”? Liệu một quyết định cụ thể hay một nhiệm vụ giám sát cụ thể nên được giao cho hội đồng quản trị, ban điều hành, hay cổ đông? Luật công ty nói chung áp dụng cái mà tôi gọi là “quyền ưu tiên của giám đốc” (director primacy). Nó giao việc ra quyết định cho hội đồng quản trị hoặc cho các nhà quản lý mà hội đồng quản trị đã ủy quyền một cách hợp lệ. Theo luật tiểu bang, thù lao điều hành cũng không phải là ngoại lệ.</w:t>
      </w:r>
    </w:p>
    <w:p>
      <w:pPr>
        <w:spacing w:after="80"/>
      </w:pPr>
      <w:r>
        <w:rPr>
          <w:b w:val="0"/>
          <w:i w:val="0"/>
        </w:rPr>
        <w:t>Chắc chắn rằng, điều khoản say on pay trong Dodd-Frank chỉ là một cuộc biểu quyết mang tính tư vấn. Tuy nhiên, logic của một cuộc biểu quyết tư vấn về thù lao dường như cũng giống như logic nền tảng của các đề xuất cổ đông mang tính khuyến nghị được đưa ra theo Quy tắc 14a-8. Mặc dù chúng không có tính ràng buộc, chúng vẫn được kỳ vọng sẽ ảnh hưởng đến các quyết định của giám đốc.</w:t>
      </w:r>
    </w:p>
    <w:p>
      <w:pPr>
        <w:spacing w:after="80"/>
      </w:pPr>
      <w:r>
        <w:rPr>
          <w:b w:val="0"/>
          <w:i w:val="0"/>
        </w:rPr>
        <w:t>Hơn nữa, say on pay chỉ là một mảnh nhỏ trong chương trình nghị sự của các nhà hoạt động cổ đông. Như chúng ta đã thấy, Dodd-Frank báo hiệu việc hoàn thành một mục khác trong chương trình nghị sự đó bằng cách cho phép SEC tiến hành quyền truy cập ủy quyền (proxy access). Một mục khác trong chương trình nghị sự của các nhà hoạt động gần đây đã đạt được khi các tiểu bang bắt đầu thay đổi luật công ty của họ để cho phép sử dụng biểu quyết theo đa số trong việc bầu chọn giám đốc. Bởi vì ngay cả một cuộc biểu quyết say on pay mang tính tư vấn cũng là một phần của gói này, cái mà Cardozo gọi—dù trong một bối cảnh khác—là “‘sự xói mòn tan rã’ của những ngoại lệ cụ thể” mà qua đó quyền ưu tiên của giám đốc đang dần bị làm suy yếu, nên đáng để chúng ta tự nhắc nhở mình vì sao quản trị doanh nghiệp lấy hội đồng quản trị làm trung tâm lại có giá trị.</w:t>
      </w:r>
    </w:p>
    <w:p>
      <w:pPr>
        <w:spacing w:after="80"/>
      </w:pPr>
      <w:r>
        <w:rPr>
          <w:b w:val="0"/>
          <w:i w:val="0"/>
        </w:rPr>
        <w:t>Lập luận ủng hộ chủ nghĩa lấy hội đồng quản trị làm trung tâm bắt nguồn từ công trình của Kenneth Arrow về việc ra quyết định trong tổ chức, công trình đã xác định hai cơ chế ra quyết định cơ bản: “đồng thuận” (consensus) và “thẩm quyền” (authority). Các tổ chức sử dụng một hình thức ra quyết định dựa trên đồng thuận nào đó khi mỗi bên liên quan có quyền biểu quyết trong tổ chức đều có khả năng tiếp cận thông tin tương đương và các lợi ích tương tự nhau. Khi không có sự bất cân xứng thông tin và xung đột lợi ích, việc ra quyết định tập thể có thể diễn ra với chi phí tương đối thấp. Ngược lại, các tổ chức phải viện đến các cấu trúc ra quyết định dựa trên thẩm quyền khi các bên liên quan có lợi ích xung đột và khả năng tiếp cận thông tin bất cân xứng. Trong những tổ chức như vậy, thông tin được dồn về một cơ quan trung tâm được trao quyền đưa ra các quyết định ràng buộc toàn bộ tổ chức.</w:t>
      </w:r>
    </w:p>
    <w:p>
      <w:pPr>
        <w:spacing w:after="80"/>
      </w:pPr>
      <w:r>
        <w:rPr>
          <w:b w:val="0"/>
          <w:i w:val="0"/>
        </w:rPr>
        <w:t>Các doanh nghiệp nhỏ thường sử dụng một hình thức ra quyết định dựa trên đồng thuận nào đó. Tuy nhiên, khi các công ty phát triển về quy mô, các hệ thống ra quyết định dựa trên đồng thuận trở nên ít thực tiễn hơn và, khi chúng ta đến với công ty đại chúng, việc sử dụng chúng trở nên về cơ bản là không thực tiễn. Do đó, không có gì đáng ngạc nhiên khi “cấu trúc ra quyết định của một công ty đại chúng chủ yếu là cấu trúc dựa trên thẩm quyền.” Cổ đông không có thông tin cũng không có động cơ cần thiết để đưa ra các quyết định đúng đắn về các câu hỏi vận hành hay chính sách. Việc vượt qua các vấn đề hành động tập thể (collective action problems) ngăn cản sự tham gia có ý nghĩa của cổ đông sẽ rất khó khăn và tốn kém. Thay vào đó, cổ đông nên ưu tiên giao phó một cách không thể thu hồi thẩm quyền ra quyết định cho một nhóm nhỏ hơn nào đó.</w:t>
      </w:r>
    </w:p>
    <w:p>
      <w:pPr>
        <w:spacing w:after="80"/>
      </w:pPr>
      <w:r>
        <w:rPr>
          <w:b w:val="0"/>
          <w:i w:val="0"/>
        </w:rPr>
        <w:t>Phải thừa nhận rằng, kết quả là “sự tách biệt giữa quyền sở hữu và quyền kiểm soát tạo ra một tình trạng mà lợi ích của chủ sở hữu và của nhà quản lý tối cao có thể, và thường xuyên, khác biệt.” Do đó, quản trị doanh nghiệp nhất thiết phải bao gồm các biện pháp để buộc giám đốc và nhà quản lý phải chịu trách nhiệm giải trình, mà việc biểu quyết của cổ đông là một trong số đó. Trong một lý thuyết hoàn chỉnh về doanh nghiệp, cả quyền tự quyết lẫn trách nhiệm giải trình đều không thể bị bỏ qua, bởi vì cả hai đều thúc đẩy những giá trị thiết yếu cho sự tồn vong của các tổ chức kinh doanh. Tuy nhiên, đồng thời, quyền buộc phải chịu trách nhiệm giải trình cuối cùng chính là quyền quyết định. Do đó, các nhà quản lý không thể bị buộc phải chịu trách nhiệm giải trình nhiều hơn mà không làm suy yếu thẩm quyền tự quyết của họ. Việc thiết lập sự kết hợp đúng đắn giữa quyền tự quyết và trách nhiệm giải trình do đó nổi lên như là câu hỏi trung tâm của quản trị doanh nghiệp. Đáng tiếc thay, đó cũng là câu hỏi mà không ai trong Quốc hội dường như đã suy ngẫm liên quan đến say on pay; thay vào đó, dường như chỉ có những lo ngại về trách nhiệm giải trình là được quan tâm.</w:t>
      </w:r>
    </w:p>
    <w:p>
      <w:pPr>
        <w:spacing w:after="80"/>
      </w:pPr>
      <w:r>
        <w:rPr>
          <w:b w:val="0"/>
          <w:i w:val="0"/>
        </w:rPr>
        <w:t>Những Doanh Nhân Chính Sách Đáng Ngờ</w:t>
      </w:r>
    </w:p>
    <w:p>
      <w:pPr>
        <w:spacing w:after="80"/>
      </w:pPr>
      <w:r>
        <w:rPr>
          <w:b w:val="0"/>
          <w:i w:val="0"/>
        </w:rPr>
        <w:t>Các điều khoản về quản trị doanh nghiệp của Dodd-Frank được đưa vào luật vì những doanh nhân chính sách chủ chốt đã có thể chiếm đoạt tiến trình lập pháp để thúc đẩy một chương trình nghị sự chính trị lâu dài. Cụ thể, như chúng ta đã thấy, tất cả các điều khoản quản trị chính đều được các nhà hoạt động trong cộng đồng nhà đầu tư tổ chức ủng hộ mạnh mẽ, đặc biệt là các quỹ hưu trí của công đoàn và của tiểu bang và địa phương, những người mà các mục như quyền truy cập ủy quyền và say on pay là những mục trong chương trình nghị sự có ưu tiên cao.</w:t>
      </w:r>
    </w:p>
    <w:p>
      <w:pPr>
        <w:spacing w:after="80"/>
      </w:pPr>
      <w:r>
        <w:rPr>
          <w:b w:val="0"/>
          <w:i w:val="0"/>
        </w:rPr>
        <w:t>Thật hợp lý khi cho rằng chính những nhà đầu tư hoạt động (activist investor) này sẽ là những cổ đông có khả năng tận dụng quyền lực mới của mình nhiều nhất. Tuy nhiên, lợi ích của những nhà hoạt động này có khả năng khác biệt đáng kể so với lợi ích của nhà đầu tư cá nhân (retail investor) hay thậm chí là các tổ chức khác. Thật vậy, các quỹ hưu trí của công đoàn, tiểu bang và địa phương chính là những cổ đông có khả năng cao nhất dùng vị thế của mình để tự tư lợi (self-deal)—tức là chiếm một phần tài sản và lợi nhuận của công ty không theo tỷ lệ sở hữu (non-pro rata)—hoặc để thu về những lợi ích riêng không chia sẻ với các nhà đầu tư khác.</w:t>
      </w:r>
    </w:p>
    <w:p>
      <w:pPr>
        <w:spacing w:after="80"/>
      </w:pPr>
      <w:r>
        <w:rPr>
          <w:b w:val="0"/>
          <w:i w:val="0"/>
        </w:rPr>
        <w:t>Vậy nên, những gì chúng ta có trong Dodd-Frank thực chất là một đạo luật bong bóng (bubble law) được thiết kế để thúc đẩy hành vi trục lợi (rent seeking) của một nhóm lợi ích quyền lực, và đây chính là đặc điểm định hình của thứ mà ta gọi là quản trị doanh nghiệp lang băm (quack corporate governance).</w:t>
      </w:r>
    </w:p>
    <w:p>
      <w:pPr>
        <w:spacing w:after="80"/>
      </w:pPr>
      <w:r>
        <w:rPr>
          <w:b w:val="0"/>
          <w:i w:val="0"/>
        </w:rPr>
        <w:t>Tiền đề cơ bản phi logic</w:t>
      </w:r>
    </w:p>
    <w:p>
      <w:pPr>
        <w:spacing w:after="80"/>
      </w:pPr>
      <w:r>
        <w:rPr>
          <w:b w:val="0"/>
          <w:i w:val="0"/>
        </w:rPr>
        <w:t>Luận điểm cho rằng các điều khoản quản trị doanh nghiệp của Dodd-Frank chỉ là món quà dỗ ngọt cho các nhóm lợi ích đặc biệt càng được khẳng định bởi sự mâu thuẫn kỳ lạ giữa logic nội tại của những điều khoản đó và câu chuyện phía sau cuộc khủng hoảng tài chính. Hãy lấy ví dụ về vấn đề thù lao cho ban điều hành. Các nhà quản lý đã xác định rằng những cơ chế thù lao ban điều hành khiến các quản lý ngân hàng chỉ tập trung vào lợi nhuận ngắn hạn cho cổ đông chính là một yếu tố góp phần gây ra khủng hoảng, gần như ngay từ những ngày đầu của cuộc khủng hoảng tài chính. Cũng giống như gần như tất cả các công ty đại chúng ở Mỹ, các ngân hàng và tổ chức tài chính khác trong thập niên 1990 đã chuyển sang phụ thuộc nhiều hơn vào các cơ chế thù lao trả theo hiệu quả dựa trên cổ phần (equity-based pay for performance). Lý do biện minh cho những cơ chế này là chúng giúp dung hòa sở thích rủi ro giữa nhà quản lý và cổ đông. Vì nhà quản lý thường nắm giữ danh mục đầu tư kém đa dạng hóa hơn cổ đông—do họ đầu tư cả vốn con người lẫn vốn tài chính đáng kể vào nơi mình làm việc—nên họ có xu hướng e ngại rủi ro đặc thù của công ty (firm specific risk) nhiều hơn mức mà các nhà đầu tư đã đa dạng hóa mong muốn. Các cơ chế thù lao trả theo hiệu quả gắn thù lao của nhà quản lý với lợi nhuận cho cổ đông được thiết kế để chống lại xu hướng e ngại rủi ro cố hữu đó, từ đó dung hòa sở thích rủi ro của nhà quản lý với sở thích của cổ đông.</w:t>
      </w:r>
    </w:p>
    <w:p>
      <w:pPr>
        <w:spacing w:after="80"/>
      </w:pPr>
      <w:r>
        <w:rPr>
          <w:b w:val="0"/>
          <w:i w:val="0"/>
        </w:rPr>
        <w:t>Như đã đề cập, các nhà hoạt động cổ đông từ lâu đã phàn nàn rằng những cơ chế này mang lại thù lao mà không có hiệu quả (pay without performance). Đây là một trong những khiếm khuyết quản trị doanh nghiệp mà Dodd-Frank nhắm tới, đáng chú ý nhất là thông qua quy định "say on pay" (cổ đông có tiếng nói về thù lao). Vấn đề, tất nhiên, là cổ đông và xã hội không có cùng mục tiêu khi nói đến thù lao ban điều hành. Xã hội muốn nhà quản lý e ngại rủi ro hơn. Cổ đông muốn họ bớt e ngại rủi ro hơn, vì những lý do vừa thảo luận. Nếu say on pay và các điều khoản trao quyền cho cổ đông khác của Dodd-Frank thành công, lợi ích của nhà quản lý và cổ đông sẽ càng được dung hòa, điều này sẽ khuyến khích nhà quản lý chấp nhận rủi ro cao hơn để tìm kiếm lợi nhuận cao hơn cho cổ đông. Theo đó, như Christopher Bruner đã nhận xét một cách thích đáng, "lập trường trao quyền cho cổ đông có vẻ tự mâu thuẫn, về cơ bản nó tương đương với tuyên bố rằng chúng ta phải trao cho cổ đông nhiều quyền lực hơn vì nhà quản lý, khi được tự do hành động, đã quá tập trung vào lợi ích của cổ đông."</w:t>
      </w:r>
    </w:p>
    <w:p>
      <w:pPr>
        <w:spacing w:after="80"/>
      </w:pPr>
      <w:r>
        <w:rPr>
          <w:b w:val="0"/>
          <w:i w:val="0"/>
        </w:rPr>
        <w:t>Liệu có thể làm được gì không?</w:t>
      </w:r>
    </w:p>
    <w:p>
      <w:pPr>
        <w:spacing w:after="80"/>
      </w:pPr>
      <w:r>
        <w:rPr>
          <w:b w:val="0"/>
          <w:i w:val="0"/>
        </w:rPr>
        <w:t>Vai trò của liên bang trong quản trị doanh nghiệp do đó có vẻ là một trường hợp của cái mà Robert Higgs gọi là hiệu ứng bánh cóc (ratchet effect). Higgs tập trung vào các cuộc chiến tranh và những cuộc khủng hoảng lớn khác. Ví dụ với chiến tranh, thường có sự gia tăng chóng mặt về quy mô chính phủ, kèm theo thuế cao hơn, quy định nhiều hơn và mất đi các quyền tự do dân sự. Khi chiến tranh kết thúc, chính phủ có thể thu nhỏ phần nào về quy mô và quyền lực, nhưng hiếm khi trở lại mức trước chiến tranh. Cũng giống như chiếc cờ lê bánh cóc chỉ hoạt động theo một hướng, quy mô và phạm vi của chính phủ có xu hướng chỉ di chuyển theo một hướng—đi lên—bởi vì các nhóm lợi ích từng ủng hộ những thay đổi giờ đây có động cơ duy trì nguyên trạng, cũng như các quan chức đã giành được quyền lực và uy tín mới. Do đó, mỗi cuộc khủng hoảng đều có tác dụng siết bánh cóc làm tăng quy mô và phạm vi dài hạn của chính phủ.</w:t>
      </w:r>
    </w:p>
    <w:p>
      <w:pPr>
        <w:spacing w:after="80"/>
      </w:pPr>
      <w:r>
        <w:rPr>
          <w:b w:val="0"/>
          <w:i w:val="0"/>
        </w:rPr>
        <w:t>Giờ đây chúng ta quan sát thấy cùng một khuôn mẫu trong quản trị doanh nghiệp. Như đã thấy, chính phủ liên bang hiếm khi can thiệp vào lĩnh vực này trừ khi có khủng hoảng. Vào thời điểm đó, những doanh nhân chính sách (policy entrepreneur) ủng hộ việc liên bang hóa quản trị doanh nghiệp lập tức hành động, cướp lấy phản ứng lập pháp đối với khủng hoảng để thúc đẩy chương trình nghị sự của mình. Mặc dù sau đó có thể có một số bước thụt lùi, chẳng hạn như việc Dodd-Frank miễn trừ theo Mục 404 (Section 404) cho các công ty báo cáo nhỏ, xu hướng chung là mỗi cuộc khủng hoảng tài chính lớn của thế kỷ trước đều dẫn đến sự mở rộng vai trò của liên bang.</w:t>
      </w:r>
    </w:p>
    <w:p>
      <w:pPr>
        <w:pStyle w:val="Heading5"/>
      </w:pPr>
      <w:r>
        <w:rPr>
          <w:rFonts w:ascii="Calibri" w:hAnsi="Calibri"/>
          <w:b/>
          <w:i/>
          <w:sz w:val="22"/>
        </w:rPr>
        <w:t>Bình luận và Câu hỏi</w:t>
      </w:r>
    </w:p>
    <w:p>
      <w:pPr>
        <w:spacing w:after="80"/>
      </w:pPr>
      <w:r>
        <w:rPr>
          <w:b w:val="0"/>
          <w:i w:val="0"/>
        </w:rPr>
        <w:t>1. Hãy nhớ lại tám yếu tố mà Giáo sư Bainbridge xác định là dấu hiệu của "sự lang băm". Ông đưa ra bằng chứng nào để hỗ trợ cho việc đưa từng tiêu chí vào? Giáo sư Bainbridge lặp lại sự khinh miệt của Giáo sư Romano đối với luật phản ứng khủng hoảng và những mối đe dọa rõ ràng đối với chủ nghĩa liên bang (federalism), và ông lên án hành động lập pháp bất chấp một số phân tích thực nghiệm chọn lọc. Liệu Giáo sư Bainbridge có thuyết phục hơn trong việc xác lập những vấn đề này như là những yếu tố quyết định của thứ luật pháp chắc chắn khiếm khuyết không?</w:t>
      </w:r>
    </w:p>
    <w:p>
      <w:pPr>
        <w:spacing w:after="80"/>
      </w:pPr>
      <w:r>
        <w:rPr>
          <w:b w:val="0"/>
          <w:i w:val="0"/>
        </w:rPr>
        <w:t>2. Theo Giáo sư Bainbridge, một dấu hiệu của luật quản trị doanh nghiệp lang băm là việc nó được ban hành để đáp lại làn sóng phản đối dân túy (populist backlash) chống lại các tập đoàn. Liệu làn sóng phản đối dân túy chống lại hành vi của tập đoàn có nhất thiết là một động cơ sai lầm cho hành động lập pháp hay quản lý không? Tại sao có hoặc tại sao không?</w:t>
      </w:r>
    </w:p>
    <w:p>
      <w:pPr>
        <w:spacing w:after="80"/>
      </w:pPr>
      <w:r>
        <w:rPr>
          <w:b w:val="0"/>
          <w:i w:val="0"/>
        </w:rPr>
        <w:t>3. Theo quan điểm của Giáo sư Bainbridge, mối quan hệ lý tưởng giữa cơ quan quản lý và các tập đoàn là gì? Bạn có đồng ý không?</w:t>
      </w:r>
    </w:p>
    <w:p>
      <w:pPr>
        <w:pStyle w:val="Heading2"/>
      </w:pPr>
      <w:r>
        <w:rPr>
          <w:rFonts w:ascii="Calibri" w:hAnsi="Calibri"/>
          <w:b/>
          <w:i w:val="0"/>
          <w:sz w:val="32"/>
        </w:rPr>
        <w:t>III. Thành viên Hội đồng Quản trị Độc lập và Quản trị Doanh nghiệp</w:t>
      </w:r>
    </w:p>
    <w:p>
      <w:pPr>
        <w:spacing w:after="80"/>
      </w:pPr>
      <w:r>
        <w:rPr>
          <w:b w:val="0"/>
          <w:i w:val="0"/>
        </w:rPr>
        <w:t>Trong nỗ lực đánh giá lợi ích của việc tuân thủ quản trị doanh nghiệp, các học giả đã đặc biệt chú ý đến vai trò của thành viên hội đồng quản trị độc lập (independent director). Một khối lượng lớn tài liệu tham gia vào những phân tích mang tính kỹ thuật cao về mối liên hệ giữa thành viên hội đồng quản trị độc lập bên ngoài (independent outside director) và giá trị công ty. Các bài viết sau đây cung cấp một cái nhìn tổng quan về nghiên cứu này và tác động của nó đối với chính sách công.</w:t>
      </w:r>
    </w:p>
    <w:p>
      <w:pPr>
        <w:pStyle w:val="Heading4"/>
      </w:pPr>
      <w:r>
        <w:rPr>
          <w:rFonts w:ascii="Calibri" w:hAnsi="Calibri"/>
          <w:b/>
          <w:i w:val="0"/>
          <w:sz w:val="23"/>
        </w:rPr>
        <w:t xml:space="preserve">Jeffrey N. Gordon, </w:t>
      </w:r>
      <w:r>
        <w:rPr>
          <w:rFonts w:ascii="Calibri" w:hAnsi="Calibri"/>
          <w:b/>
          <w:i/>
          <w:sz w:val="23"/>
        </w:rPr>
        <w:t>Sự trỗi dậy của các Thành viên Hội đồng Quản trị Độc lập tại</w:t>
      </w:r>
      <w:r>
        <w:br/>
      </w:r>
      <w:r>
        <w:rPr>
          <w:rFonts w:ascii="Calibri" w:hAnsi="Calibri"/>
          <w:b/>
          <w:i/>
          <w:sz w:val="23"/>
        </w:rPr>
        <w:t xml:space="preserve"> Hoa Kỳ, 1950–2005: Về Giá trị Cổ đông</w:t>
      </w:r>
      <w:r>
        <w:br/>
      </w:r>
      <w:r>
        <w:rPr>
          <w:rFonts w:ascii="Calibri" w:hAnsi="Calibri"/>
          <w:b/>
          <w:i/>
          <w:sz w:val="23"/>
        </w:rPr>
        <w:t xml:space="preserve"> và Giá cả Thị trường Chứng khoán</w:t>
      </w:r>
    </w:p>
    <w:p>
      <w:pPr>
        <w:spacing w:after="80"/>
      </w:pPr>
      <w:r>
        <w:rPr>
          <w:b w:val="0"/>
          <w:i w:val="0"/>
        </w:rPr>
        <w:t>59 Stan. L. Rev. 1465 (2007)</w:t>
      </w:r>
    </w:p>
    <w:p>
      <w:pPr>
        <w:spacing w:after="80"/>
      </w:pPr>
      <w:r>
        <w:rPr>
          <w:b w:val="0"/>
          <w:i w:val="0"/>
        </w:rPr>
        <w:t>Cuộc khảo sát kỹ lưỡng nhất về bằng chứng thực nghiệm đối với các tác động của cơ cấu hội đồng quản trị là bài báo năm 1999 của Bhagat và Black. Khi mô tả những nỗ lực nhằm chứng minh mối tương quan giữa hiệu quả hoạt động của doanh nghiệp và tính độc lập của hội đồng quản trị, họ báo cáo rằng “hầu hết các nghiên cứu đều tìm thấy rất ít mối tương quan, nhưng một số nghiên cứu gần đây báo cáo bằng chứng về mối tương quan nghịch giữa tỷ lệ giám đốc độc lập và hiệu quả hoạt động của doanh nghiệp—hoàn toàn trái ngược với quan niệm thông thường.” Họ đưa cả nghiên cứu năm 1999 của chính mình vào nhóm các nghiên cứu tiêu cực đó, với kết quả bị chi phối bởi những kết quả tiêu cực ở các doanh nghiệp có tỷ lệ giám đốc độc lập đặc biệt cao, tức những doanh nghiệp chỉ có một hoặc hai người nội bộ. Một chỉ trích đối với các nghiên cứu cắt ngang hồi quy cơ cấu hội đồng quản trị theo các thước đo hiệu quả hoạt động là độ trễ tiềm tàng giữa quản trị tốt và tác động hữu hình lên hiệu quả hoạt động. Bhagat và Black cố gắng giải quyết vấn đề này trong một nghiên cứu tiếp theo chi tiết năm 2001 với mẫu lớn và thời gian dài, nhưng kết luận vẫn như cũ: rằng việc tăng mức độ độc lập của hội đồng quản trị không cải thiện hiệu quả hoạt động của doanh nghiệp.</w:t>
      </w:r>
    </w:p>
    <w:p>
      <w:pPr>
        <w:spacing w:after="80"/>
      </w:pPr>
      <w:r>
        <w:rPr>
          <w:b w:val="0"/>
          <w:i w:val="0"/>
        </w:rPr>
        <w:t>Khảo sát năm 1999 của Bhagat và Black cũng có cái nhìn không mấy tích cực về việc liệu các hội đồng quản trị có đa số (hoặc đại đa số) giám đốc độc lập có làm tốt hơn các nhiệm vụ rời rạc quan trọng do hội đồng quản trị đảm nhận hay không. Một ngoại lệ có thể là việc tránh gian lận tài chính, nơi các nghiên cứu gợi ý rằng sự chiếm ưu thế của các giám đốc độc lập trong hội đồng quản trị có thể tạo ra khác biệt. Dưới đây là một số ví dụ quan trọng về việc ra quyết định của hội đồng quản trị để kiểm tra liệu cơ cấu hội đồng quản trị có quan trọng hay không.</w:t>
      </w:r>
    </w:p>
    <w:p>
      <w:pPr>
        <w:spacing w:after="80"/>
      </w:pPr>
      <w:r>
        <w:rPr>
          <w:b w:val="0"/>
          <w:i w:val="0"/>
        </w:rPr>
        <w:t>Các quyết định về thù lao điều hành có thể được coi là nơi diễn ra sự xung đột gay gắt nhất giữa lợi ích cổ đông và lợi ích ban quản lý. Bằng chứng thực nghiệm về tác động của các giám đốc độc lập đối với thù lao là không rõ ràng, với “rất ít bằng chứng cho thấy các giám đốc độc lập làm tốt hơn các giám đốc nội bộ trong việc thiết lập mức lương của CEO.” Một kết quả đáng ngạc nhiên là các hội đồng quản trị có nhiều giám đốc độc lập hơn có xu hướng trao “dù vàng” (golden parachutes) nhiều hơn (các khoản trợ cấp thôi việc khi thay đổi quyền kiểm soát, thường tương đương khoảng ba lần lương năm cộng thưởng trung bình). Một lý lẽ bảo vệ các kế hoạch này là chúng có thể làm giảm sự phản kháng của ban quản lý đối với một đề nghị thâu tóm, nhưng một hội đồng quản trị độc lập hơn lẽ ra phải có khả năng kiểm soát các nhà quản lý trực tiếp tốt hơn.</w:t>
      </w:r>
    </w:p>
    <w:p>
      <w:pPr>
        <w:spacing w:after="80"/>
      </w:pPr>
      <w:r>
        <w:rPr>
          <w:b w:val="0"/>
          <w:i w:val="0"/>
        </w:rPr>
        <w:t>Bằng chứng được phát triển đầy đủ nhất về các tác động của cơ cấu hội đồng quản trị là mối liên hệ tích cực giữa tính độc lập của hội đồng quản trị và độ chính xác của báo cáo tài chính. Kênh tác động chính xác của hiệu ứng này chưa được xác định rõ ràng, nhưng một số nghiên cứu gợi ý rằng nó có thể thông qua ủy ban kiểm toán độc lập.</w:t>
      </w:r>
    </w:p>
    <w:p>
      <w:pPr>
        <w:pStyle w:val="Heading5"/>
      </w:pPr>
      <w:r>
        <w:rPr>
          <w:rFonts w:ascii="Calibri" w:hAnsi="Calibri"/>
          <w:b/>
          <w:i/>
          <w:sz w:val="22"/>
        </w:rPr>
        <w:t>Bình luận và Câu hỏi</w:t>
      </w:r>
    </w:p>
    <w:p>
      <w:pPr>
        <w:spacing w:after="80"/>
      </w:pPr>
      <w:r>
        <w:rPr>
          <w:b w:val="0"/>
          <w:i w:val="0"/>
        </w:rPr>
        <w:t>1. Mặc dù đồng ý rằng bằng chứng cho thấy tính độc lập của giám đốc “chỉ có tác động tối thiểu lên hành vi của hội đồng quản trị và giá trị cổ đông,” Giáo sư Gordon vẫn khẳng định rằng kết luận này “phần lớn sẽ là sai.” Tại sao lại như vậy?</w:t>
      </w:r>
    </w:p>
    <w:p>
      <w:pPr>
        <w:spacing w:after="80"/>
      </w:pPr>
      <w:r>
        <w:rPr>
          <w:b w:val="0"/>
          <w:i w:val="0"/>
        </w:rPr>
        <w:t>2. Như bạn đã học ở Chương 3, Giáo sư Gordon lưu ý rằng hội đồng quản trị có thể đóng cả vai trò giám sát lẫn vai trò cố vấn cho ban điều hành doanh nghiệp. Tại sao các hội đồng quản trị độc lập chiếm đa số và đại đa số có thể dành ít thời gian và nguồn lực hơn để thực hiện chức năng cố vấn?</w:t>
      </w:r>
    </w:p>
    <w:p>
      <w:pPr>
        <w:spacing w:after="80"/>
      </w:pPr>
      <w:r>
        <w:rPr>
          <w:b w:val="0"/>
          <w:i w:val="0"/>
        </w:rPr>
        <w:t>3. Trong phạm vi mà các giám đốc không thuộc ban quản lý được coi là “độc lập” theo quy định niêm yết của sở giao dịch chứng khoán nhưng vẫn không sẵn lòng hoặc không thể đưa ra phán đoán khách quan, bạn có kỳ vọng giá trị doanh nghiệp sẽ bị tổn hại không? Tại sao có hoặc tại sao không?</w:t>
      </w:r>
    </w:p>
    <w:p>
      <w:pPr>
        <w:spacing w:after="80"/>
      </w:pPr>
      <w:r>
        <w:rPr>
          <w:b w:val="0"/>
          <w:i w:val="0"/>
        </w:rPr>
        <w:t>—————</w:t>
      </w:r>
    </w:p>
    <w:p>
      <w:pPr>
        <w:spacing w:after="80"/>
      </w:pPr>
      <w:r>
        <w:rPr>
          <w:b w:val="0"/>
          <w:i w:val="0"/>
        </w:rPr>
        <w:t>Bài viết sau đây xem xét tầm quan trọng của việc các giám đốc độc lập đóng vai trò là thành phần thiểu số trong một hội đồng quản trị. Bạn nghĩ việc công bố một hội đồng quản trị như vậy sẽ có tác động gì lên giá trị cổ phiếu, đặc biệt khi các giám đốc độc lập được đưa vào theo yêu cầu của các cổ đông hoạt động (activist shareholders)? Bạn sẽ thu thập dữ liệu gì nếu tự mình nghiên cứu vấn đề này?</w:t>
      </w:r>
    </w:p>
    <w:p>
      <w:pPr>
        <w:pStyle w:val="Heading4"/>
      </w:pPr>
      <w:r>
        <w:rPr>
          <w:rFonts w:ascii="Calibri" w:hAnsi="Calibri"/>
          <w:b/>
          <w:i w:val="0"/>
          <w:sz w:val="23"/>
        </w:rPr>
        <w:t xml:space="preserve">Chris Cernich và cộng sự, </w:t>
      </w:r>
      <w:r>
        <w:rPr>
          <w:rFonts w:ascii="Calibri" w:hAnsi="Calibri"/>
          <w:b/>
          <w:i/>
          <w:sz w:val="23"/>
        </w:rPr>
        <w:t>Hiệu quả của các Hội đồng Quản trị Hỗn hợp</w:t>
      </w:r>
    </w:p>
    <w:p>
      <w:pPr>
        <w:spacing w:after="80"/>
      </w:pPr>
      <w:r>
        <w:rPr>
          <w:b w:val="0"/>
          <w:i w:val="0"/>
        </w:rPr>
        <w:t>Tài liệu làm việc của Proxy Governance,</w:t>
      </w:r>
      <w:r>
        <w:br/>
      </w:r>
      <w:r>
        <w:rPr>
          <w:b w:val="0"/>
          <w:i w:val="0"/>
        </w:rPr>
        <w:t xml:space="preserve"> </w:t>
      </w:r>
      <w:r>
        <w:rPr>
          <w:b w:val="0"/>
          <w:i/>
        </w:rPr>
        <w:t>có tại</w:t>
      </w:r>
      <w:r>
        <w:rPr>
          <w:b w:val="0"/>
          <w:i w:val="0"/>
        </w:rPr>
        <w:t xml:space="preserve"> http://ssrn.com/abstract=1410205 (2009)</w:t>
      </w:r>
    </w:p>
    <w:p>
      <w:pPr>
        <w:spacing w:after="80"/>
      </w:pPr>
      <w:r>
        <w:rPr>
          <w:b w:val="0"/>
          <w:i w:val="0"/>
        </w:rPr>
        <w:t>Nghiên cứu này xem xét liệu các hội đồng quản trị “hỗn hợp”—những hội đồng quản trị được hình thành khi các cổ đông hoạt động như quỹ đầu cơ, thông qua các cuộc tranh giành quyền đại diện thực tế hoặc bị đe dọa, có thể bầu được các giám đốc bất đồng chính kiến nhưng không giành được toàn quyền kiểm soát hội đồng quản trị—có tạo ra giá trị cho cổ đông hay không. Nghiên cứu đã xem xét hiệu quả của 120 hội đồng quản trị như vậy được hình thành từ năm 2005 đến năm 2008. Hiệu quả của hội đồng quản trị được đánh giá cả về những thay đổi trong cơ cấu quản trị doanh nghiệp và chiến lược, cũng như thông qua sự tăng hoặc giảm giá trị cổ đông, được đo bằng cả lợi nhuận tuyệt đối lẫn tương đối so với các doanh nghiệp cùng ngành.</w:t>
      </w:r>
    </w:p>
    <w:p>
      <w:pPr>
        <w:spacing w:after="80"/>
      </w:pPr>
      <w:r>
        <w:rPr>
          <w:b w:val="0"/>
          <w:i w:val="0"/>
        </w:rPr>
        <w:t>Trung bình, nghiên cứu phát hiện rằng tổng lợi nhuận cổ đông tại các công ty đang hoạt động có hội đồng quản trị hỗn hợp là 19,1%—cao hơn 16,6 điểm phần trăm so với các doanh nghiệp cùng ngành—từ đầu giai đoạn tranh giành đến ngày kỷ niệm một năm của hội đồng quản trị hỗn hợp. Hơn một nửa số lợi nhuận này đến trong khoảng thời gian ba tháng dẫn đến việc hình thành hội đồng quản trị hỗn hợp, cung cấp bằng chứng mạnh mẽ cho thấy hiệu ứng tranh giành đáng kể làm tăng giá cổ phiếu, khi thị trường định giá kỳ vọng của mình về những thay đổi mà một hội đồng quản trị hỗn hợp có thể mang lại.</w:t>
      </w:r>
    </w:p>
    <w:p>
      <w:pPr>
        <w:spacing w:after="80"/>
      </w:pPr>
      <w:r>
        <w:rPr>
          <w:b w:val="0"/>
          <w:i w:val="0"/>
        </w:rPr>
        <w:t>Hiệu ứng này tương tự như “hiệu ứng công bố”—sự tăng giá cổ phiếu trong một khoảng thời gian ngắn sau khi công bố, thông qua hồ sơ 13-D, rằng một nhà đầu tư hoạt động đã nắm giữ một vị thế đáng kể trong cổ phiếu của một công ty—được quan sát thấy trong các nghiên cứu khác về hoạt động cổ đông. Tuy nhiên, trong nhiều trường hợp, hiệu ứng tranh giành khác biệt với hiệu ứng công bố 13-D, vì nó thường đến sau một khoảng thời gian đáng kể kể từ hồ sơ 13-D ban đầu, và rõ ràng liên quan đến một sáng kiến hoạt động cụ thể—cuộc tranh giành quyền đại diện—chứ không phải kỳ vọng chung về hoạt động cổ đông hiệu quả.</w:t>
      </w:r>
    </w:p>
    <w:p>
      <w:pPr>
        <w:spacing w:after="80"/>
      </w:pPr>
      <w:r>
        <w:rPr>
          <w:b w:val="0"/>
          <w:i w:val="0"/>
        </w:rPr>
        <w:t>Trong số 15 doanh nghiệp đang hoạt động trong mẫu có dữ liệu hiệu quả hoạt động ba năm sau khi thành lập hội đồng quản trị hỗn hợp, tổng lợi nhuận cổ đông trung bình chỉ đạt 0,7% trong giai đoạn ba năm—thấp hơn 6,6 điểm phần trăm so với các doanh nghiệp cùng ngành. Tuy nhiên, hiệu quả hoạt động tổng thể của giá cổ phiếu trong 39 tháng từ đầu giai đoạn tranh giành đến ngày kỷ niệm ba năm của hội đồng quản trị hỗn hợp đạt trung bình 21,5%—cao hơn 17,8 điểm phần trăm so với các doanh nghiệp cùng ngành—một lần nữa phần lớn nhờ vào sự tăng giá cổ phiếu đáng kể trong giai đoạn tranh giành.</w:t>
      </w:r>
    </w:p>
    <w:p>
      <w:pPr>
        <w:pStyle w:val="Heading5"/>
      </w:pPr>
      <w:r>
        <w:rPr>
          <w:rFonts w:ascii="Calibri" w:hAnsi="Calibri"/>
          <w:b/>
          <w:i/>
          <w:sz w:val="22"/>
        </w:rPr>
        <w:t>Nhận xét và Câu hỏi</w:t>
      </w:r>
    </w:p>
    <w:p>
      <w:pPr>
        <w:spacing w:after="80"/>
      </w:pPr>
      <w:r>
        <w:rPr>
          <w:b w:val="0"/>
          <w:i w:val="0"/>
        </w:rPr>
        <w:t>1. Nghiên cứu này có thể cho chúng ta biết điều gì về lợi ích của các giám đốc độc lập? Nó gợi ý điều gì về tầm quan trọng của việc ai là người đưa ra quyết định liên quan đến tính độc lập của giám đốc?</w:t>
      </w:r>
    </w:p>
    <w:p>
      <w:pPr>
        <w:spacing w:after="80"/>
      </w:pPr>
      <w:r>
        <w:rPr>
          <w:b w:val="0"/>
          <w:i w:val="0"/>
        </w:rPr>
        <w:t>2. Nghiên cứu này có tính kết luận không? Tại sao có hoặc tại sao không? Tại sao dữ liệu dài hạn có thể không ủng hộ các kết luận trong nghiên cứu?</w:t>
      </w:r>
    </w:p>
    <w:p>
      <w:pPr>
        <w:spacing w:after="80"/>
      </w:pPr>
      <w:r>
        <w:rPr>
          <w:b w:val="0"/>
          <w:i w:val="0"/>
        </w:rPr>
        <w:t>3. Nghiên cứu này có nhất quán với các kết luận mà Giáo sư Gordon trình bày trong phần trích dẫn trước mà bạn đã đọc không?</w:t>
      </w:r>
    </w:p>
    <w:p>
      <w:pPr>
        <w:spacing w:after="80"/>
      </w:pPr>
      <w:r>
        <w:rPr>
          <w:b w:val="0"/>
          <w:i w:val="0"/>
        </w:rPr>
        <w:t>4. Nghiên cứu này gợi ý những thay đổi chính sách nào có thể cần thiết để đạt được các lợi ích kinh tế từ các giám đốc độc lập? Những thay đổi này có gây tranh cãi không?</w:t>
      </w:r>
    </w:p>
    <w:p>
      <w:pPr>
        <w:spacing w:after="80"/>
      </w:pPr>
      <w:r>
        <w:rPr>
          <w:b w:val="0"/>
          <w:i w:val="0"/>
        </w:rPr>
        <w:t>—————</w:t>
      </w:r>
    </w:p>
    <w:p>
      <w:pPr>
        <w:spacing w:after="80"/>
      </w:pPr>
      <w:r>
        <w:rPr>
          <w:b w:val="0"/>
          <w:i w:val="0"/>
        </w:rPr>
        <w:t>Câu hỏi về các giám đốc độc lập đặt ra nhiều vấn đề hơn là chỉ lợi nhuận của công ty và quyền của cổ đông. Như Giáo sư Lucien Bebchuk và Michael Weisbach thảo luận trong trích đoạn bài viết tiếp theo, những lo ngại về việc quản lý quá mức cũng xuất hiện, cũng như các vấn đề liên quan đến lợi thế thông tin mà các giám đốc nội bộ được hưởng. Các tác giả tóm tắt ngắn gọn một số phát hiện gần đây hơn trong nghiên cứu về quản trị công ty và xác định một số câu hỏi quan trọng vẫn cần được xem xét khi các giám đốc độc lập ngày càng được thị trường, các cơ quan quản lý và tòa án ưa chuộng.</w:t>
      </w:r>
    </w:p>
    <w:p>
      <w:pPr>
        <w:pStyle w:val="Heading4"/>
      </w:pPr>
      <w:r>
        <w:rPr>
          <w:rFonts w:ascii="Calibri" w:hAnsi="Calibri"/>
          <w:b/>
          <w:i w:val="0"/>
          <w:sz w:val="23"/>
        </w:rPr>
        <w:t>Lucian A. Bebchuk &amp; Michael A. Weisbach,</w:t>
      </w:r>
      <w:r>
        <w:br/>
      </w:r>
      <w:r>
        <w:rPr>
          <w:rFonts w:ascii="Calibri" w:hAnsi="Calibri"/>
          <w:b/>
          <w:i w:val="0"/>
          <w:sz w:val="23"/>
        </w:rPr>
        <w:t xml:space="preserve"> </w:t>
      </w:r>
      <w:r>
        <w:rPr>
          <w:rFonts w:ascii="Calibri" w:hAnsi="Calibri"/>
          <w:b/>
          <w:i/>
          <w:sz w:val="23"/>
        </w:rPr>
        <w:t>Tình hình Nghiên cứu về Quản trị Công ty</w:t>
      </w:r>
    </w:p>
    <w:p>
      <w:pPr>
        <w:spacing w:after="80"/>
      </w:pPr>
      <w:r>
        <w:rPr>
          <w:b w:val="0"/>
          <w:i w:val="0"/>
        </w:rPr>
        <w:t>23 Rev. Fin. Stud. No. 3, 939–961 (2010)</w:t>
      </w:r>
    </w:p>
    <w:p>
      <w:pPr>
        <w:spacing w:after="80"/>
      </w:pPr>
      <w:r>
        <w:rPr>
          <w:b w:val="0"/>
          <w:i w:val="0"/>
        </w:rPr>
        <w:t>Làm thế nào để chúng ta khiến các hội đồng quản trị hoạt động tốt hơn? Một công thức ngày càng được các nhà hoạch định chính sách công và tư nhân đề xuất là có các hội đồng quản trị độc lập. Thật vậy, một phản ứng chính sách phổ biến đối với các 'cuộc khủng hoảng quản trị' được quan sát thấy là áp dụng các cải cách nhằm tăng cường tính độc lập của hội đồng quản trị. Ví dụ, sau các vụ bê bối Enron và WorldCom năm 2002, các sở giao dịch đã tăng cường các yêu cầu về tính độc lập, và Đạo luật Sarbanes-Oxley năm 2002 yêu cầu tính độc lập của các ủy ban kiểm toán. Cuộc khủng hoảng tài chính cũng tương tự dẫn đến việc xem xét luật pháp nhằm củng cố tính độc lập của các ủy ban lương thưởng.</w:t>
      </w:r>
    </w:p>
    <w:p>
      <w:pPr>
        <w:spacing w:after="80"/>
      </w:pPr>
      <w:r>
        <w:rPr>
          <w:b w:val="0"/>
          <w:i w:val="0"/>
        </w:rPr>
        <w:t>Tại sao lại áp đặt các giới hạn quy định đối với thành phần của hội đồng quản trị? Hermalin và Weisbach (1998) trình bày một mô hình trong đó các giám đốc được áp đặt lên công ty bởi các quy định có khả năng kém hiệu quả hơn những người được chọn thông qua quá trình lựa chọn nội sinh (endogenous selection process) mà sẽ diễn ra khi không có quy định. Đồng thời, các cơ quan quản lý thường lo ngại rằng, nếu không có quy định, chủ nghĩa cơ hội của các giám đốc nội bộ có thể dẫn đến tính độc lập không đầy đủ của các giám đốc.</w:t>
      </w:r>
    </w:p>
    <w:p>
      <w:pPr>
        <w:spacing w:after="80"/>
      </w:pPr>
      <w:r>
        <w:rPr>
          <w:b w:val="0"/>
          <w:i w:val="0"/>
        </w:rPr>
        <w:t>Tuy nhiên, với tầm quan trọng ngày càng tăng của các giám đốc độc lập, dù là do quy định hay do lựa chọn của các công ty, điều quan trọng là phải nghiên cứu một cách thực nghiệm các tác động của tính độc lập của giám đốc. Các nghiên cứu ban đầu về chủ đề này đã không tìm thấy mối liên hệ giữa tính độc lập của hội đồng quản trị và giá trị công ty cao hơn. Tuy nhiên, ngày càng có nhiều nghiên cứu thực nghiệm chỉ ra rằng tính độc lập của giám đốc có liên quan đến các quyết định được cải thiện đối với một số loại quyết định cụ thể. Cụ thể, người ta đã chỉ ra rằng tính độc lập của giám đốc có tác động đến việc thay đổi CEO, các quyết định về lương thưởng cho ban điều hành, tỷ lệ xảy ra gian lận, và tỷ lệ xảy ra việc chọn thời điểm cơ hội đối với các khoản trợ cấp quyền chọn cổ phiếu.</w:t>
      </w:r>
    </w:p>
    <w:p>
      <w:pPr>
        <w:spacing w:after="80"/>
      </w:pPr>
      <w:r>
        <w:rPr>
          <w:b w:val="0"/>
          <w:i w:val="0"/>
        </w:rPr>
        <w:t xml:space="preserve">Một điều kiện quan trọng, và cần thiết, để các giám đốc có thể hoạt động hiệu quả là lượng và bản chất thông tin mà họ có. Nếu các giám đốc chỉ có quyền truy cập vào thông tin công khai, thật khó để tưởng tượng rằng họ sẽ có thể đánh giá ban điều hành tốt hơn một cổ đông bên ngoài. Ngoài ra, chỉ riêng việc các giám đốc </w:t>
      </w:r>
      <w:r>
        <w:rPr>
          <w:b w:val="0"/>
          <w:i/>
        </w:rPr>
        <w:t>không</w:t>
      </w:r>
      <w:r>
        <w:rPr>
          <w:b w:val="0"/>
          <w:i w:val="0"/>
        </w:rPr>
        <w:t xml:space="preserve"> có thông tin vượt trội sẽ tự nó là hệ quả của một mối quan hệ căng thẳng với ban điều hành, vì có lẽ không có thông tin có giá trị nào được truyền đạt trong các cuộc họp hội đồng quản trị. Do đó, lợi thế thông tin của các giám đốc so với người bên ngoài có lẽ cung cấp một thước đo về tiềm năng của các giám đốc này trong việc tạo thêm giá trị.</w:t>
      </w:r>
    </w:p>
    <w:p>
      <w:pPr>
        <w:pStyle w:val="Heading5"/>
      </w:pPr>
      <w:r>
        <w:rPr>
          <w:rFonts w:ascii="Calibri" w:hAnsi="Calibri"/>
          <w:b/>
          <w:i/>
          <w:sz w:val="22"/>
        </w:rPr>
        <w:t xml:space="preserve"> Nhận xét và Câu hỏi</w:t>
      </w:r>
    </w:p>
    <w:p>
      <w:pPr>
        <w:spacing w:after="80"/>
      </w:pPr>
      <w:r>
        <w:rPr>
          <w:b w:val="0"/>
          <w:i w:val="0"/>
        </w:rPr>
        <w:t>1. Giáo sư Bebchuk và Weisbach đã xác định một số chức năng riêng biệt của hội đồng quản trị được tăng cường nhờ sự hiện diện của các giám đốc độc lập. Những phát hiện này có biện minh cho những thay đổi triệt để về thành phần hội đồng quản trị mà Đạo luật Sarbanes-Oxley yêu cầu không, khi mà không có bằng chứng kết luận rằng hiệu quả hoạt động cuối cùng của các công ty đã được cải thiện nhờ các quy định quản trị?</w:t>
      </w:r>
    </w:p>
    <w:p>
      <w:pPr>
        <w:spacing w:after="80"/>
      </w:pPr>
      <w:r>
        <w:rPr>
          <w:b w:val="0"/>
          <w:i w:val="0"/>
        </w:rPr>
        <w:t>2. Nếu các hội đồng quản trị công ty bao gồm thêm các giám đốc nội bộ (các giám đốc điều hành của công ty), liệu sự hiện diện của họ có thu hẹp khoảng cách thông tin giữa ban điều hành và các giám đốc độc lập không? Liệu Giáo sư Bebchuk và Weisbach có phản đối các hội đồng quản trị không bao gồm ít nhất một đa số giám đốc độc lập không?</w:t>
      </w:r>
    </w:p>
    <w:p>
      <w:pPr>
        <w:spacing w:after="80"/>
      </w:pPr>
      <w:r>
        <w:rPr>
          <w:b w:val="0"/>
          <w:i w:val="0"/>
        </w:rPr>
        <w:t>3. Giữa các nhà quản lý và cổ đông, ai nên quyết định thành phần hội đồng quản trị? Liệu có một khuôn mẫu chung cho tất cả? Nói cách khác, liệu cùng một thành phần hội đồng quản trị có hợp lý cho mọi công ty trong mọi ngành không? Những ngành nào có thể hưởng lợi nhiều nhất từ hội đồng quản trị độc lập chiếm đa số hoặc độc lập siêu đa số? Những ngành nào có thể hưởng lợi nhiều hơn từ hội đồng quản trị có đa số thành viên nội bộ? Tại sao?</w:t>
      </w:r>
    </w:p>
    <w:p>
      <w:pPr>
        <w:spacing w:after="80"/>
      </w:pPr>
      <w:r>
        <w:rPr>
          <w:b w:val="0"/>
          <w:i w:val="0"/>
        </w:rPr>
        <w:t>—————</w:t>
      </w:r>
    </w:p>
    <w:p>
      <w:pPr>
        <w:spacing w:after="80"/>
      </w:pPr>
      <w:r>
        <w:rPr>
          <w:b w:val="0"/>
          <w:i w:val="0"/>
        </w:rPr>
        <w:t>Nhiều nhà nghiên cứu đã nghiên cứu giá trị của các giám đốc độc lập bằng cách xem xét hiệu suất cổ phiếu so với số lượng giám đốc độc lập trong hội đồng quản trị của các công ty đại chúng và thời điểm bầu chọn họ. Trong bài viết tiếp theo, các tác giả xem xét sự tích hợp vận hành của các giám đốc độc lập để đánh giá tác động tiềm tàng của họ đối với giá trị công ty. Các tác giả xác định các chức năng chính của hội đồng quản trị để đưa ra giả thuyết về khả năng tiềm tàng của các giám đốc độc lập trong việc thực hiện các chức năng đó, sự khác biệt trong vận hành giữa giám đốc nội bộ và giám đốc độc lập, và tác động của những khác biệt đó đối với hiệu suất thị trường.</w:t>
      </w:r>
    </w:p>
    <w:p>
      <w:pPr>
        <w:pStyle w:val="Heading4"/>
      </w:pPr>
      <w:r>
        <w:rPr>
          <w:rFonts w:ascii="Calibri" w:hAnsi="Calibri"/>
          <w:b/>
          <w:i w:val="0"/>
          <w:sz w:val="23"/>
        </w:rPr>
        <w:t>Olubunmi Faleye, Rani Hoitash &amp; Udi Hoitash,</w:t>
      </w:r>
      <w:r>
        <w:br/>
      </w:r>
      <w:r>
        <w:rPr>
          <w:rFonts w:ascii="Calibri" w:hAnsi="Calibri"/>
          <w:b/>
          <w:i w:val="0"/>
          <w:sz w:val="23"/>
        </w:rPr>
        <w:t xml:space="preserve"> </w:t>
      </w:r>
      <w:r>
        <w:rPr>
          <w:rFonts w:ascii="Calibri" w:hAnsi="Calibri"/>
          <w:b/>
          <w:i/>
          <w:sz w:val="23"/>
        </w:rPr>
        <w:t>The Costs of Intense Board Monitoring</w:t>
      </w:r>
    </w:p>
    <w:p>
      <w:pPr>
        <w:spacing w:after="80"/>
      </w:pPr>
      <w:r>
        <w:rPr>
          <w:b w:val="0"/>
          <w:i w:val="0"/>
        </w:rPr>
        <w:t>101 J. Fin. Econ. 160 (2011)</w:t>
      </w:r>
    </w:p>
    <w:p>
      <w:pPr>
        <w:spacing w:after="80"/>
      </w:pPr>
      <w:r>
        <w:rPr>
          <w:b w:val="0"/>
          <w:i w:val="0"/>
        </w:rPr>
        <w:t xml:space="preserve">Quản trị công ty và các vấn đề về trách nhiệm giải trình của ban quản lý đã bị soi xét gắt gao kể từ làn sóng bê bối công ty gần đây. Trong khi nhiều giải pháp đã được đề xuất, phương thuốc phổ biến nhất cho các vấn đề của công ty dường như là tăng cường tính độc lập của hội đồng quản trị và trao thêm quyền giám sát cho các giám đốc độc lập. Ví dụ, một bài xã luận trên </w:t>
      </w:r>
      <w:r>
        <w:rPr>
          <w:b w:val="0"/>
          <w:i/>
        </w:rPr>
        <w:t>The Economist</w:t>
      </w:r>
      <w:r>
        <w:rPr>
          <w:b w:val="0"/>
          <w:i w:val="0"/>
        </w:rPr>
        <w:t xml:space="preserve"> kêu gọi tăng số lượng và trách nhiệm giám sát của các giám đốc độc lập. Tương tự, Sở Giao dịch Chứng khoán New York (NYSE) yêu cầu ba ủy ban chính của hội đồng quản trị (kiểm toán, thù lao và đề cử) của các công ty niêm yết phải chỉ gồm toàn các giám đốc độc lập. Một hàm ý của những kỳ vọng này là nhiều giám đốc độc lập đồng thời phục vụ trong nhiều ủy ban giám sát, dẫn đến việc dành một lượng thời gian đáng kể cho các trách nhiệm giám sát (Heidrick &amp; Struggles, 2007).</w:t>
      </w:r>
    </w:p>
    <w:p>
      <w:pPr>
        <w:spacing w:after="80"/>
      </w:pPr>
      <w:r>
        <w:rPr>
          <w:b w:val="0"/>
          <w:i w:val="0"/>
        </w:rPr>
        <w:t>Trong bài báo này, chúng tôi nghiên cứu cách việc dành nguồn lực của hội đồng quản trị cho các nhiệm vụ giám sát theo cách này tác động đến hiệu quả của hội đồng quản trị trong việc tạo ra giá trị thông qua các chức năng cố vấn và giám sát của nó. Một mặt, vì trách nhiệm chính của các ủy ban này liên quan đến việc giám sát ban lãnh đạo cấp cao, việc cam kết nguồn lực đáng kể của hội đồng quản trị cho chúng có thể cải thiện chất lượng giám sát của hội đồng quản trị (Vafeas, 2005), dẫn đến giảm chi phí đại diện tiềm tàng. Hơn nữa, các giám đốc độc lập phục vụ trong nhiều ủy ban giám sát có thể hiểu biết đầy đủ hơn về công ty. Cái nhìn rộng hơn này có thể giúp các giám đốc như vậy đưa ra quyết định sáng suốt hơn, một lần nữa dẫn đến kết quả tốt hơn. Tuy nhiên, những cải thiện trong giám sát đạt được thông qua việc giám sát gắt gao có thể tốn kém vì ảnh hưởng của nó đối với hoạt động cố vấn của hội đồng quản trị. Holmstrom (2005) lập luận rằng việc giám sát gắt gao phá hủy lòng tin cần thiết để giám đốc điều hành (CEO) chia sẻ thông tin chiến lược liên quan với các giám đốc. Tương tự, Adams và Ferreira (2007) đề xuất một mô hình trong đó CEO không giao tiếp với một hội đồng quản trị giám sát quá nhiều, trong khi Adams (2009) trình bày bằng chứng khảo sát cho thấy các giám đốc độc lập nhận được ít thông tin chiến lược hơn từ ban quản lý khi họ giám sát gắt gao. Vì vai trò cố vấn của các giám đốc độc lập phụ thuộc thiết yếu vào thông tin do CEO cung cấp (Song và Thakor, 2006; Adams và Ferreira, 2007), điều này có thể dẫn đến việc cố vấn kém. Ngoài ra, vì thời gian của các giám đốc là một nguồn lực hữu hạn, việc tăng thời gian dành cho giám sát làm giảm thời gian sẵn có cho việc cố vấn. Bên cạnh đó, Adams (2009) gợi ý rằng việc giám sát gắt gao khiến các giám đốc nhận thức chức năng chính của họ là giám sát ban quản lý và né tránh việc đưa ra lời khuyên chiến lược. Do đó, việc giám sát gắt gao có thể để lại cho các giám đốc ít thời gian, ít thông tin hơn và ít tập trung hơn vào việc cố vấn, từ đó làm tổn hại khả năng tạo ra giá trị của hội đồng quản trị. Cuối cùng, việc giám sát gắt gao có thể thúc đẩy sự cận thị của ban quản lý bằng cách làm suy yếu nhận thức của CEO về sự ủng hộ của hội đồng quản trị, điều cần thiết để khuyến khích đầu tư vào các dự án rủi ro nhưng gia tăng giá trị như đổi mới sáng tạo trong công ty.</w:t>
      </w:r>
    </w:p>
    <w:p>
      <w:pPr>
        <w:spacing w:after="80"/>
      </w:pPr>
      <w:r>
        <w:rPr>
          <w:b w:val="0"/>
          <w:i w:val="0"/>
        </w:rPr>
        <w:t>Mục tiêu của chúng tôi gồm ba phần. Thứ nhất, chúng tôi xem xét liệu chất lượng giám sát của hội đồng quản trị có tốt hơn khi hầu hết các giám đốc độc lập phục vụ trong nhiều ủy ban giám sát hay không. Thứ hai, chúng tôi xem xét liệu điều này có liên quan đến việc cố vấn yếu hơn hay không. Thứ ba, chúng tôi xem xét cách sự đánh đổi tiềm tàng này giữa chất lượng giám sát và cố vấn của hội đồng quản trị ảnh hưởng đến giá trị công ty, nhấn mạnh vai trò của các yêu cầu cố vấn của công ty trong quá trình này. Chúng tôi nghiên cứu những vấn đề này bằng cách sử dụng các công ty trong các chỉ số S&amp;P 500, S&amp;P MidCap 400 và S&amp;P SmallCap 600 (gọi chung là S&amp;P 1500) trong giai đoạn 1998–2006.</w:t>
      </w:r>
    </w:p>
    <w:p>
      <w:pPr>
        <w:spacing w:after="80"/>
      </w:pPr>
      <w:r>
        <w:rPr>
          <w:b w:val="0"/>
          <w:i w:val="0"/>
        </w:rPr>
        <w:t>Chúng tôi kiểm tra các tác động giám sát bằng cách phân tích việc thay đổi CEO, thù lao điều hành và chất lượng lợi nhuận. Chúng tôi nhận thấy rằng độ nhạy của việc thay đổi CEO đối với hiệu suất công ty tăng lên cùng với cường độ giám sát của hội đồng quản trị. Chúng tôi cũng nhận thấy những cải thiện về chất lượng lợi nhuận, với ít khoản dồn tích tùy ý hơn và lợi nhuận mang tính thông tin cao hơn. Hơn nữa, chúng tôi nhận thấy sự giảm đáng kể trong thù lao điều hành vượt mức, mặc dù không có bằng chứng về sự gia tăng độ nhạy giữa lương và hiệu suất. Nhìn chung, kết quả của chúng tôi cho thấy chất lượng giám sát của hội đồng quản trị tăng lên khi các giám đốc độc lập dành thời gian đáng kể cho các trách nhiệm giám sát, điều này nhất quán với một số nghiên cứu trước đây cho thấy các giám đốc độc lập có thể là những người giám sát có giá trị (ví dụ: Weisbach, 1988; Borokhovich, Parrino và Trapani, 1996).</w:t>
      </w:r>
    </w:p>
    <w:p>
      <w:pPr>
        <w:spacing w:after="80"/>
      </w:pPr>
      <w:r>
        <w:rPr>
          <w:b w:val="0"/>
          <w:i w:val="0"/>
        </w:rPr>
        <w:t>Tiếp theo, chúng tôi xem xét cách điều này ảnh hưởng đến chất lượng cố vấn của hội đồng quản trị. Đầu tiên chúng tôi tập trung vào một sự kiện chiến lược đòi hỏi sự đóng góp đáng kể của hội đồng quản trị bằng cách phân tích các thương vụ mua lại. Chúng tôi nhận thấy rằng các công ty có hội đồng quản trị giám sát gắt gao thể hiện hiệu suất mua lại kém hơn, với lợi nhuận công bố thấp hơn 48 điểm cơ bản và thời gian hoàn tất thương vụ lâu hơn. Tuy nhiên, các thương vụ mua lại là những sự kiện rời rạc và hiệu suất mua lại kém hơn không nhất thiết ngụ ý việc cố vấn chiến lược kém hiệu quả nói chung. Do đó, chúng tôi cung cấp thêm hiểu biết bằng cách tập trung vào các khoản đầu tư của công ty vào đổi mới sáng tạo. Đổi mới sáng tạo đòi hỏi việc vun đắp vốn nhân lực đặc thù của công ty và sự khoan dung đối với việc thử nghiệm và những sai lầm có thể tốn kém. Điều này đòi hỏi CEO phải nhìn nhận hội đồng quản trị là bên ủng hộ, điều này mang lại sự đảm bảo ngầm cần thiết để thuyết phục ông ấy chấp nhận các rủi ro chiến lược. Việc giám sát gắt gao có thể phá hủy nhận thức này, khiến CEO tập trung nhiều hơn vào các dự án thường nhật với kết quả tương đối an toàn thay vì đổi mới sáng tạo rủi ro cao. Nhất quán với điều này, chúng tôi nhận thấy rằng các công ty có hội đồng quản trị giám sát gắt gao đổi mới sáng tạo ít hơn, trong đó đổi mới sáng tạo được đo lường bằng các khoản đầu tư nghiên cứu và phát triển (R&amp;D) và chất lượng các bằng sáng chế được Văn phòng Sáng chế và Nhãn hiệu Hoa Kỳ (USPTO) cấp cho công ty.</w:t>
      </w:r>
    </w:p>
    <w:p>
      <w:pPr>
        <w:spacing w:after="80"/>
      </w:pPr>
      <w:r>
        <w:rPr>
          <w:b w:val="0"/>
          <w:i w:val="0"/>
        </w:rPr>
        <w:t>Tiếp theo, chúng tôi tập trung vào việc tạo ra giá trị (được đo lường bằng Tobin's q) để cung cấp bằng chứng về tác động ròng của việc giám sát gắt gao của hội đồng quản trị. Demsetz và Lehn (1985) gợi ý rằng, trong một thế giới không có ma sát và không có chi phí giao dịch, các công ty sẽ luôn duy trì cấu trúc hội đồng quản trị tối đa hóa giá trị bằng cách nhanh chóng điều chỉnh hội đồng quản trị của họ khi hoàn cảnh thay đổi. Ví dụ, họ sẽ thêm nhiều giám đốc hơn để duy trì năng lực cố vấn của hội đồng quản trị khi việc giám sát của hội đồng quản trị tăng lên. Do đó, các kiểm định thực nghiệm sẽ không phát hiện mối quan hệ nào giữa cấu trúc hội đồng quản trị và giá trị công ty. Tuy nhiên, chi phí giao dịch và các ràng buộc khác (ví dụ: do dư luận và/hoặc các yêu cầu quy định) có thể dẫn đến những sai lệch so với cấu trúc hội đồng quản trị tối ưu và cho phép một tác động có thể đo lường được đối với giá trị công ty. Nhất quán với điều này, chúng tôi nhận thấy rằng giá trị công ty thấp hơn đáng kể khi hội đồng quản trị giám sát gắt gao. Điều này gợi ý rằng các tác động tiêu cực của việc cố vấn chiếm ưu thế so với những cải thiện trong giám sát, tính trung bình. Nó cũng gợi ý các tác động khác biệt dựa trên các yêu cầu cố vấn đặc thù của từng công ty, vì các công ty có nhu cầu cố vấn cao sẽ chịu tổn thất giá trị lớn hơn nếu bị ràng buộc phải có hội đồng quản trị giám sát gắt gao khi các đặc điểm của họ đòi hỏi hoạt động cố vấn của hội đồng quản trị nhiều hơn.</w:t>
      </w:r>
    </w:p>
    <w:p>
      <w:pPr>
        <w:spacing w:after="80"/>
      </w:pPr>
      <w:r>
        <w:rPr>
          <w:b w:val="0"/>
          <w:i w:val="0"/>
        </w:rPr>
        <w:t>Coles, Daniel và Naveen (2008) cùng Linck, Netter và Yang (2008) đều lập luận rằng các công ty phức tạp có yêu cầu cố vấn cao hơn. Do đó, chúng tôi thực hiện các phân tích bổ sung để kiểm tra liệu các công ty phức tạp có hội đồng quản trị giám sát gắt gao có chịu các tác động tiêu cực lớn hơn hay không. Theo Coles, Daniel và Naveen (2008), chúng tôi xây dựng một chỉ số về nhu cầu cố vấn dựa trên độ phức tạp trong vận hành và sau đó kiểm tra liệu các tác động của việc giám sát gắt gao có bị khuếch đại bởi các yêu cầu cố vấn chiến lược hay không. Chúng tôi nhận thấy rằng sự suy giảm trong hiệu suất mua lại, đổi mới sáng tạo của công ty và giá trị công ty là lớn hơn đối với các công ty có yêu cầu cố vấn mạnh hơn. Ví dụ, một công ty có nhu cầu cố vấn đáng kể mà hội đồng quản trị giám sát gắt gao sẽ trải qua sự suy giảm 8,9% về chất lượng đổi mới sáng tạo của công ty, so với không có sự suy giảm nào đối với một công ty có nhu cầu cố vấn thấp với hội đồng quản trị giám sát gắt gao. Tương tự, việc giám sát gắt gao có liên quan đến sự suy giảm 9,5% về giá trị công ty khi nhu cầu cố vấn cao, so với mức suy giảm 0,8% không có ý nghĩa thống kê đối với các công ty có nhu cầu cố vấn thấp. Do đó, đối với các công ty có nhu cầu cố vấn cao, lợi ích của việc giám sát gắt gao bị lấn át bởi những điểm yếu trong hoạt động cố vấn của hội đồng quản trị, trong khi điều này dường như không xảy ra khi yêu cầu cố vấn thấp.</w:t>
      </w:r>
    </w:p>
    <w:p>
      <w:pPr>
        <w:spacing w:after="80"/>
      </w:pPr>
      <w:r>
        <w:rPr>
          <w:b w:val="0"/>
          <w:i w:val="0"/>
        </w:rPr>
        <w:t>Bài báo này có một số đóng góp quan trọng. Thứ nhất, chúng tôi mở rộng tài liệu mới nổi về chức năng cố vấn của hội đồng quản trị bằng cách cung cấp bằng chứng về sự đánh đổi giữa nhiệm vụ giám sát ban quản lý của các giám đốc và trách nhiệm của họ trong việc đưa ra lời khuyên chiến lược nhằm tạo điều kiện tạo ra giá trị. Theo truyền thống, các học giả và nhà quản lý có xu hướng tập trung vào nhiệm vụ giám sát của các giám đốc, và các đề xuất cải thiện quản trị công ty thường được diễn đạt theo hướng giám sát gắt gao hơn bởi các giám đốc độc lập. Các bài báo lý thuyết gần đây (ví dụ: Holmstrom, 2005; Adams và Ferreira, 2007) lập luận rằng điều này có thể thay đổi đáng kể động lực của hội đồng quản trị bằng cách phá vỡ mối quan hệ giữa CEO và các giám đốc độc lập. Chúng tôi cung cấp bằng chứng quan trọng bằng cách chỉ ra rằng trong khi việc giám sát gắt gao cải thiện hoạt động giám sát của hội đồng quản trị, chất lượng cố vấn của hội đồng quản trị lại suy giảm khi các giám đốc độc lập chủ yếu dành cho các nhiệm vụ giám sát. Hơn nữa, các tác động tiêu cực của việc cố vấn dường như lấn át những cải thiện trong giám sát, dẫn đến tổn thất giá trị ròng, đặc biệt là ở các công ty có nhu cầu cố vấn cao hơn. Do đó, chỉ riêng hiệu quả giám sát không phải là thước đo đủ cho quản trị công ty tốt.</w:t>
      </w:r>
    </w:p>
    <w:p>
      <w:pPr>
        <w:spacing w:after="80"/>
      </w:pPr>
      <w:r>
        <w:rPr>
          <w:b w:val="0"/>
          <w:i w:val="0"/>
        </w:rPr>
        <w:t>Chúng tôi cũng mở rộng tài liệu về tác động của việc cam kết thời gian của các giám đốc đối với hiệu quả của hội đồng quản trị. Fich và Shivdasani (2006) chỉ ra rằng giá trị công ty bị tổn hại khi đa số các giám đốc bên ngoài quá bận rộn thông qua việc phục vụ trong nhiều hội đồng quản trị của các công ty. Tuy nhiên, quyết định nhận thêm các vị trí trong hội đồng quản trị về cơ bản khác với nghĩa vụ của các giám đốc phải ngồi trong các ủy ban bổ sung. Uy tín và thù lao gắn liền với các vị trí trong hội đồng quản trị có thể thúc đẩy các giám đốc biện minh cho việc phân bổ thêm thời gian cho mỗi hội đồng quản trị bổ sung. Ngược lại, nếu các giám đốc phân bổ thời gian một cách hợp lý giữa các trách nhiệm chính của họ, họ có thể không tăng đáng kể thời gian dành cho một hội đồng quản trị cụ thể khi họ nhận được các nhiệm vụ ủy ban bổ sung từ hội đồng quản trị đó. Thay vào đó, thời gian dành cho các ủy ban bổ sung có thể đến với cái giá phải trả là thời gian mà lẽ ra họ dành cho các trách nhiệm khác của hội đồng quản trị tại cùng công ty. Chúng tôi mở rộng tài liệu bằng cách chỉ ra rằng sự đánh đổi tiềm tàng này có những hàm ý quan trọng đối với hiệu quả mà hội đồng quản trị thực hiện các chức năng cố vấn và giám sát của mình.</w:t>
      </w:r>
    </w:p>
    <w:p>
      <w:pPr>
        <w:spacing w:after="80"/>
      </w:pPr>
      <w:r>
        <w:rPr>
          <w:b w:val="0"/>
          <w:i w:val="0"/>
        </w:rPr>
        <w:t>Cuối cùng, kết quả của chúng tôi có những hàm ý chính sách quan trọng. Những phát hiện của chúng tôi về việc cải thiện giám sát cung cấp một cơ sở thực nghiệm cho các khuyến nghị tăng cường sự tham gia của giám đốc độc lập vào các nhiệm vụ giám sát. Tuy nhiên, sự suy giảm chất lượng cố vấn liên quan đến việc giám sát gắt gao gợi ý rằng việc chỉ tập trung vào giám sát của hội đồng quản trị có thể gây bất lợi. Do đó, cần phải cân bằng giữa nhiệm vụ giám sát và cố vấn của các giám đốc trong việc thiết kế các cấu trúc quản trị tối đa hóa giá trị. Quan trọng hơn, và cùng tinh thần với Coles, Daniel và Naveen (2008), kết quả của chúng tôi về các tác động khác nhau của việc giám sát gắt gao của hội đồng quản trị đối với các công ty có yêu cầu cố vấn cao và thấp thách thức cách tiếp cận một khuôn mẫu chung cho tất cả mà các nhà quản lý, các nhà hoạt động cổ đông và báo chí phổ thông thường ưa chuộng. Chúng tôi hy vọng rằng kết quả của chúng tôi sẽ khuyến khích việc xem xét sắc thái hơn đối với các yếu tố liên quan khi các công ty thiết kế cấu trúc quản trị của họ để tối đa hóa giá trị.</w:t>
      </w:r>
    </w:p>
    <w:p>
      <w:pPr>
        <w:pStyle w:val="Heading5"/>
      </w:pPr>
      <w:r>
        <w:rPr>
          <w:rFonts w:ascii="Calibri" w:hAnsi="Calibri"/>
          <w:b/>
          <w:i/>
          <w:sz w:val="22"/>
        </w:rPr>
        <w:t>Bình luận và Câu hỏi</w:t>
      </w:r>
    </w:p>
    <w:p>
      <w:pPr>
        <w:spacing w:after="80"/>
      </w:pPr>
      <w:r>
        <w:rPr>
          <w:b w:val="0"/>
          <w:i w:val="0"/>
        </w:rPr>
        <w:t>1. Phân tích của các tác giả dựa trên một số giả định then chốt; đáng chú ý nhất là việc hội đồng quản trị đảm nhận hai chức năng (giám sát và cố vấn), và các giám đốc chỉ có một lượng thời gian tương đối cố định để dành cho những chức năng này. Với những giả định đó, bạn có ngạc nhiên không khi nếu hội đồng quản trị phải tham gia giám sát nhiều hơn, thì hiệu quả thực hiện chức năng cố vấn của họ sẽ bị ảnh hưởng?</w:t>
      </w:r>
    </w:p>
    <w:p>
      <w:pPr>
        <w:spacing w:after="80"/>
      </w:pPr>
      <w:r>
        <w:rPr>
          <w:b w:val="0"/>
          <w:i w:val="0"/>
        </w:rPr>
        <w:t>2. Các tác giả trích dẫn một nghiên cứu của Fich và Shivdasani cho thấy các giám đốc bên ngoài có nhiều khả năng tham gia nhiều hội đồng quản trị, làm giảm thời gian sẵn có của họ. Tuy nhiên, cùng nghiên cứu đó cũng báo cáo rằng, dù có thể dành ít sự chú ý hơn cho các trách nhiệm của hội đồng quản trị so với các giám đốc bên trong, các giám đốc bên ngoài đã ngăn chặn được nhiều gian lận hơn khi tỷ lệ đại diện của họ trong hội đồng quản trị doanh nghiệp tăng lên. Với phát hiện này, liệu có quan trọng không nếu các lãnh đạo cấp cao nhận được ít định hướng chiến lược hơn từ hội đồng quản trị của họ? Các doanh nghiệp có thể làm gì để đảm bảo rằng CEO và các lãnh đạo chủ chốt khác nhận được nhiều lời cố vấn hơn từ các giám đốc bên ngoài?</w:t>
      </w:r>
    </w:p>
    <w:p>
      <w:pPr>
        <w:spacing w:after="80"/>
      </w:pPr>
      <w:r>
        <w:rPr>
          <w:b w:val="0"/>
          <w:i w:val="0"/>
        </w:rPr>
        <w:t>—————</w:t>
      </w:r>
    </w:p>
    <w:p>
      <w:pPr>
        <w:spacing w:after="80"/>
      </w:pPr>
      <w:r>
        <w:rPr>
          <w:b w:val="0"/>
          <w:i w:val="0"/>
        </w:rPr>
        <w:t>Mặc dù nghiên cứu về cơ cấu hội đồng quản trị chiếm ưu thế trong tài liệu về quản trị doanh nghiệp gần đây, đó không phải là yếu tố duy nhất của quản trị mà các học giả đã xem xét. Các tác giả của đoạn trích bài báo sau đây phân tích những thay đổi trong nghiên cứu quản trị doanh nghiệp và đề xuất một thước đo thay thế để đánh giá chất lượng quản trị của doanh nghiệp.</w:t>
      </w:r>
    </w:p>
    <w:p>
      <w:pPr>
        <w:pStyle w:val="Heading4"/>
      </w:pPr>
      <w:r>
        <w:rPr>
          <w:rFonts w:ascii="Calibri" w:hAnsi="Calibri"/>
          <w:b/>
          <w:i w:val="0"/>
          <w:sz w:val="23"/>
        </w:rPr>
        <w:t>Sanjai Baghat &amp; Brian Bolton,</w:t>
      </w:r>
      <w:r>
        <w:br/>
      </w:r>
      <w:r>
        <w:rPr>
          <w:rFonts w:ascii="Calibri" w:hAnsi="Calibri"/>
          <w:b/>
          <w:i w:val="0"/>
          <w:sz w:val="23"/>
        </w:rPr>
        <w:t xml:space="preserve"> </w:t>
      </w:r>
      <w:r>
        <w:rPr>
          <w:rFonts w:ascii="Calibri" w:hAnsi="Calibri"/>
          <w:b/>
          <w:i/>
          <w:sz w:val="23"/>
        </w:rPr>
        <w:t>Director Ownership, Governance and Performance</w:t>
      </w:r>
    </w:p>
    <w:p>
      <w:pPr>
        <w:spacing w:after="80"/>
      </w:pPr>
      <w:r>
        <w:rPr>
          <w:b w:val="0"/>
          <w:i/>
        </w:rPr>
        <w:t>available at</w:t>
      </w:r>
      <w:r>
        <w:rPr>
          <w:b w:val="0"/>
          <w:i w:val="0"/>
        </w:rPr>
        <w:t xml:space="preserve"> papers.ssrn.com/abstract_id=1571323 (2010)</w:t>
      </w:r>
    </w:p>
    <w:p>
      <w:pPr>
        <w:spacing w:after="80"/>
      </w:pPr>
      <w:r>
        <w:rPr>
          <w:b w:val="0"/>
          <w:i w:val="0"/>
        </w:rPr>
        <w:t>Các vụ bê bối doanh nghiệp vào đầu những năm 2000, bao gồm Enron, WorldCom, Tyco và những vụ khác, đã dẫn đến một làn sóng quy định nhằm cải thiện môi trường quản trị doanh nghiệp. Một đặc điểm chung của làn sóng này là việc thực thi các hướng dẫn liên quan đến tính độc lập của các thành viên hội đồng quản trị. Ví dụ, Đạo luật Sarbanes-Oxley năm 2002 quy định rằng tất cả các thành viên của ủy ban kiểm toán của một công ty niêm yết đều phải độc lập. Ngay sau đó, cả Sở Giao dịch Chứng khoán New York và Thị trường Chứng khoán NASDAQ đều yêu cầu tất cả các công ty niêm yết phải có đa số giám đốc độc lập.</w:t>
      </w:r>
    </w:p>
    <w:p>
      <w:pPr>
        <w:spacing w:after="80"/>
      </w:pPr>
      <w:r>
        <w:rPr>
          <w:b w:val="0"/>
          <w:i w:val="0"/>
        </w:rPr>
        <w:t>Việc các cơ quan quản lý và thể chế tập trung vào tính độc lập của hội đồng quản trị là điều đáng ngạc nhiên, bởi phần lớn nghiên cứu học thuật trước đây không tìm thấy mối quan hệ thống kê nào, và trong nhiều trường hợp, còn tìm thấy mối quan hệ tiêu cực, giữa tính độc lập của hội đồng quản trị và hiệu quả hoạt động của doanh nghiệp. . . .</w:t>
      </w:r>
    </w:p>
    <w:p>
      <w:pPr>
        <w:spacing w:after="80"/>
      </w:pPr>
      <w:r>
        <w:rPr>
          <w:b w:val="0"/>
          <w:i w:val="0"/>
        </w:rPr>
        <w:t xml:space="preserve">Trong khi chúng tôi xác nhận mối quan hệ tiêu cực giữa tính độc lập của hội đồng quản trị và hiệu quả hoạt động của doanh nghiệp (mà phần lớn nghiên cứu trước đây đã chỉ ra) đối với giai đoạn trước năm 2002, kết quả này lại đảo ngược đối với giai đoạn sau năm 2002. </w:t>
      </w:r>
      <w:r>
        <w:rPr>
          <w:b w:val="0"/>
          <w:i/>
        </w:rPr>
        <w:t>Trong các năm 2003–2007, tính độc lập cao hơn của hội đồng quản trị có tương quan thuận với hiệu quả hoạt động.</w:t>
      </w:r>
    </w:p>
    <w:p>
      <w:pPr>
        <w:spacing w:after="80"/>
      </w:pPr>
      <w:r>
        <w:rPr>
          <w:b w:val="0"/>
          <w:i w:val="0"/>
        </w:rPr>
        <w:t>Trong khi SOX tác động cụ thể đến tính độc lập của hội đồng quản trị, có lẽ việc gia tăng sự giám sát đối với môi trường quản trị doanh nghiệp của tất cả các công ty đã buộc các công ty phải thực thi những thông lệ quản trị doanh nghiệp tốt hơn, bất kể những thông lệ quản trị đó được đo lường như thế nào. Do đó, tính độc lập của hội đồng quản trị không phải là thước đo quản trị duy nhất mà chúng tôi xem xét. Chúng tôi nhận thấy rằng giá trị bằng đô la của quyền sở hữu cổ phần của giám đốc có tương quan thuận với hiệu quả hoạt động cả trước năm 2002 lẫn sau năm 2002. Chúng tôi cũng nhận thấy rằng việc CEO của một công ty có đồng thời là chủ tịch hội đồng quản trị hay không cũng có tương quan tiêu cực với hiệu quả hoạt động trong suốt giai đoạn mẫu.</w:t>
      </w:r>
    </w:p>
    <w:p>
      <w:pPr>
        <w:spacing w:after="80"/>
      </w:pPr>
      <w:r>
        <w:rPr>
          <w:b w:val="0"/>
          <w:i w:val="0"/>
        </w:rPr>
        <w:t>Mặc dù phần lớn nghiên cứu trước đây không tìm thấy mối quan hệ thuận giữa tính độc lập của hội đồng quản trị và hiệu quả hoạt động của doanh nghiệp trước năm 2002, một số nghiên cứu đã tìm thấy sự ủng hộ cho tính độc lập của hội đồng quản trị trong những tình huống cụ thể. Hermalin và Weisbach (2005) xây dựng một mô hình dự đoán rằng tính độc lập của hội đồng quản trị mang lại sự giám sát tốt hơn đối với các hành động của ban lãnh đạo. Bhagat và Bolton (2008) nhận thấy rằng các công ty có tính độc lập cao hơn có nhiều khả năng thay thế CEO hơn sau những giai đoạn hoạt động kém hiệu quả.</w:t>
      </w:r>
    </w:p>
    <w:p>
      <w:pPr>
        <w:spacing w:after="80"/>
      </w:pPr>
      <w:r>
        <w:rPr>
          <w:b w:val="0"/>
          <w:i w:val="0"/>
        </w:rPr>
        <w:t>Chúng tôi nhận thấy một mối quan hệ thuận nhất quán giữa hiệu quả hoạt động và quản trị đối với quyền sở hữu của giám đốc. Trung bình, quyền sở hữu cổ phần của giám đốc trung vị cao hơn 45 phần trăm trong giai đoạn 2003–2007 so với giai đoạn 1998–2001—và mối quan hệ giữa quyền sở hữu của giám đốc và hiệu quả hoạt động của doanh nghiệp luôn thuận trong cả hai giai đoạn phụ. Do đó, nghiên cứu này đề xuất một thước đo quản trị—cụ thể là giá trị sở hữu bằng đô la của các thành viên hội đồng quản trị—một thước đo đơn giản [và] trực quan.</w:t>
      </w:r>
    </w:p>
    <w:p>
      <w:pPr>
        <w:pStyle w:val="Heading5"/>
      </w:pPr>
      <w:r>
        <w:rPr>
          <w:rFonts w:ascii="Calibri" w:hAnsi="Calibri"/>
          <w:b/>
          <w:i/>
          <w:sz w:val="22"/>
        </w:rPr>
        <w:t>Comments and Questions</w:t>
      </w:r>
    </w:p>
    <w:p>
      <w:pPr>
        <w:spacing w:after="80"/>
      </w:pPr>
      <w:r>
        <w:rPr>
          <w:b w:val="0"/>
          <w:i w:val="0"/>
        </w:rPr>
        <w:t>1. Những người từ lâu chỉ trích các quy định bắt buộc về giám đốc độc lập, các Giáo sư Bhagat và Bolton báo cáo rằng các công ty có hội đồng quản trị đa số độc lập hoạt động tốt hơn sau SOX so với các công ty không có hội đồng quản trị đa số độc lập. Điều gì có thể giải thích cho phát hiện của họ?</w:t>
      </w:r>
    </w:p>
    <w:p>
      <w:pPr>
        <w:spacing w:after="80"/>
      </w:pPr>
      <w:r>
        <w:rPr>
          <w:b w:val="0"/>
          <w:i w:val="0"/>
        </w:rPr>
        <w:t xml:space="preserve">2. Một nghiên cứu khác báo cáo rằng hội đồng quản trị đa số độc lập vượt trội hơn hội đồng quản trị đa số là người nội bộ đối với các công ty đang hoạt động kém hiệu quả và đối mặt với các quyết định tái cấu trúc và sa thải. </w:t>
      </w:r>
      <w:r>
        <w:rPr>
          <w:b w:val="0"/>
          <w:i/>
        </w:rPr>
        <w:t>See</w:t>
      </w:r>
      <w:r>
        <w:rPr>
          <w:b w:val="0"/>
          <w:i w:val="0"/>
        </w:rPr>
        <w:t xml:space="preserve"> Tod Perry &amp; Anil Shivdasani, </w:t>
      </w:r>
      <w:r>
        <w:rPr>
          <w:b w:val="0"/>
          <w:i/>
        </w:rPr>
        <w:t>Do Boards Affect Performance? Evidence from Corporate Restructuring</w:t>
      </w:r>
      <w:r>
        <w:rPr>
          <w:b w:val="0"/>
          <w:i w:val="0"/>
        </w:rPr>
        <w:t xml:space="preserve"> , 78 J. Bus. 1403 (2005). Một kết luận phê phán ban đầu của nghiên cứu này nhận thấy rằng các công ty có hội đồng quản trị đa số độc lập có nhiều khả năng tái cấu trúc tài sản và sa thải nhân viên hơn các công ty khác. Tuy nhiên, chính những công ty này cũng cho thấy sự phục hồi đáng kể duy nhất trong vài năm sau quyết định tái cấu trúc. Tại sao hội đồng quản trị đa số độc lập có nhiều khả năng tái cấu trúc tài sản và sa thải nhân viên hơn?</w:t>
      </w:r>
    </w:p>
    <w:p>
      <w:pPr>
        <w:spacing w:after="80"/>
      </w:pPr>
      <w:r>
        <w:rPr>
          <w:b w:val="0"/>
          <w:i w:val="0"/>
        </w:rPr>
        <w:t>3. Tại sao việc các giám đốc sở hữu cổ phần công ty lại có thể ảnh hưởng đến chất lượng quản trị của hội đồng quản trị? Ngoài tính độc lập của giám đốc và quyền sở hữu cổ phần, bạn có thể nghĩ ra những yếu tố nào khác tác động đến chất lượng quản trị của hội đồng quản trị không?</w:t>
      </w:r>
    </w:p>
    <w:p>
      <w:pPr>
        <w:spacing w:after="80"/>
      </w:pPr>
      <w:r>
        <w:rPr>
          <w:b w:val="0"/>
          <w:i w:val="0"/>
        </w:rPr>
        <w:t>4. Giáo sư Bebchuk và Hamdani lập luận rằng:</w:t>
      </w:r>
    </w:p>
    <w:p>
      <w:pPr>
        <w:spacing w:after="80"/>
      </w:pPr>
      <w:r>
        <w:rPr>
          <w:b w:val="0"/>
          <w:i w:val="0"/>
        </w:rPr>
        <w:t>Các học giả và những người hành nghề . . . nên từ bỏ nỗ lực phát triển một thước đo quản trị duy nhất. Thay vào đó, họ sẽ làm tốt hơn nếu phát triển các phương pháp riêng biệt để đánh giá quản trị của các công ty có và không có cổ đông kiểm soát. Cách tiếp cận hai hướng như vậy sẽ phục vụ tốt nhất cho các nhà nghiên cứu, nhà đầu tư và nhà hoạch định chính sách trong việc đánh giá bảo vệ nhà đầu tư ở cấp quốc gia hoặc cấp công ty.</w:t>
      </w:r>
    </w:p>
    <w:p>
      <w:pPr>
        <w:spacing w:after="80"/>
      </w:pPr>
      <w:r>
        <w:rPr>
          <w:b w:val="0"/>
          <w:i w:val="0"/>
        </w:rPr>
        <w:t xml:space="preserve">Lucian A. Bebchuk &amp; Assaf Hamdani, </w:t>
      </w:r>
      <w:r>
        <w:rPr>
          <w:b w:val="0"/>
          <w:i/>
        </w:rPr>
        <w:t>The Elusive Quest for Global Governance Standards</w:t>
      </w:r>
      <w:r>
        <w:rPr>
          <w:b w:val="0"/>
          <w:i w:val="0"/>
        </w:rPr>
        <w:t xml:space="preserve"> , 157 U. Pa. L. Rev. 1263, 1268 (2009). Bạn có đồng ý không? Tại sao có hoặc tại sao không?</w:t>
      </w:r>
    </w:p>
    <w:p>
      <w:pPr>
        <w:spacing w:after="80"/>
      </w:pPr>
      <w:r>
        <w:rPr>
          <w:b w:val="0"/>
          <w:i w:val="0"/>
        </w:rPr>
        <w:t>1 . Bản quyền © 2008 Columbia Law Review. Được tái bản với sự cho phép.</w:t>
      </w:r>
    </w:p>
    <w:p>
      <w:pPr>
        <w:spacing w:after="80"/>
      </w:pPr>
      <w:r>
        <w:rPr>
          <w:b w:val="0"/>
          <w:i w:val="0"/>
        </w:rPr>
        <w:t>2 . Bản quyền © 2010. Được tái bản với sự cho phép.</w:t>
      </w:r>
    </w:p>
    <w:p>
      <w:pPr>
        <w:spacing w:after="80"/>
      </w:pPr>
      <w:r>
        <w:rPr>
          <w:b w:val="0"/>
          <w:i w:val="0"/>
        </w:rPr>
        <w:t>3 . Bản quyền © 2005 Yale Law Journal. Được tái bản với sự cho phép.</w:t>
      </w:r>
    </w:p>
    <w:p>
      <w:pPr>
        <w:spacing w:after="80"/>
      </w:pPr>
      <w:r>
        <w:rPr>
          <w:b w:val="0"/>
          <w:i w:val="0"/>
        </w:rPr>
        <w:t>4 . Bản quyền © 2006. Được tái bản với sự cho phép của các tác giả.</w:t>
      </w:r>
    </w:p>
    <w:p>
      <w:pPr>
        <w:spacing w:after="80"/>
      </w:pPr>
      <w:r>
        <w:rPr>
          <w:b w:val="0"/>
          <w:i w:val="0"/>
        </w:rPr>
        <w:t>5 . Bản quyền © 2006 Marquette Law Review. Được tái bản với sự cho phép.</w:t>
      </w:r>
    </w:p>
    <w:p>
      <w:pPr>
        <w:spacing w:after="80"/>
      </w:pPr>
      <w:r>
        <w:rPr>
          <w:b w:val="0"/>
          <w:i w:val="0"/>
        </w:rPr>
        <w:t>6 . Bản quyền © 2010. Được tái bản với sự cho phép của tác giả.</w:t>
      </w:r>
    </w:p>
    <w:p>
      <w:pPr>
        <w:spacing w:after="80"/>
      </w:pPr>
      <w:r>
        <w:rPr>
          <w:b w:val="0"/>
          <w:i w:val="0"/>
        </w:rPr>
        <w:t>7 . Bản quyền © 2007 Stanford Law Review. Được tái bản với sự cho phép.</w:t>
      </w:r>
    </w:p>
    <w:p>
      <w:pPr>
        <w:spacing w:after="80"/>
      </w:pPr>
      <w:r>
        <w:rPr>
          <w:b w:val="0"/>
          <w:i w:val="0"/>
        </w:rPr>
        <w:t>8 . Bản quyền © 2009. Được tái bản với sự cho phép của Investor Responsibility Research Center Institute và Proxy Governance.</w:t>
      </w:r>
    </w:p>
    <w:p>
      <w:pPr>
        <w:spacing w:after="80"/>
      </w:pPr>
      <w:r>
        <w:rPr>
          <w:b w:val="0"/>
          <w:i w:val="0"/>
        </w:rPr>
        <w:t>9 . Bản quyền © 2010 Oxford University Press. Được tái bản với sự cho phép.</w:t>
      </w:r>
    </w:p>
    <w:p>
      <w:pPr>
        <w:spacing w:after="80"/>
      </w:pPr>
      <w:r>
        <w:rPr>
          <w:b w:val="0"/>
          <w:i w:val="0"/>
        </w:rPr>
        <w:t>10 . Bản quyền © 2011. Được tái bản với sự cho phép.</w:t>
      </w:r>
    </w:p>
    <w:p>
      <w:pPr>
        <w:spacing w:after="80"/>
      </w:pPr>
      <w:r>
        <w:rPr>
          <w:b w:val="0"/>
          <w:i w:val="0"/>
        </w:rPr>
        <w:t>11 . Bản quyền © 2010. Được tái bản với sự cho phép.</w:t>
      </w:r>
    </w:p>
    <w:p>
      <w:pPr>
        <w:pStyle w:val="Heading1"/>
      </w:pPr>
      <w:r>
        <w:rPr>
          <w:rFonts w:ascii="Calibri" w:hAnsi="Calibri"/>
          <w:b/>
          <w:i w:val="0"/>
          <w:sz w:val="40"/>
        </w:rPr>
        <w:t>Mục lục</w:t>
      </w:r>
    </w:p>
    <w:p>
      <w:pPr>
        <w:spacing w:after="80"/>
      </w:pPr>
      <w:r>
        <w:rPr>
          <w:b w:val="0"/>
          <w:i w:val="0"/>
        </w:rPr>
        <w:t>[Tài liệu tham khảo được tính theo chương và mục.]</w:t>
      </w:r>
    </w:p>
    <w:p>
      <w:pPr>
        <w:spacing w:after="80"/>
      </w:pPr>
      <w:r>
        <w:rPr>
          <w:b/>
          <w:i w:val="0"/>
        </w:rPr>
        <w:t>A</w:t>
      </w:r>
    </w:p>
    <w:p>
      <w:pPr>
        <w:spacing w:after="80"/>
      </w:pPr>
      <w:r>
        <w:rPr>
          <w:b/>
          <w:i w:val="0"/>
        </w:rPr>
        <w:t>Các đạo luật chống thâu tóm</w:t>
      </w:r>
    </w:p>
    <w:p>
      <w:pPr>
        <w:spacing w:after="80"/>
      </w:pPr>
      <w:r>
        <w:rPr>
          <w:b w:val="0"/>
          <w:i w:val="0"/>
        </w:rPr>
        <w:t>Chiến thuật phòng ngự, 8 .II .A</w:t>
      </w:r>
    </w:p>
    <w:p>
      <w:pPr>
        <w:spacing w:after="80"/>
      </w:pPr>
      <w:r>
        <w:rPr>
          <w:b/>
          <w:i w:val="0"/>
        </w:rPr>
        <w:t>Phí luật sư</w:t>
      </w:r>
    </w:p>
    <w:p>
      <w:pPr>
        <w:spacing w:after="80"/>
      </w:pPr>
      <w:r>
        <w:rPr>
          <w:b w:val="0"/>
          <w:i w:val="0"/>
        </w:rPr>
        <w:t>Các vụ kiện của cổ đông, 10 .II .D .4</w:t>
      </w:r>
    </w:p>
    <w:p>
      <w:pPr>
        <w:spacing w:after="80"/>
      </w:pPr>
      <w:r>
        <w:rPr>
          <w:b/>
          <w:i w:val="0"/>
        </w:rPr>
        <w:t>B</w:t>
      </w:r>
    </w:p>
    <w:p>
      <w:pPr>
        <w:spacing w:after="80"/>
      </w:pPr>
      <w:r>
        <w:rPr>
          <w:b/>
          <w:i w:val="0"/>
        </w:rPr>
        <w:t>Ngân hàng</w:t>
      </w:r>
    </w:p>
    <w:p>
      <w:pPr>
        <w:spacing w:after="80"/>
      </w:pPr>
      <w:r>
        <w:rPr>
          <w:b w:val="0"/>
          <w:i w:val="0"/>
        </w:rPr>
        <w:t>Giám sát ban quản lý và, 12 .II .C</w:t>
      </w:r>
    </w:p>
    <w:p>
      <w:pPr>
        <w:spacing w:after="80"/>
      </w:pPr>
      <w:r>
        <w:rPr>
          <w:b/>
          <w:i w:val="0"/>
        </w:rPr>
        <w:t>Quy tắc phán đoán kinh doanh</w:t>
      </w:r>
    </w:p>
    <w:p>
      <w:pPr>
        <w:spacing w:after="80"/>
      </w:pPr>
      <w:r>
        <w:rPr>
          <w:b w:val="0"/>
          <w:i w:val="0"/>
        </w:rPr>
        <w:t>Nghĩa vụ cẩn trọng và, 4 .I</w:t>
      </w:r>
    </w:p>
    <w:p>
      <w:pPr>
        <w:spacing w:after="80"/>
      </w:pPr>
      <w:r>
        <w:rPr>
          <w:b w:val="0"/>
          <w:i w:val="0"/>
        </w:rPr>
        <w:t>Cẩn trọng trong quy trình và, 4 .II</w:t>
      </w:r>
    </w:p>
    <w:p>
      <w:pPr>
        <w:spacing w:after="80"/>
      </w:pPr>
      <w:r>
        <w:rPr>
          <w:b/>
          <w:i w:val="0"/>
        </w:rPr>
        <w:t>C</w:t>
      </w:r>
    </w:p>
    <w:p>
      <w:pPr>
        <w:spacing w:after="80"/>
      </w:pPr>
      <w:r>
        <w:rPr>
          <w:b/>
          <w:i w:val="0"/>
        </w:rPr>
        <w:t>Thị trường vốn</w:t>
      </w:r>
    </w:p>
    <w:p>
      <w:pPr>
        <w:spacing w:after="80"/>
      </w:pPr>
      <w:r>
        <w:rPr>
          <w:b w:val="0"/>
          <w:i w:val="0"/>
        </w:rPr>
        <w:t>Giám sát ban quản lý và, 12 .II .A</w:t>
      </w:r>
    </w:p>
    <w:p>
      <w:pPr>
        <w:spacing w:after="80"/>
      </w:pPr>
      <w:r>
        <w:rPr>
          <w:b/>
          <w:i w:val="0"/>
        </w:rPr>
        <w:t>Cẩn trọng, Nghĩa vụ</w:t>
      </w:r>
    </w:p>
    <w:p>
      <w:pPr>
        <w:spacing w:after="80"/>
      </w:pPr>
      <w:r>
        <w:rPr>
          <w:b w:val="0"/>
          <w:i w:val="0"/>
        </w:rPr>
        <w:t>Quy tắc phán đoán kinh doanh và, 4 .I ; 4 .II</w:t>
      </w:r>
    </w:p>
    <w:p>
      <w:pPr>
        <w:spacing w:after="80"/>
      </w:pPr>
      <w:r>
        <w:rPr>
          <w:b w:val="0"/>
          <w:i w:val="0"/>
        </w:rPr>
        <w:t>Thù lao điều hành, 6 .II .B</w:t>
      </w:r>
    </w:p>
    <w:p>
      <w:pPr>
        <w:spacing w:after="80"/>
      </w:pPr>
      <w:r>
        <w:rPr>
          <w:b w:val="0"/>
          <w:i w:val="0"/>
        </w:rPr>
        <w:t>Nghĩa vụ ủy thác (Xem Nghĩa vụ ủy thác)</w:t>
      </w:r>
    </w:p>
    <w:p>
      <w:pPr>
        <w:spacing w:after="80"/>
      </w:pPr>
      <w:r>
        <w:rPr>
          <w:b w:val="0"/>
          <w:i w:val="0"/>
        </w:rPr>
        <w:t>Quản lý rủi ro và, 4 .V</w:t>
      </w:r>
    </w:p>
    <w:p>
      <w:pPr>
        <w:spacing w:after="80"/>
      </w:pPr>
      <w:r>
        <w:rPr>
          <w:b/>
          <w:i w:val="0"/>
        </w:rPr>
        <w:t>Các khu vực tài phán theo Bộ luật Dân sự và Thông luật</w:t>
      </w:r>
    </w:p>
    <w:p>
      <w:pPr>
        <w:spacing w:after="80"/>
      </w:pPr>
      <w:r>
        <w:rPr>
          <w:b w:val="0"/>
          <w:i w:val="0"/>
        </w:rPr>
        <w:t>Nói chung, 12 .III ; 12 .III .B</w:t>
      </w:r>
    </w:p>
    <w:p>
      <w:pPr>
        <w:spacing w:after="80"/>
      </w:pPr>
      <w:r>
        <w:rPr>
          <w:b w:val="0"/>
          <w:i w:val="0"/>
        </w:rPr>
        <w:t>Nghiên cứu tình huống, 12 .III .C</w:t>
      </w:r>
    </w:p>
    <w:p>
      <w:pPr>
        <w:spacing w:after="80"/>
      </w:pPr>
      <w:r>
        <w:rPr>
          <w:b w:val="0"/>
          <w:i w:val="0"/>
        </w:rPr>
        <w:t>Tuân thủ hoặc giải trình, 12 .III .B .2</w:t>
      </w:r>
    </w:p>
    <w:p>
      <w:pPr>
        <w:spacing w:after="80"/>
      </w:pPr>
      <w:r>
        <w:rPr>
          <w:b w:val="0"/>
          <w:i w:val="0"/>
        </w:rPr>
        <w:t>Cơ cấu hội đồng quản trị kép, 12 .III .B .3</w:t>
      </w:r>
    </w:p>
    <w:p>
      <w:pPr>
        <w:spacing w:after="80"/>
      </w:pPr>
      <w:r>
        <w:rPr>
          <w:b w:val="0"/>
          <w:i w:val="0"/>
        </w:rPr>
        <w:t>Giải trình, tuân thủ hoặc, 12 .III .B .2</w:t>
      </w:r>
    </w:p>
    <w:p>
      <w:pPr>
        <w:spacing w:after="80"/>
      </w:pPr>
      <w:r>
        <w:rPr>
          <w:b w:val="0"/>
          <w:i w:val="0"/>
        </w:rPr>
        <w:t>Bối cảnh lịch sử, 12 .III .B .1</w:t>
      </w:r>
    </w:p>
    <w:p>
      <w:pPr>
        <w:spacing w:after="80"/>
      </w:pPr>
      <w:r>
        <w:rPr>
          <w:b w:val="0"/>
          <w:i w:val="0"/>
        </w:rPr>
        <w:t>Vai trò của các bên liên quan, 12 .III .B .4</w:t>
      </w:r>
    </w:p>
    <w:p>
      <w:pPr>
        <w:spacing w:after="80"/>
      </w:pPr>
      <w:r>
        <w:rPr>
          <w:b w:val="0"/>
          <w:i w:val="0"/>
        </w:rPr>
        <w:t>Các biến thể, 12 .III .A</w:t>
      </w:r>
    </w:p>
    <w:p>
      <w:pPr>
        <w:spacing w:after="80"/>
      </w:pPr>
      <w:r>
        <w:rPr>
          <w:b/>
          <w:i w:val="0"/>
        </w:rPr>
        <w:t>Các ủy ban</w:t>
      </w:r>
    </w:p>
    <w:p>
      <w:pPr>
        <w:spacing w:after="80"/>
      </w:pPr>
      <w:r>
        <w:rPr>
          <w:b w:val="0"/>
          <w:i w:val="0"/>
        </w:rPr>
        <w:t>Hội đồng quản trị công ty đại chúng, 3 .V</w:t>
      </w:r>
    </w:p>
    <w:p>
      <w:pPr>
        <w:spacing w:after="80"/>
      </w:pPr>
      <w:r>
        <w:rPr>
          <w:b w:val="0"/>
          <w:i w:val="0"/>
        </w:rPr>
        <w:t>Các ủy ban tranh tụng đặc biệt (Xem Các ủy ban tranh tụng đặc biệt (SLC))</w:t>
      </w:r>
    </w:p>
    <w:p>
      <w:pPr>
        <w:spacing w:after="80"/>
      </w:pPr>
      <w:r>
        <w:rPr>
          <w:b/>
          <w:i w:val="0"/>
        </w:rPr>
        <w:t>Các khu vực tài phán theo Thông luật</w:t>
      </w:r>
      <w:r>
        <w:rPr>
          <w:b w:val="0"/>
          <w:i w:val="0"/>
        </w:rPr>
        <w:t xml:space="preserve"> (Xem Các khu vực tài phán theo Bộ luật Dân sự và Thông luật)</w:t>
      </w:r>
    </w:p>
    <w:p>
      <w:pPr>
        <w:spacing w:after="80"/>
      </w:pPr>
      <w:r>
        <w:rPr>
          <w:b/>
          <w:i w:val="0"/>
        </w:rPr>
        <w:t>Quản trị doanh nghiệp so sánh</w:t>
      </w:r>
    </w:p>
    <w:p>
      <w:pPr>
        <w:spacing w:after="80"/>
      </w:pPr>
      <w:r>
        <w:rPr>
          <w:b w:val="0"/>
          <w:i w:val="0"/>
        </w:rPr>
        <w:t>Các quốc gia theo hệ thống luật dân sự (Xem Các quốc gia theo hệ thống luật dân sự và luật phổ thông)</w:t>
      </w:r>
    </w:p>
    <w:p>
      <w:pPr>
        <w:spacing w:after="80"/>
      </w:pPr>
      <w:r>
        <w:rPr>
          <w:b w:val="0"/>
          <w:i w:val="0"/>
        </w:rPr>
        <w:t>Các quốc gia theo hệ thống luật phổ thông (Xem Các quốc gia theo hệ thống luật dân sự và luật phổ thông)</w:t>
      </w:r>
    </w:p>
    <w:p>
      <w:pPr>
        <w:spacing w:after="80"/>
      </w:pPr>
      <w:r>
        <w:rPr>
          <w:b w:val="0"/>
          <w:i w:val="0"/>
        </w:rPr>
        <w:t>Văn hóa và, 12 .VI</w:t>
      </w:r>
    </w:p>
    <w:p>
      <w:pPr>
        <w:spacing w:after="80"/>
      </w:pPr>
      <w:r>
        <w:rPr>
          <w:b w:val="0"/>
          <w:i w:val="0"/>
        </w:rPr>
        <w:t>Các nước đang phát triển</w:t>
      </w:r>
    </w:p>
    <w:p>
      <w:pPr>
        <w:spacing w:after="80"/>
      </w:pPr>
      <w:r>
        <w:rPr>
          <w:b w:val="0"/>
          <w:i w:val="0"/>
        </w:rPr>
        <w:t>Nói chung, 12 .V</w:t>
      </w:r>
    </w:p>
    <w:p>
      <w:pPr>
        <w:spacing w:after="80"/>
      </w:pPr>
      <w:r>
        <w:rPr>
          <w:b w:val="0"/>
          <w:i w:val="0"/>
        </w:rPr>
        <w:t>Thị trường mới nổi, thực thi tại, 12 .V .B</w:t>
      </w:r>
    </w:p>
    <w:p>
      <w:pPr>
        <w:spacing w:after="80"/>
      </w:pPr>
      <w:r>
        <w:rPr>
          <w:b w:val="0"/>
          <w:i w:val="0"/>
        </w:rPr>
        <w:t>Thực thi tại các thị trường mới nổi, 12 .V .B</w:t>
      </w:r>
    </w:p>
    <w:p>
      <w:pPr>
        <w:spacing w:after="80"/>
      </w:pPr>
      <w:r>
        <w:rPr>
          <w:b w:val="0"/>
          <w:i w:val="0"/>
        </w:rPr>
        <w:t>Luật, tác động của, 12 .V .A</w:t>
      </w:r>
    </w:p>
    <w:p>
      <w:pPr>
        <w:spacing w:after="80"/>
      </w:pPr>
      <w:r>
        <w:rPr>
          <w:b w:val="0"/>
          <w:i w:val="0"/>
        </w:rPr>
        <w:t>Liên minh châu Âu, vai trò của, 12 .IV</w:t>
      </w:r>
    </w:p>
    <w:p>
      <w:pPr>
        <w:spacing w:after="80"/>
      </w:pPr>
      <w:r>
        <w:rPr>
          <w:b w:val="0"/>
          <w:i w:val="0"/>
        </w:rPr>
        <w:t>Quyền bá chủ, quản trị doanh nghiệp, 12 .I ; 12 .VII</w:t>
      </w:r>
    </w:p>
    <w:p>
      <w:pPr>
        <w:spacing w:after="80"/>
      </w:pPr>
      <w:r>
        <w:rPr>
          <w:b w:val="0"/>
          <w:i w:val="0"/>
        </w:rPr>
        <w:t>Giám sát ban quản lý (Xem Giám sát ban quản lý)</w:t>
      </w:r>
    </w:p>
    <w:p>
      <w:pPr>
        <w:spacing w:after="80"/>
      </w:pPr>
      <w:r>
        <w:rPr>
          <w:b/>
          <w:i w:val="0"/>
        </w:rPr>
        <w:t>Thù lao</w:t>
      </w:r>
    </w:p>
    <w:p>
      <w:pPr>
        <w:spacing w:after="80"/>
      </w:pPr>
      <w:r>
        <w:rPr>
          <w:b w:val="0"/>
          <w:i w:val="0"/>
        </w:rPr>
        <w:t>Thành viên hội đồng quản trị, 3 .VII</w:t>
      </w:r>
    </w:p>
    <w:p>
      <w:pPr>
        <w:spacing w:after="80"/>
      </w:pPr>
      <w:r>
        <w:rPr>
          <w:b w:val="0"/>
          <w:i w:val="0"/>
        </w:rPr>
        <w:t>Thù lao ban điều hành (Xem Thù lao ban điều hành)</w:t>
      </w:r>
    </w:p>
    <w:p>
      <w:pPr>
        <w:spacing w:after="80"/>
      </w:pPr>
      <w:r>
        <w:rPr>
          <w:b/>
          <w:i w:val="0"/>
        </w:rPr>
        <w:t>Các cuộc tranh chấp</w:t>
      </w:r>
      <w:r>
        <w:rPr>
          <w:b w:val="0"/>
          <w:i w:val="0"/>
        </w:rPr>
        <w:t xml:space="preserve"> (Xem Tranh chấp ủy quyền)</w:t>
      </w:r>
    </w:p>
    <w:p>
      <w:pPr>
        <w:spacing w:after="80"/>
      </w:pPr>
      <w:r>
        <w:rPr>
          <w:b/>
          <w:i w:val="0"/>
        </w:rPr>
        <w:t>Kiểm soát</w:t>
      </w:r>
    </w:p>
    <w:p>
      <w:pPr>
        <w:spacing w:after="80"/>
      </w:pPr>
      <w:r>
        <w:rPr>
          <w:b w:val="0"/>
          <w:i w:val="0"/>
        </w:rPr>
        <w:t>Thị trường cho (Xem Thị trường, tiêu đề phụ: Kiểm soát, cho)</w:t>
      </w:r>
    </w:p>
    <w:p>
      <w:pPr>
        <w:spacing w:after="80"/>
      </w:pPr>
      <w:r>
        <w:rPr>
          <w:b w:val="0"/>
          <w:i w:val="0"/>
        </w:rPr>
        <w:t>Quyền sở hữu và (Xem Cổ đông, tiêu đề phụ: Quyền sở hữu và kiểm soát, sự tách biệt giữa)</w:t>
      </w:r>
    </w:p>
    <w:p>
      <w:pPr>
        <w:spacing w:after="80"/>
      </w:pPr>
      <w:r>
        <w:rPr>
          <w:b/>
          <w:i w:val="0"/>
        </w:rPr>
        <w:t>Cổ đông kiểm soát</w:t>
      </w:r>
    </w:p>
    <w:p>
      <w:pPr>
        <w:spacing w:after="80"/>
      </w:pPr>
      <w:r>
        <w:rPr>
          <w:b w:val="0"/>
          <w:i w:val="0"/>
        </w:rPr>
        <w:t>Giám sát ban quản lý và, 12 .II .B</w:t>
      </w:r>
    </w:p>
    <w:p>
      <w:pPr>
        <w:spacing w:after="80"/>
      </w:pPr>
      <w:r>
        <w:rPr>
          <w:b/>
          <w:i w:val="0"/>
        </w:rPr>
        <w:t>Quản trị công ty (Tổng quan)</w:t>
      </w:r>
    </w:p>
    <w:p>
      <w:pPr>
        <w:spacing w:after="80"/>
      </w:pPr>
      <w:r>
        <w:rPr>
          <w:b w:val="0"/>
          <w:i w:val="0"/>
        </w:rPr>
        <w:t>Tổng quan, 1 .II</w:t>
      </w:r>
    </w:p>
    <w:p>
      <w:pPr>
        <w:spacing w:after="80"/>
      </w:pPr>
      <w:r>
        <w:rPr>
          <w:b w:val="0"/>
          <w:i w:val="0"/>
        </w:rPr>
        <w:t>So sánh (Xem Quản trị công ty so sánh)</w:t>
      </w:r>
    </w:p>
    <w:p>
      <w:pPr>
        <w:spacing w:after="80"/>
      </w:pPr>
      <w:r>
        <w:rPr>
          <w:b w:val="0"/>
          <w:i w:val="0"/>
        </w:rPr>
        <w:t>Được định nghĩa, 1 .I</w:t>
      </w:r>
    </w:p>
    <w:p>
      <w:pPr>
        <w:spacing w:after="80"/>
      </w:pPr>
      <w:r>
        <w:rPr>
          <w:b w:val="0"/>
          <w:i w:val="0"/>
        </w:rPr>
        <w:t>Giám đốc, 1 .II .A</w:t>
      </w:r>
    </w:p>
    <w:p>
      <w:pPr>
        <w:spacing w:after="80"/>
      </w:pPr>
      <w:r>
        <w:rPr>
          <w:b w:val="0"/>
          <w:i w:val="0"/>
        </w:rPr>
        <w:t>Công bố thông tin (Xem Công bố thông tin)</w:t>
      </w:r>
    </w:p>
    <w:p>
      <w:pPr>
        <w:spacing w:after="80"/>
      </w:pPr>
      <w:r>
        <w:rPr>
          <w:b w:val="0"/>
          <w:i w:val="0"/>
        </w:rPr>
        <w:t>Nâng cao hiệu quả hoạt động của công ty, 13 .I</w:t>
      </w:r>
    </w:p>
    <w:p>
      <w:pPr>
        <w:spacing w:after="80"/>
      </w:pPr>
      <w:r>
        <w:rPr>
          <w:b w:val="0"/>
          <w:i w:val="0"/>
        </w:rPr>
        <w:t>Người gác cổng, 1 .II .E</w:t>
      </w:r>
    </w:p>
    <w:p>
      <w:pPr>
        <w:spacing w:after="80"/>
      </w:pPr>
      <w:r>
        <w:rPr>
          <w:b w:val="0"/>
          <w:i w:val="0"/>
        </w:rPr>
        <w:t>Quyền bá chủ, 12 .I ; 12 .VII</w:t>
      </w:r>
    </w:p>
    <w:p>
      <w:pPr>
        <w:spacing w:after="80"/>
      </w:pPr>
      <w:r>
        <w:rPr>
          <w:b w:val="0"/>
          <w:i w:val="0"/>
        </w:rPr>
        <w:t>Giám đốc độc lập và, 13 .III</w:t>
      </w:r>
    </w:p>
    <w:p>
      <w:pPr>
        <w:spacing w:after="80"/>
      </w:pPr>
      <w:r>
        <w:rPr>
          <w:b w:val="0"/>
          <w:i w:val="0"/>
        </w:rPr>
        <w:t>Cán bộ điều hành, 1 .II .B</w:t>
      </w:r>
    </w:p>
    <w:p>
      <w:pPr>
        <w:spacing w:after="80"/>
      </w:pPr>
      <w:r>
        <w:rPr>
          <w:b w:val="0"/>
          <w:i w:val="0"/>
        </w:rPr>
        <w:t>Các thành phần doanh nghiệp khác, 1 .II .D</w:t>
      </w:r>
    </w:p>
    <w:p>
      <w:pPr>
        <w:spacing w:after="80"/>
      </w:pPr>
      <w:r>
        <w:rPr>
          <w:b w:val="0"/>
          <w:i w:val="0"/>
        </w:rPr>
        <w:t>Những khía cạnh gây hoang mang của, 1 .III</w:t>
      </w:r>
    </w:p>
    <w:p>
      <w:pPr>
        <w:spacing w:after="80"/>
      </w:pPr>
      <w:r>
        <w:rPr>
          <w:b w:val="0"/>
          <w:i w:val="0"/>
        </w:rPr>
        <w:t>Cuộc tranh luận về quản trị doanh nghiệp kiểu lang băm, 13 .II</w:t>
      </w:r>
    </w:p>
    <w:p>
      <w:pPr>
        <w:spacing w:after="80"/>
      </w:pPr>
      <w:r>
        <w:rPr>
          <w:b w:val="0"/>
          <w:i w:val="0"/>
        </w:rPr>
        <w:t>Các quy định (Xem Quy định)</w:t>
      </w:r>
    </w:p>
    <w:p>
      <w:pPr>
        <w:spacing w:after="80"/>
      </w:pPr>
      <w:r>
        <w:rPr>
          <w:b w:val="0"/>
          <w:i w:val="0"/>
        </w:rPr>
        <w:t>Cuộc cách mạng, 1 .IV</w:t>
      </w:r>
    </w:p>
    <w:p>
      <w:pPr>
        <w:spacing w:after="80"/>
      </w:pPr>
      <w:r>
        <w:rPr>
          <w:b w:val="0"/>
          <w:i w:val="0"/>
        </w:rPr>
        <w:t>Các cổ đông, 1 .II .C</w:t>
      </w:r>
    </w:p>
    <w:p>
      <w:pPr>
        <w:spacing w:after="80"/>
      </w:pPr>
      <w:r>
        <w:rPr>
          <w:b w:val="0"/>
          <w:i w:val="0"/>
        </w:rPr>
        <w:t>Các bên liên quan, 1 .II .D</w:t>
      </w:r>
    </w:p>
    <w:p>
      <w:pPr>
        <w:spacing w:after="80"/>
      </w:pPr>
      <w:r>
        <w:rPr>
          <w:b/>
          <w:i w:val="0"/>
        </w:rPr>
        <w:t>Cơ hội doanh nghiệp</w:t>
      </w:r>
    </w:p>
    <w:p>
      <w:pPr>
        <w:spacing w:after="80"/>
      </w:pPr>
      <w:r>
        <w:rPr>
          <w:b w:val="0"/>
          <w:i w:val="0"/>
        </w:rPr>
        <w:t>Việc chiếm đoạt, 5 .II</w:t>
      </w:r>
    </w:p>
    <w:p>
      <w:pPr>
        <w:spacing w:after="80"/>
      </w:pPr>
      <w:r>
        <w:rPr>
          <w:b/>
          <w:i w:val="0"/>
        </w:rPr>
        <w:t>Chi phí</w:t>
      </w:r>
    </w:p>
    <w:p>
      <w:pPr>
        <w:spacing w:after="80"/>
      </w:pPr>
      <w:r>
        <w:rPr>
          <w:b w:val="0"/>
          <w:i w:val="0"/>
        </w:rPr>
        <w:t>Các cuộc tranh giành quyền đại diện, của, 8 .III .E</w:t>
      </w:r>
    </w:p>
    <w:p>
      <w:pPr>
        <w:spacing w:after="80"/>
      </w:pPr>
      <w:r>
        <w:rPr>
          <w:b/>
          <w:i w:val="0"/>
        </w:rPr>
        <w:t>Văn hóa</w:t>
      </w:r>
    </w:p>
    <w:p>
      <w:pPr>
        <w:spacing w:after="80"/>
      </w:pPr>
      <w:r>
        <w:rPr>
          <w:b w:val="0"/>
          <w:i w:val="0"/>
        </w:rPr>
        <w:t>Quản trị doanh nghiệp so sánh và, 12 .VI</w:t>
      </w:r>
    </w:p>
    <w:p>
      <w:pPr>
        <w:spacing w:after="80"/>
      </w:pPr>
      <w:r>
        <w:rPr>
          <w:b/>
          <w:i w:val="0"/>
        </w:rPr>
        <w:t>D</w:t>
      </w:r>
    </w:p>
    <w:p>
      <w:pPr>
        <w:spacing w:after="80"/>
      </w:pPr>
      <w:r>
        <w:rPr>
          <w:b/>
          <w:i w:val="0"/>
        </w:rPr>
        <w:t>Các chiến thuật phòng ngự</w:t>
      </w:r>
    </w:p>
    <w:p>
      <w:pPr>
        <w:spacing w:after="80"/>
      </w:pPr>
      <w:r>
        <w:rPr>
          <w:b w:val="0"/>
          <w:i w:val="0"/>
        </w:rPr>
        <w:t>Các đạo luật chống thâu tóm, 8 .II .A</w:t>
      </w:r>
    </w:p>
    <w:p>
      <w:pPr>
        <w:spacing w:after="80"/>
      </w:pPr>
      <w:r>
        <w:rPr>
          <w:b w:val="0"/>
          <w:i w:val="0"/>
        </w:rPr>
        <w:t>Thâu tóm thù địch, vai trò của hội đồng quản trị mục tiêu trong, 8 .II .B</w:t>
      </w:r>
    </w:p>
    <w:p>
      <w:pPr>
        <w:spacing w:after="80"/>
      </w:pPr>
      <w:r>
        <w:rPr>
          <w:b w:val="0"/>
          <w:i w:val="0"/>
        </w:rPr>
        <w:t>Viên thuốc độc, hiệu lực của, 8 .II .C</w:t>
      </w:r>
    </w:p>
    <w:p>
      <w:pPr>
        <w:spacing w:after="80"/>
      </w:pPr>
      <w:r>
        <w:rPr>
          <w:b w:val="0"/>
          <w:i w:val="0"/>
        </w:rPr>
        <w:t>Quy định (Xem tiêu đề phụ: Luật và quy định của tiểu bang)</w:t>
      </w:r>
    </w:p>
    <w:p>
      <w:pPr>
        <w:spacing w:after="80"/>
      </w:pPr>
      <w:r>
        <w:rPr>
          <w:b w:val="0"/>
          <w:i w:val="0"/>
        </w:rPr>
        <w:t>Luật và quy định của tiểu bang</w:t>
      </w:r>
    </w:p>
    <w:p>
      <w:pPr>
        <w:spacing w:after="80"/>
      </w:pPr>
      <w:r>
        <w:rPr>
          <w:b w:val="0"/>
          <w:i w:val="0"/>
        </w:rPr>
        <w:t>Nói chung, 8 .II</w:t>
      </w:r>
    </w:p>
    <w:p>
      <w:pPr>
        <w:spacing w:after="80"/>
      </w:pPr>
      <w:r>
        <w:rPr>
          <w:b w:val="0"/>
          <w:i w:val="0"/>
        </w:rPr>
        <w:t>Các đạo luật chống thâu tóm, 8 .II .A</w:t>
      </w:r>
    </w:p>
    <w:p>
      <w:pPr>
        <w:spacing w:after="80"/>
      </w:pPr>
      <w:r>
        <w:rPr>
          <w:b w:val="0"/>
          <w:i w:val="0"/>
        </w:rPr>
        <w:t>Thâu tóm thù địch, vai trò của hội đồng quản trị mục tiêu trong, 8 .II .B</w:t>
      </w:r>
    </w:p>
    <w:p>
      <w:pPr>
        <w:spacing w:after="80"/>
      </w:pPr>
      <w:r>
        <w:rPr>
          <w:b w:val="0"/>
          <w:i w:val="0"/>
        </w:rPr>
        <w:t>Viên thuốc độc, hiệu lực của, 8 .II .C</w:t>
      </w:r>
    </w:p>
    <w:p>
      <w:pPr>
        <w:spacing w:after="80"/>
      </w:pPr>
      <w:r>
        <w:rPr>
          <w:b/>
          <w:i w:val="0"/>
        </w:rPr>
        <w:t>Tranh tụng phái sinh</w:t>
      </w:r>
    </w:p>
    <w:p>
      <w:pPr>
        <w:spacing w:after="80"/>
      </w:pPr>
      <w:r>
        <w:rPr>
          <w:b w:val="0"/>
          <w:i w:val="0"/>
        </w:rPr>
        <w:t>Nói chung, 10 .II</w:t>
      </w:r>
    </w:p>
    <w:p>
      <w:pPr>
        <w:spacing w:after="80"/>
      </w:pPr>
      <w:r>
        <w:rPr>
          <w:b w:val="0"/>
          <w:i w:val="0"/>
        </w:rPr>
        <w:t>Cuộc tranh luận về, 10 .III</w:t>
      </w:r>
    </w:p>
    <w:p>
      <w:pPr>
        <w:spacing w:after="80"/>
      </w:pPr>
      <w:r>
        <w:rPr>
          <w:b w:val="0"/>
          <w:i w:val="0"/>
        </w:rPr>
        <w:t>Yêu cầu đòi hỏi, 10 .II .B</w:t>
      </w:r>
    </w:p>
    <w:p>
      <w:pPr>
        <w:spacing w:after="80"/>
      </w:pPr>
      <w:r>
        <w:rPr>
          <w:b w:val="0"/>
          <w:i w:val="0"/>
        </w:rPr>
        <w:t>Khiếu nại phái sinh, 10 .I</w:t>
      </w:r>
    </w:p>
    <w:p>
      <w:pPr>
        <w:spacing w:after="80"/>
      </w:pPr>
      <w:r>
        <w:rPr>
          <w:b w:val="0"/>
          <w:i w:val="0"/>
        </w:rPr>
        <w:t>Khiếu nại trực tiếp, 10 .I</w:t>
      </w:r>
    </w:p>
    <w:p>
      <w:pPr>
        <w:spacing w:after="80"/>
      </w:pPr>
      <w:r>
        <w:rPr>
          <w:b w:val="0"/>
          <w:i w:val="0"/>
        </w:rPr>
        <w:t>Xem xét sơ bộ, 10 .I</w:t>
      </w:r>
    </w:p>
    <w:p>
      <w:pPr>
        <w:spacing w:after="80"/>
      </w:pPr>
      <w:r>
        <w:rPr>
          <w:b w:val="0"/>
          <w:i w:val="0"/>
        </w:rPr>
        <w:t>Cải cách, 10 .IV</w:t>
      </w:r>
    </w:p>
    <w:p>
      <w:pPr>
        <w:spacing w:after="80"/>
      </w:pPr>
      <w:r>
        <w:rPr>
          <w:b w:val="0"/>
          <w:i w:val="0"/>
        </w:rPr>
        <w:t>Các vụ kiện của cổ đông</w:t>
      </w:r>
    </w:p>
    <w:p>
      <w:pPr>
        <w:spacing w:after="80"/>
      </w:pPr>
      <w:r>
        <w:rPr>
          <w:b w:val="0"/>
          <w:i w:val="0"/>
        </w:rPr>
        <w:t>Phí luật sư, 10 .II .D .4</w:t>
      </w:r>
    </w:p>
    <w:p>
      <w:pPr>
        <w:spacing w:after="80"/>
      </w:pPr>
      <w:r>
        <w:rPr>
          <w:b w:val="0"/>
          <w:i w:val="0"/>
        </w:rPr>
        <w:t>Bằng chứng thực nghiệm, 10 .II .D .1</w:t>
      </w:r>
    </w:p>
    <w:p>
      <w:pPr>
        <w:spacing w:after="80"/>
      </w:pPr>
      <w:r>
        <w:rPr>
          <w:b w:val="0"/>
          <w:i w:val="0"/>
        </w:rPr>
        <w:t>Bồi thường, 10 .II .D .5</w:t>
      </w:r>
    </w:p>
    <w:p>
      <w:pPr>
        <w:spacing w:after="80"/>
      </w:pPr>
      <w:r>
        <w:rPr>
          <w:b w:val="0"/>
          <w:i w:val="0"/>
        </w:rPr>
        <w:t>Bảo hiểm, 10 .II .D .5</w:t>
      </w:r>
    </w:p>
    <w:p>
      <w:pPr>
        <w:spacing w:after="80"/>
      </w:pPr>
      <w:r>
        <w:rPr>
          <w:b w:val="0"/>
          <w:i w:val="0"/>
        </w:rPr>
        <w:t>Xem xét tư pháp đối với các thỏa thuận dàn xếp, 10 .II .D .2</w:t>
      </w:r>
    </w:p>
    <w:p>
      <w:pPr>
        <w:spacing w:after="80"/>
      </w:pPr>
      <w:r>
        <w:rPr>
          <w:b w:val="0"/>
          <w:i w:val="0"/>
        </w:rPr>
        <w:t>Thách thức sáp nhập và mua lại, 10 .II .D .3</w:t>
      </w:r>
    </w:p>
    <w:p>
      <w:pPr>
        <w:spacing w:after="80"/>
      </w:pPr>
      <w:r>
        <w:rPr>
          <w:b w:val="0"/>
          <w:i w:val="0"/>
        </w:rPr>
        <w:t>Các thỏa thuận dàn xếp, xem xét tư pháp đối với, 10 .II .D .2</w:t>
      </w:r>
    </w:p>
    <w:p>
      <w:pPr>
        <w:spacing w:after="80"/>
      </w:pPr>
      <w:r>
        <w:rPr>
          <w:b w:val="0"/>
          <w:i w:val="0"/>
        </w:rPr>
        <w:t>Ủy ban tranh tụng đặc biệt (Xem Ủy ban tranh tụng đặc biệt (SLC))</w:t>
      </w:r>
    </w:p>
    <w:p>
      <w:pPr>
        <w:spacing w:after="80"/>
      </w:pPr>
      <w:r>
        <w:rPr>
          <w:b w:val="0"/>
          <w:i w:val="0"/>
        </w:rPr>
        <w:t>Tư cách nguyên đơn, 10 .II .A</w:t>
      </w:r>
    </w:p>
    <w:p>
      <w:pPr>
        <w:spacing w:after="80"/>
      </w:pPr>
      <w:r>
        <w:rPr>
          <w:b/>
          <w:i w:val="0"/>
        </w:rPr>
        <w:t>Các nước đang phát triển</w:t>
      </w:r>
    </w:p>
    <w:p>
      <w:pPr>
        <w:spacing w:after="80"/>
      </w:pPr>
      <w:r>
        <w:rPr>
          <w:b w:val="0"/>
          <w:i w:val="0"/>
        </w:rPr>
        <w:t>Quản trị công ty so sánh (Xem Quản trị công ty so sánh)</w:t>
      </w:r>
    </w:p>
    <w:p>
      <w:pPr>
        <w:spacing w:after="80"/>
      </w:pPr>
      <w:r>
        <w:rPr>
          <w:b/>
          <w:i w:val="0"/>
        </w:rPr>
        <w:t>Các giám đốc</w:t>
      </w:r>
    </w:p>
    <w:p>
      <w:pPr>
        <w:spacing w:after="80"/>
      </w:pPr>
      <w:r>
        <w:rPr>
          <w:b w:val="0"/>
          <w:i w:val="0"/>
        </w:rPr>
        <w:t>Nói chung, 1 .II .A</w:t>
      </w:r>
    </w:p>
    <w:p>
      <w:pPr>
        <w:spacing w:after="80"/>
      </w:pPr>
      <w:r>
        <w:rPr>
          <w:b w:val="0"/>
          <w:i w:val="0"/>
        </w:rPr>
        <w:t>Tính độc lập (Xem Giám đốc độc lập)</w:t>
      </w:r>
    </w:p>
    <w:p>
      <w:pPr>
        <w:spacing w:after="80"/>
      </w:pPr>
      <w:r>
        <w:rPr>
          <w:b w:val="0"/>
          <w:i w:val="0"/>
        </w:rPr>
        <w:t>Giám sát, 4 .IV</w:t>
      </w:r>
    </w:p>
    <w:p>
      <w:pPr>
        <w:spacing w:after="80"/>
      </w:pPr>
      <w:r>
        <w:rPr>
          <w:b w:val="0"/>
          <w:i w:val="0"/>
        </w:rPr>
        <w:t>Ban điều hành công ty đại chúng (Xem Ban điều hành công ty đại chúng, tiêu đề phụ: Các giám đốc)</w:t>
      </w:r>
    </w:p>
    <w:p>
      <w:pPr>
        <w:spacing w:after="80"/>
      </w:pPr>
      <w:r>
        <w:rPr>
          <w:b/>
          <w:i w:val="0"/>
        </w:rPr>
        <w:t>Công bố thông tin</w:t>
      </w:r>
    </w:p>
    <w:p>
      <w:pPr>
        <w:spacing w:after="80"/>
      </w:pPr>
      <w:r>
        <w:rPr>
          <w:b w:val="0"/>
          <w:i w:val="0"/>
        </w:rPr>
        <w:t>Nghĩa vụ, 4 .VI</w:t>
      </w:r>
    </w:p>
    <w:p>
      <w:pPr>
        <w:spacing w:after="80"/>
      </w:pPr>
      <w:r>
        <w:rPr>
          <w:b w:val="0"/>
          <w:i w:val="0"/>
        </w:rPr>
        <w:t>Quyền tiếp cận thông tin bình đẳng, 9 .V</w:t>
      </w:r>
    </w:p>
    <w:p>
      <w:pPr>
        <w:spacing w:after="80"/>
      </w:pPr>
      <w:r>
        <w:rPr>
          <w:b w:val="0"/>
          <w:i w:val="0"/>
        </w:rPr>
        <w:t>Thù lao điều hành và, 6 .III .A</w:t>
      </w:r>
    </w:p>
    <w:p>
      <w:pPr>
        <w:spacing w:after="80"/>
      </w:pPr>
      <w:r>
        <w:rPr>
          <w:b w:val="0"/>
          <w:i w:val="0"/>
        </w:rPr>
        <w:t>Chế độ công bố thông tin liên bang, 9 .II</w:t>
      </w:r>
    </w:p>
    <w:p>
      <w:pPr>
        <w:spacing w:after="80"/>
      </w:pPr>
      <w:r>
        <w:rPr>
          <w:b w:val="0"/>
          <w:i w:val="0"/>
        </w:rPr>
        <w:t>Các ủy ban của ban điều hành, 9 .II .A</w:t>
      </w:r>
    </w:p>
    <w:p>
      <w:pPr>
        <w:spacing w:after="80"/>
      </w:pPr>
      <w:r>
        <w:rPr>
          <w:b w:val="0"/>
          <w:i w:val="0"/>
        </w:rPr>
        <w:t>Sự đa dạng của ban điều hành, 9 .II .B</w:t>
      </w:r>
    </w:p>
    <w:p>
      <w:pPr>
        <w:spacing w:after="80"/>
      </w:pPr>
      <w:r>
        <w:rPr>
          <w:b w:val="0"/>
          <w:i w:val="0"/>
        </w:rPr>
        <w:t>Hành vi thực chất, 9 .II .C</w:t>
      </w:r>
    </w:p>
    <w:p>
      <w:pPr>
        <w:spacing w:after="80"/>
      </w:pPr>
      <w:r>
        <w:rPr>
          <w:b w:val="0"/>
          <w:i w:val="0"/>
        </w:rPr>
        <w:t>Quyền thanh tra, 9 .I</w:t>
      </w:r>
    </w:p>
    <w:p>
      <w:pPr>
        <w:spacing w:after="80"/>
      </w:pPr>
      <w:r>
        <w:rPr>
          <w:b w:val="0"/>
          <w:i w:val="0"/>
        </w:rPr>
        <w:t>Chi phí của việc này, 9 .I .D</w:t>
      </w:r>
    </w:p>
    <w:p>
      <w:pPr>
        <w:spacing w:after="80"/>
      </w:pPr>
      <w:r>
        <w:rPr>
          <w:b w:val="0"/>
          <w:i w:val="0"/>
        </w:rPr>
        <w:t>Cơ sở đáng tin cậy, 9 .I .C</w:t>
      </w:r>
    </w:p>
    <w:p>
      <w:pPr>
        <w:spacing w:after="80"/>
      </w:pPr>
      <w:r>
        <w:rPr>
          <w:b w:val="0"/>
          <w:i w:val="0"/>
        </w:rPr>
        <w:t>Quy trình, 9 .I .A</w:t>
      </w:r>
    </w:p>
    <w:p>
      <w:pPr>
        <w:spacing w:after="80"/>
      </w:pPr>
      <w:r>
        <w:rPr>
          <w:b w:val="0"/>
          <w:i w:val="0"/>
        </w:rPr>
        <w:t>Mục đích chính đáng, 9 .I .B</w:t>
      </w:r>
    </w:p>
    <w:p>
      <w:pPr>
        <w:spacing w:after="80"/>
      </w:pPr>
      <w:r>
        <w:rPr>
          <w:b w:val="0"/>
          <w:i w:val="0"/>
        </w:rPr>
        <w:t>Tính chính trực trong quản lý, vấn đề về, 9 .III</w:t>
      </w:r>
    </w:p>
    <w:p>
      <w:pPr>
        <w:spacing w:after="80"/>
      </w:pPr>
      <w:r>
        <w:rPr>
          <w:b w:val="0"/>
          <w:i w:val="0"/>
        </w:rPr>
        <w:t>Trách nhiệm xã hội</w:t>
      </w:r>
    </w:p>
    <w:p>
      <w:pPr>
        <w:spacing w:after="80"/>
      </w:pPr>
      <w:r>
        <w:rPr>
          <w:b w:val="0"/>
          <w:i w:val="0"/>
        </w:rPr>
        <w:t>Biến đổi khí hậu, 9 .IV .A</w:t>
      </w:r>
    </w:p>
    <w:p>
      <w:pPr>
        <w:spacing w:after="80"/>
      </w:pPr>
      <w:r>
        <w:rPr>
          <w:b w:val="0"/>
          <w:i w:val="0"/>
        </w:rPr>
        <w:t>Khoáng sản xung đột, 9 .IV .C</w:t>
      </w:r>
    </w:p>
    <w:p>
      <w:pPr>
        <w:spacing w:after="80"/>
      </w:pPr>
      <w:r>
        <w:rPr>
          <w:b w:val="0"/>
          <w:i w:val="0"/>
        </w:rPr>
        <w:t>Tu chính án thứ nhất, 9 .IV .C</w:t>
      </w:r>
    </w:p>
    <w:p>
      <w:pPr>
        <w:spacing w:after="80"/>
      </w:pPr>
      <w:r>
        <w:rPr>
          <w:b w:val="0"/>
          <w:i w:val="0"/>
        </w:rPr>
        <w:t>Đóng góp chính trị và vận động hành lang, 9 .IV .B</w:t>
      </w:r>
    </w:p>
    <w:p>
      <w:pPr>
        <w:spacing w:after="80"/>
      </w:pPr>
      <w:r>
        <w:rPr>
          <w:b w:val="0"/>
          <w:i w:val="0"/>
        </w:rPr>
        <w:t>Chế độ nhà nước, 9 .I</w:t>
      </w:r>
    </w:p>
    <w:p>
      <w:pPr>
        <w:spacing w:after="80"/>
      </w:pPr>
      <w:r>
        <w:rPr>
          <w:b w:val="0"/>
          <w:i w:val="0"/>
        </w:rPr>
        <w:t>Những thay đổi thực chất trong hành vi và, 6 .III .B</w:t>
      </w:r>
    </w:p>
    <w:p>
      <w:pPr>
        <w:spacing w:after="80"/>
      </w:pPr>
      <w:r>
        <w:rPr>
          <w:b/>
          <w:i w:val="0"/>
        </w:rPr>
        <w:t>Nghĩa vụ Cẩn trọng</w:t>
      </w:r>
      <w:r>
        <w:rPr>
          <w:b w:val="0"/>
          <w:i w:val="0"/>
        </w:rPr>
        <w:t xml:space="preserve"> (Xem Cẩn trọng, Nghĩa vụ)</w:t>
      </w:r>
    </w:p>
    <w:p>
      <w:pPr>
        <w:spacing w:after="80"/>
      </w:pPr>
      <w:r>
        <w:rPr>
          <w:b/>
          <w:i w:val="0"/>
        </w:rPr>
        <w:t>Nghĩa vụ Trung thành</w:t>
      </w:r>
      <w:r>
        <w:rPr>
          <w:b w:val="0"/>
          <w:i w:val="0"/>
        </w:rPr>
        <w:t xml:space="preserve"> (Xem Trung thành, Nghĩa vụ)</w:t>
      </w:r>
    </w:p>
    <w:p>
      <w:pPr>
        <w:spacing w:after="80"/>
      </w:pPr>
      <w:r>
        <w:rPr>
          <w:b/>
          <w:i w:val="0"/>
        </w:rPr>
        <w:t>E</w:t>
      </w:r>
    </w:p>
    <w:p>
      <w:pPr>
        <w:spacing w:after="80"/>
      </w:pPr>
      <w:r>
        <w:rPr>
          <w:b/>
          <w:i w:val="0"/>
        </w:rPr>
        <w:t>Thực thi</w:t>
      </w:r>
    </w:p>
    <w:p>
      <w:pPr>
        <w:spacing w:after="80"/>
      </w:pPr>
      <w:r>
        <w:rPr>
          <w:b w:val="0"/>
          <w:i w:val="0"/>
        </w:rPr>
        <w:t>Trách nhiệm xã hội của doanh nghiệp, 11 .IV</w:t>
      </w:r>
    </w:p>
    <w:p>
      <w:pPr>
        <w:spacing w:after="80"/>
      </w:pPr>
      <w:r>
        <w:rPr>
          <w:b w:val="0"/>
          <w:i w:val="0"/>
        </w:rPr>
        <w:t>Thị trường mới nổi, 12 .V .B</w:t>
      </w:r>
    </w:p>
    <w:p>
      <w:pPr>
        <w:spacing w:after="80"/>
      </w:pPr>
      <w:r>
        <w:rPr>
          <w:b w:val="0"/>
          <w:i w:val="0"/>
        </w:rPr>
        <w:t>Thực thi tư nhân về quyền con người, 11 .IV .C</w:t>
      </w:r>
    </w:p>
    <w:p>
      <w:pPr>
        <w:spacing w:after="80"/>
      </w:pPr>
      <w:r>
        <w:rPr>
          <w:b w:val="0"/>
          <w:i w:val="0"/>
        </w:rPr>
        <w:t>Thực thi tư nhân và Đạo luật Giao dịch Chứng khoán, 11 .IV .C</w:t>
      </w:r>
    </w:p>
    <w:p>
      <w:pPr>
        <w:spacing w:after="80"/>
      </w:pPr>
      <w:r>
        <w:rPr>
          <w:b w:val="0"/>
          <w:i w:val="0"/>
        </w:rPr>
        <w:t>Đạo luật Giao dịch Chứng khoán (SEC), thẩm quyền theo, 2 .II .C</w:t>
      </w:r>
    </w:p>
    <w:p>
      <w:pPr>
        <w:spacing w:after="80"/>
      </w:pPr>
      <w:r>
        <w:rPr>
          <w:b w:val="0"/>
          <w:i w:val="0"/>
        </w:rPr>
        <w:t>Sở giao dịch chứng khoán và các quy định tự điều chỉnh, 2 .III .C</w:t>
      </w:r>
    </w:p>
    <w:p>
      <w:pPr>
        <w:spacing w:after="80"/>
      </w:pPr>
      <w:r>
        <w:rPr>
          <w:b/>
          <w:i w:val="0"/>
        </w:rPr>
        <w:t>Liên minh châu Âu</w:t>
      </w:r>
    </w:p>
    <w:p>
      <w:pPr>
        <w:spacing w:after="80"/>
      </w:pPr>
      <w:r>
        <w:rPr>
          <w:b w:val="0"/>
          <w:i w:val="0"/>
        </w:rPr>
        <w:t>Quản trị doanh nghiệp so sánh, 12 .IV</w:t>
      </w:r>
    </w:p>
    <w:p>
      <w:pPr>
        <w:spacing w:after="80"/>
      </w:pPr>
      <w:r>
        <w:rPr>
          <w:b/>
          <w:i w:val="0"/>
        </w:rPr>
        <w:t>Thù lao điều hành</w:t>
      </w:r>
    </w:p>
    <w:p>
      <w:pPr>
        <w:spacing w:after="80"/>
      </w:pPr>
      <w:r>
        <w:rPr>
          <w:b w:val="0"/>
          <w:i w:val="0"/>
        </w:rPr>
        <w:t>Nghĩa vụ tín thác và tiêu chuẩn xem xét</w:t>
      </w:r>
    </w:p>
    <w:p>
      <w:pPr>
        <w:spacing w:after="80"/>
      </w:pPr>
      <w:r>
        <w:rPr>
          <w:b w:val="0"/>
          <w:i w:val="0"/>
        </w:rPr>
        <w:t>Nói chung, 6 .II</w:t>
      </w:r>
    </w:p>
    <w:p>
      <w:pPr>
        <w:spacing w:after="80"/>
      </w:pPr>
      <w:r>
        <w:rPr>
          <w:b w:val="0"/>
          <w:i w:val="0"/>
        </w:rPr>
        <w:t>Nghĩa vụ cẩn trọng, 6 .II .B</w:t>
      </w:r>
    </w:p>
    <w:p>
      <w:pPr>
        <w:spacing w:after="80"/>
      </w:pPr>
      <w:r>
        <w:rPr>
          <w:b w:val="0"/>
          <w:i w:val="0"/>
        </w:rPr>
        <w:t>Tính công bằng toàn diện, 6 .II .A</w:t>
      </w:r>
    </w:p>
    <w:p>
      <w:pPr>
        <w:spacing w:after="80"/>
      </w:pPr>
      <w:r>
        <w:rPr>
          <w:b w:val="0"/>
          <w:i w:val="0"/>
        </w:rPr>
        <w:t>Van an toàn chống lãng phí, 6 .II .C</w:t>
      </w:r>
    </w:p>
    <w:p>
      <w:pPr>
        <w:spacing w:after="80"/>
      </w:pPr>
      <w:r>
        <w:rPr>
          <w:b w:val="0"/>
          <w:i w:val="0"/>
        </w:rPr>
        <w:t>Lãng phí, van an toàn chống, 6 .II .C</w:t>
      </w:r>
    </w:p>
    <w:p>
      <w:pPr>
        <w:spacing w:after="80"/>
      </w:pPr>
      <w:r>
        <w:rPr>
          <w:b w:val="0"/>
          <w:i w:val="0"/>
        </w:rPr>
        <w:t>Bối cảnh lịch sử, 6 .I .A</w:t>
      </w:r>
    </w:p>
    <w:p>
      <w:pPr>
        <w:spacing w:after="80"/>
      </w:pPr>
      <w:r>
        <w:rPr>
          <w:b w:val="0"/>
          <w:i w:val="0"/>
        </w:rPr>
        <w:t>Thị trường và, 6 .I .B</w:t>
      </w:r>
    </w:p>
    <w:p>
      <w:pPr>
        <w:spacing w:after="80"/>
      </w:pPr>
      <w:r>
        <w:rPr>
          <w:b w:val="0"/>
          <w:i w:val="0"/>
        </w:rPr>
        <w:t>Tiếng nói về thù lao, 6 .IV</w:t>
      </w:r>
    </w:p>
    <w:p>
      <w:pPr>
        <w:spacing w:after="80"/>
      </w:pPr>
      <w:r>
        <w:rPr>
          <w:b w:val="0"/>
          <w:i w:val="0"/>
        </w:rPr>
        <w:t>Đạo luật Giao dịch Chứng khoán và (Xem Đạo luật Giao dịch Chứng khoán (SEC), tiêu đề phụ: Thù lao điều hành và)</w:t>
      </w:r>
    </w:p>
    <w:p>
      <w:pPr>
        <w:spacing w:after="80"/>
      </w:pPr>
      <w:r>
        <w:rPr>
          <w:b w:val="0"/>
          <w:i w:val="0"/>
        </w:rPr>
        <w:t>Cổ đông, tăng cường vai trò của, 6 .IV</w:t>
      </w:r>
    </w:p>
    <w:p>
      <w:pPr>
        <w:spacing w:after="80"/>
      </w:pPr>
      <w:r>
        <w:rPr>
          <w:b w:val="0"/>
          <w:i w:val="0"/>
        </w:rPr>
        <w:t>Tiêu chuẩn xem xét (Xem tiêu đề phụ: Nghĩa vụ tín thác và tiêu chuẩn xem xét)</w:t>
      </w:r>
    </w:p>
    <w:p>
      <w:pPr>
        <w:spacing w:after="80"/>
      </w:pPr>
      <w:r>
        <w:rPr>
          <w:b w:val="0"/>
          <w:i w:val="0"/>
        </w:rPr>
        <w:t>Các vấn đề cơ cấu, 6 .I .C</w:t>
      </w:r>
    </w:p>
    <w:p>
      <w:pPr>
        <w:spacing w:after="80"/>
      </w:pPr>
      <w:r>
        <w:rPr>
          <w:b/>
          <w:i w:val="0"/>
        </w:rPr>
        <w:t>F</w:t>
      </w:r>
    </w:p>
    <w:p>
      <w:pPr>
        <w:spacing w:after="80"/>
      </w:pPr>
      <w:r>
        <w:rPr>
          <w:b/>
          <w:i w:val="0"/>
        </w:rPr>
        <w:t>Nghĩa vụ ủy thác</w:t>
      </w:r>
    </w:p>
    <w:p>
      <w:pPr>
        <w:spacing w:after="80"/>
      </w:pPr>
      <w:r>
        <w:rPr>
          <w:b w:val="0"/>
          <w:i w:val="0"/>
        </w:rPr>
        <w:t>Quy tắc phán đoán kinh doanh</w:t>
      </w:r>
    </w:p>
    <w:p>
      <w:pPr>
        <w:spacing w:after="80"/>
      </w:pPr>
      <w:r>
        <w:rPr>
          <w:b w:val="0"/>
          <w:i w:val="0"/>
        </w:rPr>
        <w:t>Nghĩa vụ cẩn trọng và, 4 .I</w:t>
      </w:r>
    </w:p>
    <w:p>
      <w:pPr>
        <w:spacing w:after="80"/>
      </w:pPr>
      <w:r>
        <w:rPr>
          <w:b w:val="0"/>
          <w:i w:val="0"/>
        </w:rPr>
        <w:t>Cẩn trọng trong quy trình và, 4 .II</w:t>
      </w:r>
    </w:p>
    <w:p>
      <w:pPr>
        <w:spacing w:after="80"/>
      </w:pPr>
      <w:r>
        <w:rPr>
          <w:b w:val="0"/>
          <w:i w:val="0"/>
        </w:rPr>
        <w:t>Giám sát của thành viên hội đồng quản trị, 4 .IV</w:t>
      </w:r>
    </w:p>
    <w:p>
      <w:pPr>
        <w:spacing w:after="80"/>
      </w:pPr>
      <w:r>
        <w:rPr>
          <w:b w:val="0"/>
          <w:i w:val="0"/>
        </w:rPr>
        <w:t>Công bố thông tin, nghĩa vụ về, 4 .VI</w:t>
      </w:r>
    </w:p>
    <w:p>
      <w:pPr>
        <w:spacing w:after="80"/>
      </w:pPr>
      <w:r>
        <w:rPr>
          <w:b w:val="0"/>
          <w:i w:val="0"/>
        </w:rPr>
        <w:t>Thù lao điều hành (Xem Thù lao điều hành, tiêu đề phụ: Nghĩa vụ ủy thác và tiêu chuẩn xem xét)</w:t>
      </w:r>
    </w:p>
    <w:p>
      <w:pPr>
        <w:spacing w:after="80"/>
      </w:pPr>
      <w:r>
        <w:rPr>
          <w:b w:val="0"/>
          <w:i w:val="0"/>
        </w:rPr>
        <w:t>Giám sát, nghĩa vụ, 4 .IV</w:t>
      </w:r>
    </w:p>
    <w:p>
      <w:pPr>
        <w:spacing w:after="80"/>
      </w:pPr>
      <w:r>
        <w:rPr>
          <w:b w:val="0"/>
          <w:i w:val="0"/>
        </w:rPr>
        <w:t>Cẩn trọng trong quy trình và quy tắc phán đoán kinh doanh, 4 .II</w:t>
      </w:r>
    </w:p>
    <w:p>
      <w:pPr>
        <w:spacing w:after="80"/>
      </w:pPr>
      <w:r>
        <w:rPr>
          <w:b w:val="0"/>
          <w:i w:val="0"/>
        </w:rPr>
        <w:t>Quản lý rủi ro, các khiếu nại Caremark và, 4 .V</w:t>
      </w:r>
    </w:p>
    <w:p>
      <w:pPr>
        <w:spacing w:after="80"/>
      </w:pPr>
      <w:r>
        <w:rPr>
          <w:b w:val="0"/>
          <w:i w:val="0"/>
        </w:rPr>
        <w:t>Quyền của cổ đông và</w:t>
      </w:r>
    </w:p>
    <w:p>
      <w:pPr>
        <w:spacing w:after="80"/>
      </w:pPr>
      <w:r>
        <w:rPr>
          <w:b w:val="0"/>
          <w:i w:val="0"/>
        </w:rPr>
        <w:t>Nói chung, 7 .V</w:t>
      </w:r>
    </w:p>
    <w:p>
      <w:pPr>
        <w:spacing w:after="80"/>
      </w:pPr>
      <w:r>
        <w:rPr>
          <w:b w:val="0"/>
          <w:i w:val="0"/>
        </w:rPr>
        <w:t>Nhượng quyền, can thiệp vào, 7 .V .A</w:t>
      </w:r>
    </w:p>
    <w:p>
      <w:pPr>
        <w:spacing w:after="80"/>
      </w:pPr>
      <w:r>
        <w:rPr>
          <w:b w:val="0"/>
          <w:i w:val="0"/>
        </w:rPr>
        <w:t>Mua phiếu bầu, 7 .V .B</w:t>
      </w:r>
    </w:p>
    <w:p>
      <w:pPr>
        <w:spacing w:after="80"/>
      </w:pPr>
      <w:r>
        <w:rPr>
          <w:b w:val="0"/>
          <w:i/>
        </w:rPr>
        <w:t>Smith v. Van Gorkom,</w:t>
      </w:r>
      <w:r>
        <w:rPr>
          <w:b w:val="0"/>
          <w:i w:val="0"/>
        </w:rPr>
        <w:t xml:space="preserve"> các diễn biến sau đó, 4 .III</w:t>
      </w:r>
    </w:p>
    <w:p>
      <w:pPr>
        <w:spacing w:after="80"/>
      </w:pPr>
      <w:r>
        <w:rPr>
          <w:b/>
          <w:i w:val="0"/>
        </w:rPr>
        <w:t>Hình thức, Doanh nghiệp</w:t>
      </w:r>
    </w:p>
    <w:p>
      <w:pPr>
        <w:spacing w:after="80"/>
      </w:pPr>
      <w:r>
        <w:rPr>
          <w:b w:val="0"/>
          <w:i w:val="0"/>
        </w:rPr>
        <w:t>Nói chung, 11 .I</w:t>
      </w:r>
    </w:p>
    <w:p>
      <w:pPr>
        <w:spacing w:after="80"/>
      </w:pPr>
      <w:r>
        <w:rPr>
          <w:b/>
          <w:i w:val="0"/>
        </w:rPr>
        <w:t>G</w:t>
      </w:r>
    </w:p>
    <w:p>
      <w:pPr>
        <w:spacing w:after="80"/>
      </w:pPr>
      <w:r>
        <w:rPr>
          <w:b/>
          <w:i w:val="0"/>
        </w:rPr>
        <w:t>Người gác cửa</w:t>
      </w:r>
    </w:p>
    <w:p>
      <w:pPr>
        <w:spacing w:after="80"/>
      </w:pPr>
      <w:r>
        <w:rPr>
          <w:b w:val="0"/>
          <w:i w:val="0"/>
        </w:rPr>
        <w:t>Nói chung, 1 .II .E</w:t>
      </w:r>
    </w:p>
    <w:p>
      <w:pPr>
        <w:spacing w:after="80"/>
      </w:pPr>
      <w:r>
        <w:rPr>
          <w:b/>
          <w:i w:val="0"/>
        </w:rPr>
        <w:t>H</w:t>
      </w:r>
    </w:p>
    <w:p>
      <w:pPr>
        <w:spacing w:after="80"/>
      </w:pPr>
      <w:r>
        <w:rPr>
          <w:b/>
          <w:i w:val="0"/>
        </w:rPr>
        <w:t>Quyền bá chủ, Quản trị doanh nghiệp</w:t>
      </w:r>
    </w:p>
    <w:p>
      <w:pPr>
        <w:spacing w:after="80"/>
      </w:pPr>
      <w:r>
        <w:rPr>
          <w:b w:val="0"/>
          <w:i w:val="0"/>
        </w:rPr>
        <w:t>Nói chung, 12 .I ; 12 .VII</w:t>
      </w:r>
    </w:p>
    <w:p>
      <w:pPr>
        <w:spacing w:after="80"/>
      </w:pPr>
      <w:r>
        <w:rPr>
          <w:b/>
          <w:i w:val="0"/>
        </w:rPr>
        <w:t>Chào mua công khai thù địch</w:t>
      </w:r>
    </w:p>
    <w:p>
      <w:pPr>
        <w:spacing w:after="80"/>
      </w:pPr>
      <w:r>
        <w:rPr>
          <w:b w:val="0"/>
          <w:i w:val="0"/>
        </w:rPr>
        <w:t>Âm thầm, 8 .I .B</w:t>
      </w:r>
    </w:p>
    <w:p>
      <w:pPr>
        <w:spacing w:after="80"/>
      </w:pPr>
      <w:r>
        <w:rPr>
          <w:b w:val="0"/>
          <w:i w:val="0"/>
        </w:rPr>
        <w:t>Quy định liên bang về, 8 .I .A</w:t>
      </w:r>
    </w:p>
    <w:p>
      <w:pPr>
        <w:spacing w:after="80"/>
      </w:pPr>
      <w:r>
        <w:rPr>
          <w:b w:val="0"/>
          <w:i w:val="0"/>
        </w:rPr>
        <w:t>Quy định</w:t>
      </w:r>
    </w:p>
    <w:p>
      <w:pPr>
        <w:spacing w:after="80"/>
      </w:pPr>
      <w:r>
        <w:rPr>
          <w:b w:val="0"/>
          <w:i w:val="0"/>
        </w:rPr>
        <w:t>Quy định liên bang, 8 .I .A</w:t>
      </w:r>
    </w:p>
    <w:p>
      <w:pPr>
        <w:spacing w:after="80"/>
      </w:pPr>
      <w:r>
        <w:rPr>
          <w:b w:val="0"/>
          <w:i w:val="0"/>
        </w:rPr>
        <w:t>Quy định nội dung, 8 .I .C</w:t>
      </w:r>
    </w:p>
    <w:p>
      <w:pPr>
        <w:spacing w:after="80"/>
      </w:pPr>
      <w:r>
        <w:rPr>
          <w:b w:val="0"/>
          <w:i w:val="0"/>
        </w:rPr>
        <w:t>Mục 13(d), 8 .I .B</w:t>
      </w:r>
    </w:p>
    <w:p>
      <w:pPr>
        <w:spacing w:after="80"/>
      </w:pPr>
      <w:r>
        <w:rPr>
          <w:b w:val="0"/>
          <w:i w:val="0"/>
        </w:rPr>
        <w:t>Quy định nội dung về, 8 .I .C</w:t>
      </w:r>
    </w:p>
    <w:p>
      <w:pPr>
        <w:spacing w:after="80"/>
      </w:pPr>
      <w:r>
        <w:rPr>
          <w:b/>
          <w:i w:val="0"/>
        </w:rPr>
        <w:t>I</w:t>
      </w:r>
    </w:p>
    <w:p>
      <w:pPr>
        <w:spacing w:after="80"/>
      </w:pPr>
      <w:r>
        <w:rPr>
          <w:b/>
          <w:i w:val="0"/>
        </w:rPr>
        <w:t>Bồi thường</w:t>
      </w:r>
    </w:p>
    <w:p>
      <w:pPr>
        <w:spacing w:after="80"/>
      </w:pPr>
      <w:r>
        <w:rPr>
          <w:b w:val="0"/>
          <w:i w:val="0"/>
        </w:rPr>
        <w:t>Các vụ kiện của cổ đông, 10 .II .D .5</w:t>
      </w:r>
    </w:p>
    <w:p>
      <w:pPr>
        <w:spacing w:after="80"/>
      </w:pPr>
      <w:r>
        <w:rPr>
          <w:b/>
          <w:i w:val="0"/>
        </w:rPr>
        <w:t>Thành viên Hội đồng quản trị độc lập</w:t>
      </w:r>
    </w:p>
    <w:p>
      <w:pPr>
        <w:spacing w:after="80"/>
      </w:pPr>
      <w:r>
        <w:rPr>
          <w:b w:val="0"/>
          <w:i w:val="0"/>
        </w:rPr>
        <w:t>Quản trị công ty và, 13 .III</w:t>
      </w:r>
    </w:p>
    <w:p>
      <w:pPr>
        <w:spacing w:after="80"/>
      </w:pPr>
      <w:r>
        <w:rPr>
          <w:b w:val="0"/>
          <w:i w:val="0"/>
        </w:rPr>
        <w:t>Hội đồng quản trị công ty đại chúng, 3 .III</w:t>
      </w:r>
    </w:p>
    <w:p>
      <w:pPr>
        <w:spacing w:after="80"/>
      </w:pPr>
      <w:r>
        <w:rPr>
          <w:b w:val="0"/>
          <w:i w:val="0"/>
        </w:rPr>
        <w:t>Các ủy ban tranh tụng đặc biệt, 10 .II .C .3</w:t>
      </w:r>
    </w:p>
    <w:p>
      <w:pPr>
        <w:spacing w:after="80"/>
      </w:pPr>
      <w:r>
        <w:rPr>
          <w:b/>
          <w:i w:val="0"/>
        </w:rPr>
        <w:t>Bảo hiểm</w:t>
      </w:r>
    </w:p>
    <w:p>
      <w:pPr>
        <w:spacing w:after="80"/>
      </w:pPr>
      <w:r>
        <w:rPr>
          <w:b w:val="0"/>
          <w:i w:val="0"/>
        </w:rPr>
        <w:t>Các vụ kiện của cổ đông, 10 .II .D .5</w:t>
      </w:r>
    </w:p>
    <w:p>
      <w:pPr>
        <w:spacing w:after="80"/>
      </w:pPr>
      <w:r>
        <w:rPr>
          <w:b/>
          <w:i w:val="0"/>
        </w:rPr>
        <w:t>Học thuyết về các vấn đề nội bộ</w:t>
      </w:r>
    </w:p>
    <w:p>
      <w:pPr>
        <w:spacing w:after="80"/>
      </w:pPr>
      <w:r>
        <w:rPr>
          <w:b w:val="0"/>
          <w:i w:val="0"/>
        </w:rPr>
        <w:t>Nói chung, 2 .I .A</w:t>
      </w:r>
    </w:p>
    <w:p>
      <w:pPr>
        <w:spacing w:after="80"/>
      </w:pPr>
      <w:r>
        <w:rPr>
          <w:b/>
          <w:i w:val="0"/>
        </w:rPr>
        <w:t>J</w:t>
      </w:r>
    </w:p>
    <w:p>
      <w:pPr>
        <w:spacing w:after="80"/>
      </w:pPr>
      <w:r>
        <w:rPr>
          <w:b/>
          <w:i w:val="0"/>
        </w:rPr>
        <w:t>Xem xét tư pháp</w:t>
      </w:r>
    </w:p>
    <w:p>
      <w:pPr>
        <w:spacing w:after="80"/>
      </w:pPr>
      <w:r>
        <w:rPr>
          <w:b w:val="0"/>
          <w:i w:val="0"/>
        </w:rPr>
        <w:t>Các thỏa thuận dàn xếp, của, 10 .II .D .2</w:t>
      </w:r>
    </w:p>
    <w:p>
      <w:pPr>
        <w:spacing w:after="80"/>
      </w:pPr>
      <w:r>
        <w:rPr>
          <w:b w:val="0"/>
          <w:i w:val="0"/>
        </w:rPr>
        <w:t>Các ủy ban tranh tụng đặc biệt, của, 10 .II .C .2</w:t>
      </w:r>
    </w:p>
    <w:p>
      <w:pPr>
        <w:spacing w:after="80"/>
      </w:pPr>
      <w:r>
        <w:rPr>
          <w:b/>
          <w:i w:val="0"/>
        </w:rPr>
        <w:t>L</w:t>
      </w:r>
    </w:p>
    <w:p>
      <w:pPr>
        <w:spacing w:after="80"/>
      </w:pPr>
      <w:r>
        <w:rPr>
          <w:b/>
          <w:i w:val="0"/>
        </w:rPr>
        <w:t>Lãnh đạo</w:t>
      </w:r>
    </w:p>
    <w:p>
      <w:pPr>
        <w:spacing w:after="80"/>
      </w:pPr>
      <w:r>
        <w:rPr>
          <w:b w:val="0"/>
          <w:i w:val="0"/>
        </w:rPr>
        <w:t>Hội đồng quản trị công ty đại chúng, 3 .IV</w:t>
      </w:r>
    </w:p>
    <w:p>
      <w:pPr>
        <w:spacing w:after="80"/>
      </w:pPr>
      <w:r>
        <w:rPr>
          <w:b/>
          <w:i w:val="0"/>
        </w:rPr>
        <w:t>Trung thành, Nghĩa vụ</w:t>
      </w:r>
    </w:p>
    <w:p>
      <w:pPr>
        <w:spacing w:after="80"/>
      </w:pPr>
      <w:r>
        <w:rPr>
          <w:b w:val="0"/>
          <w:i w:val="0"/>
        </w:rPr>
        <w:t>Cạnh tranh với công ty, 5 .III</w:t>
      </w:r>
    </w:p>
    <w:p>
      <w:pPr>
        <w:spacing w:after="80"/>
      </w:pPr>
      <w:r>
        <w:rPr>
          <w:b w:val="0"/>
          <w:i w:val="0"/>
        </w:rPr>
        <w:t>Cơ hội công ty, chiếm đoạt, 5 .II</w:t>
      </w:r>
    </w:p>
    <w:p>
      <w:pPr>
        <w:spacing w:after="80"/>
      </w:pPr>
      <w:r>
        <w:rPr>
          <w:b w:val="0"/>
          <w:i w:val="0"/>
        </w:rPr>
        <w:t>Giao dịch tự lợi, 5 .I</w:t>
      </w:r>
    </w:p>
    <w:p>
      <w:pPr>
        <w:spacing w:after="80"/>
      </w:pPr>
      <w:r>
        <w:rPr>
          <w:b w:val="0"/>
          <w:i w:val="0"/>
        </w:rPr>
        <w:t>Chiếm đoạt cơ hội công ty, 5 .II</w:t>
      </w:r>
    </w:p>
    <w:p>
      <w:pPr>
        <w:spacing w:after="80"/>
      </w:pPr>
      <w:r>
        <w:rPr>
          <w:b/>
          <w:i w:val="0"/>
        </w:rPr>
        <w:t>M</w:t>
      </w:r>
    </w:p>
    <w:p>
      <w:pPr>
        <w:spacing w:after="80"/>
      </w:pPr>
      <w:r>
        <w:rPr>
          <w:b/>
          <w:i w:val="0"/>
        </w:rPr>
        <w:t>Thị trường</w:t>
      </w:r>
    </w:p>
    <w:p>
      <w:pPr>
        <w:spacing w:after="80"/>
      </w:pPr>
      <w:r>
        <w:rPr>
          <w:b w:val="0"/>
          <w:i w:val="0"/>
        </w:rPr>
        <w:t>Thị trường vốn và giám sát ban quản lý, 12 .II .A</w:t>
      </w:r>
    </w:p>
    <w:p>
      <w:pPr>
        <w:spacing w:after="80"/>
      </w:pPr>
      <w:r>
        <w:rPr>
          <w:b w:val="0"/>
          <w:i w:val="0"/>
        </w:rPr>
        <w:t>Kiểm soát, đối với</w:t>
      </w:r>
    </w:p>
    <w:p>
      <w:pPr>
        <w:spacing w:after="80"/>
      </w:pPr>
      <w:r>
        <w:rPr>
          <w:b w:val="0"/>
          <w:i w:val="0"/>
        </w:rPr>
        <w:t>Cuộc tranh giành (Xem Cuộc tranh giành ủy quyền)</w:t>
      </w:r>
    </w:p>
    <w:p>
      <w:pPr>
        <w:spacing w:after="80"/>
      </w:pPr>
      <w:r>
        <w:rPr>
          <w:b w:val="0"/>
          <w:i w:val="0"/>
        </w:rPr>
        <w:t>Chiến thuật phòng ngự (Xem Chiến thuật phòng ngự)</w:t>
      </w:r>
    </w:p>
    <w:p>
      <w:pPr>
        <w:spacing w:after="80"/>
      </w:pPr>
      <w:r>
        <w:rPr>
          <w:b w:val="0"/>
          <w:i w:val="0"/>
        </w:rPr>
        <w:t>Chào mua thâu tóm thù địch (Xem Chào mua thâu tóm thù địch)</w:t>
      </w:r>
    </w:p>
    <w:p>
      <w:pPr>
        <w:spacing w:after="80"/>
      </w:pPr>
      <w:r>
        <w:rPr>
          <w:b w:val="0"/>
          <w:i w:val="0"/>
        </w:rPr>
        <w:t>Cuộc tranh giành ủy quyền (Xem Cuộc tranh giành ủy quyền)</w:t>
      </w:r>
    </w:p>
    <w:p>
      <w:pPr>
        <w:spacing w:after="80"/>
      </w:pPr>
      <w:r>
        <w:rPr>
          <w:b w:val="0"/>
          <w:i w:val="0"/>
        </w:rPr>
        <w:t>Chiến thuật (Xem Chiến thuật phòng ngự)</w:t>
      </w:r>
    </w:p>
    <w:p>
      <w:pPr>
        <w:spacing w:after="80"/>
      </w:pPr>
      <w:r>
        <w:rPr>
          <w:b w:val="0"/>
          <w:i w:val="0"/>
        </w:rPr>
        <w:t>Chào mua công khai (Xem Chào mua công khai thù địch)</w:t>
      </w:r>
    </w:p>
    <w:p>
      <w:pPr>
        <w:spacing w:after="80"/>
      </w:pPr>
      <w:r>
        <w:rPr>
          <w:b w:val="0"/>
          <w:i w:val="0"/>
        </w:rPr>
        <w:t>Thị trường mới nổi, thực thi tại, 12 .V .B</w:t>
      </w:r>
    </w:p>
    <w:p>
      <w:pPr>
        <w:spacing w:after="80"/>
      </w:pPr>
      <w:r>
        <w:rPr>
          <w:b w:val="0"/>
          <w:i w:val="0"/>
        </w:rPr>
        <w:t>Thực thi tại thị trường mới nổi, 12 .V .B</w:t>
      </w:r>
    </w:p>
    <w:p>
      <w:pPr>
        <w:spacing w:after="80"/>
      </w:pPr>
      <w:r>
        <w:rPr>
          <w:b w:val="0"/>
          <w:i w:val="0"/>
        </w:rPr>
        <w:t>Thù lao điều hành và, 6 .I .B</w:t>
      </w:r>
    </w:p>
    <w:p>
      <w:pPr>
        <w:spacing w:after="80"/>
      </w:pPr>
      <w:r>
        <w:rPr>
          <w:b w:val="0"/>
          <w:i w:val="0"/>
        </w:rPr>
        <w:t>Giám sát ban điều hành, thị trường vốn và, 12 .II .A</w:t>
      </w:r>
    </w:p>
    <w:p>
      <w:pPr>
        <w:spacing w:after="80"/>
      </w:pPr>
      <w:r>
        <w:rPr>
          <w:b/>
          <w:i w:val="0"/>
        </w:rPr>
        <w:t>Giám sát, Nghĩa vụ</w:t>
      </w:r>
    </w:p>
    <w:p>
      <w:pPr>
        <w:spacing w:after="80"/>
      </w:pPr>
      <w:r>
        <w:rPr>
          <w:b w:val="0"/>
          <w:i w:val="0"/>
        </w:rPr>
        <w:t>Nghĩa vụ ủy thác, 4 .IV</w:t>
      </w:r>
    </w:p>
    <w:p>
      <w:pPr>
        <w:spacing w:after="80"/>
      </w:pPr>
      <w:r>
        <w:rPr>
          <w:b/>
          <w:i w:val="0"/>
        </w:rPr>
        <w:t>Giám sát Ban điều hành</w:t>
      </w:r>
    </w:p>
    <w:p>
      <w:pPr>
        <w:spacing w:after="80"/>
      </w:pPr>
      <w:r>
        <w:rPr>
          <w:b w:val="0"/>
          <w:i w:val="0"/>
        </w:rPr>
        <w:t>Nói chung, 12 .II</w:t>
      </w:r>
    </w:p>
    <w:p>
      <w:pPr>
        <w:spacing w:after="80"/>
      </w:pPr>
      <w:r>
        <w:rPr>
          <w:b w:val="0"/>
          <w:i w:val="0"/>
        </w:rPr>
        <w:t>Ngân hàng và, 12 .II .C</w:t>
      </w:r>
    </w:p>
    <w:p>
      <w:pPr>
        <w:spacing w:after="80"/>
      </w:pPr>
      <w:r>
        <w:rPr>
          <w:b w:val="0"/>
          <w:i w:val="0"/>
        </w:rPr>
        <w:t>Thị trường vốn và, 12 .II .A</w:t>
      </w:r>
    </w:p>
    <w:p>
      <w:pPr>
        <w:spacing w:after="80"/>
      </w:pPr>
      <w:r>
        <w:rPr>
          <w:b w:val="0"/>
          <w:i w:val="0"/>
        </w:rPr>
        <w:t>Cổ đông kiểm soát và, 12 .II .B</w:t>
      </w:r>
    </w:p>
    <w:p>
      <w:pPr>
        <w:spacing w:after="80"/>
      </w:pPr>
      <w:r>
        <w:rPr>
          <w:b/>
          <w:i w:val="0"/>
        </w:rPr>
        <w:t>O</w:t>
      </w:r>
    </w:p>
    <w:p>
      <w:pPr>
        <w:spacing w:after="80"/>
      </w:pPr>
      <w:r>
        <w:rPr>
          <w:b/>
          <w:i w:val="0"/>
        </w:rPr>
        <w:t>Cán bộ điều hành</w:t>
      </w:r>
    </w:p>
    <w:p>
      <w:pPr>
        <w:spacing w:after="80"/>
      </w:pPr>
      <w:r>
        <w:rPr>
          <w:b w:val="0"/>
          <w:i w:val="0"/>
        </w:rPr>
        <w:t>Nói chung, 1 .II .B</w:t>
      </w:r>
    </w:p>
    <w:p>
      <w:pPr>
        <w:spacing w:after="80"/>
      </w:pPr>
      <w:r>
        <w:rPr>
          <w:b/>
          <w:i w:val="0"/>
        </w:rPr>
        <w:t>Giám sát</w:t>
      </w:r>
    </w:p>
    <w:p>
      <w:pPr>
        <w:spacing w:after="80"/>
      </w:pPr>
      <w:r>
        <w:rPr>
          <w:b w:val="0"/>
          <w:i w:val="0"/>
        </w:rPr>
        <w:t>Các giám đốc, 4 .IV</w:t>
      </w:r>
    </w:p>
    <w:p>
      <w:pPr>
        <w:spacing w:after="80"/>
      </w:pPr>
      <w:r>
        <w:rPr>
          <w:b/>
          <w:i w:val="0"/>
        </w:rPr>
        <w:t>Quyền sở hữu</w:t>
      </w:r>
      <w:r>
        <w:rPr>
          <w:b w:val="0"/>
          <w:i w:val="0"/>
        </w:rPr>
        <w:t xml:space="preserve"> (Xem Cổ đông, tiêu đề phụ: Quyền sở hữu và kiểm soát, sự tách biệt giữa)</w:t>
      </w:r>
    </w:p>
    <w:p>
      <w:pPr>
        <w:spacing w:after="80"/>
      </w:pPr>
      <w:r>
        <w:rPr>
          <w:b/>
          <w:i w:val="0"/>
        </w:rPr>
        <w:t>P</w:t>
      </w:r>
    </w:p>
    <w:p>
      <w:pPr>
        <w:spacing w:after="80"/>
      </w:pPr>
      <w:r>
        <w:rPr>
          <w:b/>
          <w:i w:val="0"/>
        </w:rPr>
        <w:t>Hoạt động từ thiện, Doanh nghiệp</w:t>
      </w:r>
    </w:p>
    <w:p>
      <w:pPr>
        <w:spacing w:after="80"/>
      </w:pPr>
      <w:r>
        <w:rPr>
          <w:b w:val="0"/>
          <w:i w:val="0"/>
        </w:rPr>
        <w:t>Nói chung, 11 .II</w:t>
      </w:r>
    </w:p>
    <w:p>
      <w:pPr>
        <w:spacing w:after="80"/>
      </w:pPr>
      <w:r>
        <w:rPr>
          <w:b/>
          <w:i w:val="0"/>
        </w:rPr>
        <w:t>Viên thuốc độc</w:t>
      </w:r>
    </w:p>
    <w:p>
      <w:pPr>
        <w:spacing w:after="80"/>
      </w:pPr>
      <w:r>
        <w:rPr>
          <w:b w:val="0"/>
          <w:i w:val="0"/>
        </w:rPr>
        <w:t>Chiến thuật phòng thủ, 8 .II .C</w:t>
      </w:r>
    </w:p>
    <w:p>
      <w:pPr>
        <w:spacing w:after="80"/>
      </w:pPr>
      <w:r>
        <w:rPr>
          <w:b w:val="0"/>
          <w:i w:val="0"/>
        </w:rPr>
        <w:t>Các cuộc tranh chấp ủy quyền và, 8 .III .D</w:t>
      </w:r>
    </w:p>
    <w:p>
      <w:pPr>
        <w:spacing w:after="80"/>
      </w:pPr>
      <w:r>
        <w:rPr>
          <w:b/>
          <w:i w:val="0"/>
        </w:rPr>
        <w:t>Sắp đặt tư nhân</w:t>
      </w:r>
      <w:r>
        <w:rPr>
          <w:b w:val="0"/>
          <w:i w:val="0"/>
        </w:rPr>
        <w:t xml:space="preserve"> (Xem Trách nhiệm xã hội và Sắp đặt tư nhân)</w:t>
      </w:r>
    </w:p>
    <w:p>
      <w:pPr>
        <w:spacing w:after="80"/>
      </w:pPr>
      <w:r>
        <w:rPr>
          <w:b/>
          <w:i w:val="0"/>
        </w:rPr>
        <w:t>Các cuộc tranh chấp ủy quyền</w:t>
      </w:r>
    </w:p>
    <w:p>
      <w:pPr>
        <w:spacing w:after="80"/>
      </w:pPr>
      <w:r>
        <w:rPr>
          <w:b w:val="0"/>
          <w:i w:val="0"/>
        </w:rPr>
        <w:t>Nói chung, 8 .III</w:t>
      </w:r>
    </w:p>
    <w:p>
      <w:pPr>
        <w:spacing w:after="80"/>
      </w:pPr>
      <w:r>
        <w:rPr>
          <w:b w:val="0"/>
          <w:i w:val="0"/>
        </w:rPr>
        <w:t>Vấn đề chi phí, 8 .III .E</w:t>
      </w:r>
    </w:p>
    <w:p>
      <w:pPr>
        <w:spacing w:after="80"/>
      </w:pPr>
      <w:r>
        <w:rPr>
          <w:b w:val="0"/>
          <w:i w:val="0"/>
        </w:rPr>
        <w:t>Kết quả bỏ phiếu tạm thời, 8 .III .C</w:t>
      </w:r>
    </w:p>
    <w:p>
      <w:pPr>
        <w:spacing w:after="80"/>
      </w:pPr>
      <w:r>
        <w:rPr>
          <w:b w:val="0"/>
          <w:i w:val="0"/>
        </w:rPr>
        <w:t>Viên thuốc độc và, 8 .III .C</w:t>
      </w:r>
    </w:p>
    <w:p>
      <w:pPr>
        <w:spacing w:after="80"/>
      </w:pPr>
      <w:r>
        <w:rPr>
          <w:b w:val="0"/>
          <w:i w:val="0"/>
        </w:rPr>
        <w:t>Các công ty cố vấn ủy quyền, 7 .I .C</w:t>
      </w:r>
    </w:p>
    <w:p>
      <w:pPr>
        <w:spacing w:after="80"/>
      </w:pPr>
      <w:r>
        <w:rPr>
          <w:b w:val="0"/>
          <w:i w:val="0"/>
        </w:rPr>
        <w:t>Luật tiểu bang và, 8 .III .B</w:t>
      </w:r>
    </w:p>
    <w:p>
      <w:pPr>
        <w:spacing w:after="80"/>
      </w:pPr>
      <w:r>
        <w:rPr>
          <w:b w:val="0"/>
          <w:i w:val="0"/>
        </w:rPr>
        <w:t>Hoạt động cổ đông và, 8 .III .A</w:t>
      </w:r>
    </w:p>
    <w:p>
      <w:pPr>
        <w:spacing w:after="80"/>
      </w:pPr>
      <w:r>
        <w:rPr>
          <w:b/>
          <w:i w:val="0"/>
        </w:rPr>
        <w:t>Hội đồng quản trị công ty đại chúng</w:t>
      </w:r>
    </w:p>
    <w:p>
      <w:pPr>
        <w:spacing w:after="80"/>
      </w:pPr>
      <w:r>
        <w:rPr>
          <w:b w:val="0"/>
          <w:i w:val="0"/>
        </w:rPr>
        <w:t>Nói chung, 3 .I</w:t>
      </w:r>
    </w:p>
    <w:p>
      <w:pPr>
        <w:spacing w:after="80"/>
      </w:pPr>
      <w:r>
        <w:rPr>
          <w:b w:val="0"/>
          <w:i w:val="0"/>
        </w:rPr>
        <w:t>Các ủy ban, 3 .V</w:t>
      </w:r>
    </w:p>
    <w:p>
      <w:pPr>
        <w:spacing w:after="80"/>
      </w:pPr>
      <w:r>
        <w:rPr>
          <w:b w:val="0"/>
          <w:i w:val="0"/>
        </w:rPr>
        <w:t>Các giám đốc</w:t>
      </w:r>
    </w:p>
    <w:p>
      <w:pPr>
        <w:spacing w:after="80"/>
      </w:pPr>
      <w:r>
        <w:rPr>
          <w:b w:val="0"/>
          <w:i w:val="0"/>
        </w:rPr>
        <w:t>Thù lao, 3 .VII</w:t>
      </w:r>
    </w:p>
    <w:p>
      <w:pPr>
        <w:spacing w:after="80"/>
      </w:pPr>
      <w:r>
        <w:rPr>
          <w:b w:val="0"/>
          <w:i w:val="0"/>
        </w:rPr>
        <w:t>Tính độc lập, 3 .III</w:t>
      </w:r>
    </w:p>
    <w:p>
      <w:pPr>
        <w:spacing w:after="80"/>
      </w:pPr>
      <w:r>
        <w:rPr>
          <w:b w:val="0"/>
          <w:i w:val="0"/>
        </w:rPr>
        <w:t>Việc lựa chọn, 3 .VI</w:t>
      </w:r>
    </w:p>
    <w:p>
      <w:pPr>
        <w:spacing w:after="80"/>
      </w:pPr>
      <w:r>
        <w:rPr>
          <w:b w:val="0"/>
          <w:i w:val="0"/>
        </w:rPr>
        <w:t>Nhiệm kỳ, 3 .IX</w:t>
      </w:r>
    </w:p>
    <w:p>
      <w:pPr>
        <w:spacing w:after="80"/>
      </w:pPr>
      <w:r>
        <w:rPr>
          <w:b w:val="0"/>
          <w:i w:val="0"/>
        </w:rPr>
        <w:t>Đa dạng trong, 3 .VIII</w:t>
      </w:r>
    </w:p>
    <w:p>
      <w:pPr>
        <w:spacing w:after="80"/>
      </w:pPr>
      <w:r>
        <w:rPr>
          <w:b w:val="0"/>
          <w:i w:val="0"/>
        </w:rPr>
        <w:t>Các giám đốc độc lập, 3 .III</w:t>
      </w:r>
    </w:p>
    <w:p>
      <w:pPr>
        <w:spacing w:after="80"/>
      </w:pPr>
      <w:r>
        <w:rPr>
          <w:b w:val="0"/>
          <w:i w:val="0"/>
        </w:rPr>
        <w:t>Lãnh đạo, 3 .IV</w:t>
      </w:r>
    </w:p>
    <w:p>
      <w:pPr>
        <w:spacing w:after="80"/>
      </w:pPr>
      <w:r>
        <w:rPr>
          <w:b w:val="0"/>
          <w:i w:val="0"/>
        </w:rPr>
        <w:t>Công ty đại chúng, trong, 3 .II</w:t>
      </w:r>
    </w:p>
    <w:p>
      <w:pPr>
        <w:spacing w:after="80"/>
      </w:pPr>
      <w:r>
        <w:rPr>
          <w:b w:val="0"/>
          <w:i w:val="0"/>
        </w:rPr>
        <w:t>Việc lựa chọn giám đốc, 3 .VI</w:t>
      </w:r>
    </w:p>
    <w:p>
      <w:pPr>
        <w:spacing w:after="80"/>
      </w:pPr>
      <w:r>
        <w:rPr>
          <w:b w:val="0"/>
          <w:i w:val="0"/>
        </w:rPr>
        <w:t>Quy mô, 3 .IV</w:t>
      </w:r>
    </w:p>
    <w:p>
      <w:pPr>
        <w:spacing w:after="80"/>
      </w:pPr>
      <w:r>
        <w:rPr>
          <w:b w:val="0"/>
          <w:i w:val="0"/>
        </w:rPr>
        <w:t>Cơ cấu, 3 .IV</w:t>
      </w:r>
    </w:p>
    <w:p>
      <w:pPr>
        <w:spacing w:after="80"/>
      </w:pPr>
      <w:r>
        <w:rPr>
          <w:b/>
          <w:i w:val="0"/>
        </w:rPr>
        <w:t>Công ty đại chúng</w:t>
      </w:r>
    </w:p>
    <w:p>
      <w:pPr>
        <w:spacing w:after="80"/>
      </w:pPr>
      <w:r>
        <w:rPr>
          <w:b w:val="0"/>
          <w:i w:val="0"/>
        </w:rPr>
        <w:t>Hội đồng quản trị công ty đại chúng, vai trò của, 3 .II</w:t>
      </w:r>
    </w:p>
    <w:p>
      <w:pPr>
        <w:spacing w:after="80"/>
      </w:pPr>
      <w:r>
        <w:rPr>
          <w:b/>
          <w:i w:val="0"/>
        </w:rPr>
        <w:t>Q</w:t>
      </w:r>
    </w:p>
    <w:p>
      <w:pPr>
        <w:spacing w:after="80"/>
      </w:pPr>
      <w:r>
        <w:rPr>
          <w:b/>
          <w:i w:val="0"/>
        </w:rPr>
        <w:t>Quản trị công ty kiểu lang băm</w:t>
      </w:r>
    </w:p>
    <w:p>
      <w:pPr>
        <w:spacing w:after="80"/>
      </w:pPr>
      <w:r>
        <w:rPr>
          <w:b w:val="0"/>
          <w:i w:val="0"/>
        </w:rPr>
        <w:t>Nói chung, 13 .II</w:t>
      </w:r>
    </w:p>
    <w:p>
      <w:pPr>
        <w:spacing w:after="80"/>
      </w:pPr>
      <w:r>
        <w:rPr>
          <w:b/>
          <w:i w:val="0"/>
        </w:rPr>
        <w:t>R</w:t>
      </w:r>
    </w:p>
    <w:p>
      <w:pPr>
        <w:spacing w:after="80"/>
      </w:pPr>
      <w:r>
        <w:rPr>
          <w:b/>
          <w:i w:val="0"/>
        </w:rPr>
        <w:t>Quy định pháp luật</w:t>
      </w:r>
    </w:p>
    <w:p>
      <w:pPr>
        <w:spacing w:after="80"/>
      </w:pPr>
      <w:r>
        <w:rPr>
          <w:b w:val="0"/>
          <w:i w:val="0"/>
        </w:rPr>
        <w:t>Cạnh tranh, 2 .IV</w:t>
      </w:r>
    </w:p>
    <w:p>
      <w:pPr>
        <w:spacing w:after="80"/>
      </w:pPr>
      <w:r>
        <w:rPr>
          <w:b w:val="0"/>
          <w:i w:val="0"/>
        </w:rPr>
        <w:t>Chiến thuật phòng ngự, của (Xem Chiến thuật phòng ngự, tiêu đề phụ: Luật và quy định của bang)</w:t>
      </w:r>
    </w:p>
    <w:p>
      <w:pPr>
        <w:spacing w:after="80"/>
      </w:pPr>
      <w:r>
        <w:rPr>
          <w:b w:val="0"/>
          <w:i w:val="0"/>
        </w:rPr>
        <w:t>Thù lao ban điều hành, quy định thực chất về, 6 .III .C</w:t>
      </w:r>
    </w:p>
    <w:p>
      <w:pPr>
        <w:spacing w:after="80"/>
      </w:pPr>
      <w:r>
        <w:rPr>
          <w:b w:val="0"/>
          <w:i w:val="0"/>
        </w:rPr>
        <w:t>Quy định liên bang về chào mua thâu tóm thù địch, 8 .I .A</w:t>
      </w:r>
    </w:p>
    <w:p>
      <w:pPr>
        <w:spacing w:after="80"/>
      </w:pPr>
      <w:r>
        <w:rPr>
          <w:b w:val="0"/>
          <w:i w:val="0"/>
        </w:rPr>
        <w:t>Chào mua thâu tóm thù địch</w:t>
      </w:r>
    </w:p>
    <w:p>
      <w:pPr>
        <w:spacing w:after="80"/>
      </w:pPr>
      <w:r>
        <w:rPr>
          <w:b w:val="0"/>
          <w:i w:val="0"/>
        </w:rPr>
        <w:t>Quy định liên bang về, 8 .I .A</w:t>
      </w:r>
    </w:p>
    <w:p>
      <w:pPr>
        <w:spacing w:after="80"/>
      </w:pPr>
      <w:r>
        <w:rPr>
          <w:b w:val="0"/>
          <w:i w:val="0"/>
        </w:rPr>
        <w:t>Quy định thực chất về, 8 .I .C</w:t>
      </w:r>
    </w:p>
    <w:p>
      <w:pPr>
        <w:spacing w:after="80"/>
      </w:pPr>
      <w:r>
        <w:rPr>
          <w:b w:val="0"/>
          <w:i w:val="0"/>
        </w:rPr>
        <w:t>Đạo luật Giao dịch Chứng khoán (Xem Đạo luật Giao dịch Chứng khoán (SEC))</w:t>
      </w:r>
    </w:p>
    <w:p>
      <w:pPr>
        <w:spacing w:after="80"/>
      </w:pPr>
      <w:r>
        <w:rPr>
          <w:b w:val="0"/>
          <w:i w:val="0"/>
        </w:rPr>
        <w:t>Tự quy định (Xem Sở giao dịch chứng khoán và Tự quy định)</w:t>
      </w:r>
    </w:p>
    <w:p>
      <w:pPr>
        <w:spacing w:after="80"/>
      </w:pPr>
      <w:r>
        <w:rPr>
          <w:b w:val="0"/>
          <w:i w:val="0"/>
        </w:rPr>
        <w:t>Quy định của bang</w:t>
      </w:r>
    </w:p>
    <w:p>
      <w:pPr>
        <w:spacing w:after="80"/>
      </w:pPr>
      <w:r>
        <w:rPr>
          <w:b w:val="0"/>
          <w:i w:val="0"/>
        </w:rPr>
        <w:t>Học thuyết công việc nội bộ, 2 .I .A</w:t>
      </w:r>
    </w:p>
    <w:p>
      <w:pPr>
        <w:spacing w:after="80"/>
      </w:pPr>
      <w:r>
        <w:rPr>
          <w:b w:val="0"/>
          <w:i w:val="0"/>
        </w:rPr>
        <w:t>Cuộc đua xuống đáy hay lên đỉnh, 2 .I .B</w:t>
      </w:r>
    </w:p>
    <w:p>
      <w:pPr>
        <w:spacing w:after="80"/>
      </w:pPr>
      <w:r>
        <w:rPr>
          <w:b w:val="0"/>
          <w:i w:val="0"/>
        </w:rPr>
        <w:t>Quy định thực chất</w:t>
      </w:r>
    </w:p>
    <w:p>
      <w:pPr>
        <w:spacing w:after="80"/>
      </w:pPr>
      <w:r>
        <w:rPr>
          <w:b w:val="0"/>
          <w:i w:val="0"/>
        </w:rPr>
        <w:t>Thù lao điều hành, của, 6 .III .C</w:t>
      </w:r>
    </w:p>
    <w:p>
      <w:pPr>
        <w:spacing w:after="80"/>
      </w:pPr>
      <w:r>
        <w:rPr>
          <w:b w:val="0"/>
          <w:i w:val="0"/>
        </w:rPr>
        <w:t>Chào mua thâu tóm thù địch, của, 8 .I .C</w:t>
      </w:r>
    </w:p>
    <w:p>
      <w:pPr>
        <w:spacing w:after="80"/>
      </w:pPr>
      <w:r>
        <w:rPr>
          <w:b/>
          <w:i w:val="0"/>
        </w:rPr>
        <w:t>Các biện pháp khắc phục</w:t>
      </w:r>
    </w:p>
    <w:p>
      <w:pPr>
        <w:spacing w:after="80"/>
      </w:pPr>
      <w:r>
        <w:rPr>
          <w:b w:val="0"/>
          <w:i w:val="0"/>
        </w:rPr>
        <w:t>Thù lao điều hành và, 6 .III .E</w:t>
      </w:r>
    </w:p>
    <w:p>
      <w:pPr>
        <w:spacing w:after="80"/>
      </w:pPr>
      <w:r>
        <w:rPr>
          <w:b/>
          <w:i w:val="0"/>
        </w:rPr>
        <w:t>Quản lý rủi ro</w:t>
      </w:r>
    </w:p>
    <w:p>
      <w:pPr>
        <w:spacing w:after="80"/>
      </w:pPr>
      <w:r>
        <w:rPr>
          <w:b w:val="0"/>
          <w:i w:val="0"/>
        </w:rPr>
        <w:t>Nghĩa vụ cẩn trọng và, 4 .V</w:t>
      </w:r>
    </w:p>
    <w:p>
      <w:pPr>
        <w:spacing w:after="80"/>
      </w:pPr>
      <w:r>
        <w:rPr>
          <w:b/>
          <w:i w:val="0"/>
        </w:rPr>
        <w:t>S</w:t>
      </w:r>
    </w:p>
    <w:p>
      <w:pPr>
        <w:spacing w:after="80"/>
      </w:pPr>
      <w:r>
        <w:rPr>
          <w:b/>
          <w:i w:val="0"/>
        </w:rPr>
        <w:t>Say on Pay</w:t>
      </w:r>
    </w:p>
    <w:p>
      <w:pPr>
        <w:spacing w:after="80"/>
      </w:pPr>
      <w:r>
        <w:rPr>
          <w:b w:val="0"/>
          <w:i w:val="0"/>
        </w:rPr>
        <w:t>Thù lao điều hành, 6 .IV</w:t>
      </w:r>
    </w:p>
    <w:p>
      <w:pPr>
        <w:spacing w:after="80"/>
      </w:pPr>
      <w:r>
        <w:rPr>
          <w:b/>
          <w:i w:val="0"/>
        </w:rPr>
        <w:t>Đạo luật Giao dịch Chứng khoán (SEC)</w:t>
      </w:r>
    </w:p>
    <w:p>
      <w:pPr>
        <w:spacing w:after="80"/>
      </w:pPr>
      <w:r>
        <w:rPr>
          <w:b w:val="0"/>
          <w:i w:val="0"/>
        </w:rPr>
        <w:t>Thẩm quyền thực thi, 2 .II .C</w:t>
      </w:r>
    </w:p>
    <w:p>
      <w:pPr>
        <w:spacing w:after="80"/>
      </w:pPr>
      <w:r>
        <w:rPr>
          <w:b w:val="0"/>
          <w:i w:val="0"/>
        </w:rPr>
        <w:t>Thù lao điều hành và</w:t>
      </w:r>
    </w:p>
    <w:p>
      <w:pPr>
        <w:spacing w:after="80"/>
      </w:pPr>
      <w:r>
        <w:rPr>
          <w:b w:val="0"/>
          <w:i w:val="0"/>
        </w:rPr>
        <w:t>Nói chung, 6 .III</w:t>
      </w:r>
    </w:p>
    <w:p>
      <w:pPr>
        <w:spacing w:after="80"/>
      </w:pPr>
      <w:r>
        <w:rPr>
          <w:b w:val="0"/>
          <w:i w:val="0"/>
        </w:rPr>
        <w:t>Công bố thông tin</w:t>
      </w:r>
    </w:p>
    <w:p>
      <w:pPr>
        <w:spacing w:after="80"/>
      </w:pPr>
      <w:r>
        <w:rPr>
          <w:b w:val="0"/>
          <w:i w:val="0"/>
        </w:rPr>
        <w:t>Nói chung, 6 .III .A</w:t>
      </w:r>
    </w:p>
    <w:p>
      <w:pPr>
        <w:spacing w:after="80"/>
      </w:pPr>
      <w:r>
        <w:rPr>
          <w:b w:val="0"/>
          <w:i w:val="0"/>
        </w:rPr>
        <w:t>Những thay đổi thực chất trong hành vi và, 6 .III .B</w:t>
      </w:r>
    </w:p>
    <w:p>
      <w:pPr>
        <w:spacing w:after="80"/>
      </w:pPr>
      <w:r>
        <w:rPr>
          <w:b w:val="0"/>
          <w:i w:val="0"/>
        </w:rPr>
        <w:t>Sửa chữa quy trình, 6 .III .D</w:t>
      </w:r>
    </w:p>
    <w:p>
      <w:pPr>
        <w:spacing w:after="80"/>
      </w:pPr>
      <w:r>
        <w:rPr>
          <w:b w:val="0"/>
          <w:i w:val="0"/>
        </w:rPr>
        <w:t>Biện pháp khắc phục, 6 .III .E</w:t>
      </w:r>
    </w:p>
    <w:p>
      <w:pPr>
        <w:spacing w:after="80"/>
      </w:pPr>
      <w:r>
        <w:rPr>
          <w:b w:val="0"/>
          <w:i w:val="0"/>
        </w:rPr>
        <w:t>Những thay đổi thực chất trong hành vi, công bố thông tin và, 6 .III .B</w:t>
      </w:r>
    </w:p>
    <w:p>
      <w:pPr>
        <w:spacing w:after="80"/>
      </w:pPr>
      <w:r>
        <w:rPr>
          <w:b w:val="0"/>
          <w:i w:val="0"/>
        </w:rPr>
        <w:t>Quy định thực chất, 6 .III .C</w:t>
      </w:r>
    </w:p>
    <w:p>
      <w:pPr>
        <w:spacing w:after="80"/>
      </w:pPr>
      <w:r>
        <w:rPr>
          <w:b w:val="0"/>
          <w:i w:val="0"/>
        </w:rPr>
        <w:t>Bối cảnh lịch sử, 2 .II .A</w:t>
      </w:r>
    </w:p>
    <w:p>
      <w:pPr>
        <w:spacing w:after="80"/>
      </w:pPr>
      <w:r>
        <w:rPr>
          <w:b w:val="0"/>
          <w:i w:val="0"/>
        </w:rPr>
        <w:t>Thẩm quyền ban hành quy định, 2 .II .B</w:t>
      </w:r>
    </w:p>
    <w:p>
      <w:pPr>
        <w:spacing w:after="80"/>
      </w:pPr>
      <w:r>
        <w:rPr>
          <w:b/>
          <w:i w:val="0"/>
        </w:rPr>
        <w:t>Giao dịch tự lợi</w:t>
      </w:r>
    </w:p>
    <w:p>
      <w:pPr>
        <w:spacing w:after="80"/>
      </w:pPr>
      <w:r>
        <w:rPr>
          <w:b w:val="0"/>
          <w:i w:val="0"/>
        </w:rPr>
        <w:t>Nói chung, 5 .I</w:t>
      </w:r>
    </w:p>
    <w:p>
      <w:pPr>
        <w:spacing w:after="80"/>
      </w:pPr>
      <w:r>
        <w:rPr>
          <w:b/>
          <w:i w:val="0"/>
        </w:rPr>
        <w:t>Tự quy định</w:t>
      </w:r>
      <w:r>
        <w:rPr>
          <w:b w:val="0"/>
          <w:i w:val="0"/>
        </w:rPr>
        <w:t xml:space="preserve"> (Xem Sở giao dịch chứng khoán và Tự quy định)</w:t>
      </w:r>
    </w:p>
    <w:p>
      <w:pPr>
        <w:spacing w:after="80"/>
      </w:pPr>
      <w:r>
        <w:rPr>
          <w:b/>
          <w:i w:val="0"/>
        </w:rPr>
        <w:t>Cổ đông</w:t>
      </w:r>
    </w:p>
    <w:p>
      <w:pPr>
        <w:spacing w:after="80"/>
      </w:pPr>
      <w:r>
        <w:rPr>
          <w:b w:val="0"/>
          <w:i w:val="0"/>
        </w:rPr>
        <w:t>Nói chung, 1 .II .C</w:t>
      </w:r>
    </w:p>
    <w:p>
      <w:pPr>
        <w:spacing w:after="80"/>
      </w:pPr>
      <w:r>
        <w:rPr>
          <w:b w:val="0"/>
          <w:i w:val="0"/>
        </w:rPr>
        <w:t>Kiểm soát (Xem tiêu đề phụ: Quyền sở hữu và kiểm soát, sự tách biệt)</w:t>
      </w:r>
    </w:p>
    <w:p>
      <w:pPr>
        <w:spacing w:after="80"/>
      </w:pPr>
      <w:r>
        <w:rPr>
          <w:b w:val="0"/>
          <w:i w:val="0"/>
        </w:rPr>
        <w:t>Cổ đông kiểm soát và giám sát ban điều hành, 12 .II .B</w:t>
      </w:r>
    </w:p>
    <w:p>
      <w:pPr>
        <w:spacing w:after="80"/>
      </w:pPr>
      <w:r>
        <w:rPr>
          <w:b w:val="0"/>
          <w:i w:val="0"/>
        </w:rPr>
        <w:t>Tranh tụng phái sinh (Xem Tranh tụng phái sinh)</w:t>
      </w:r>
    </w:p>
    <w:p>
      <w:pPr>
        <w:spacing w:after="80"/>
      </w:pPr>
      <w:r>
        <w:rPr>
          <w:b w:val="0"/>
          <w:i w:val="0"/>
        </w:rPr>
        <w:t>Thù lao ban điều hành, 6 .IV</w:t>
      </w:r>
    </w:p>
    <w:p>
      <w:pPr>
        <w:spacing w:after="80"/>
      </w:pPr>
      <w:r>
        <w:rPr>
          <w:b w:val="0"/>
          <w:i w:val="0"/>
        </w:rPr>
        <w:t>Nghĩa vụ ủy thác và (Xem Nghĩa vụ ủy thác, tiêu đề phụ: Quyền cổ đông và)</w:t>
      </w:r>
    </w:p>
    <w:p>
      <w:pPr>
        <w:spacing w:after="80"/>
      </w:pPr>
      <w:r>
        <w:rPr>
          <w:b w:val="0"/>
          <w:i w:val="0"/>
        </w:rPr>
        <w:t>Các vụ kiện (Xem Tranh tụng phái sinh, tiêu đề phụ: Các vụ kiện của cổ đông)</w:t>
      </w:r>
    </w:p>
    <w:p>
      <w:pPr>
        <w:spacing w:after="80"/>
      </w:pPr>
      <w:r>
        <w:rPr>
          <w:b w:val="0"/>
          <w:i w:val="0"/>
        </w:rPr>
        <w:t>Bỏ phiếu theo đa số so với bỏ phiếu theo đa số tương đối, 7 .II</w:t>
      </w:r>
    </w:p>
    <w:p>
      <w:pPr>
        <w:spacing w:after="80"/>
      </w:pPr>
      <w:r>
        <w:rPr>
          <w:b w:val="0"/>
          <w:i w:val="0"/>
        </w:rPr>
        <w:t>Giám sát ban điều hành, cổ đông kiểm soát và, 12 .II .B</w:t>
      </w:r>
    </w:p>
    <w:p>
      <w:pPr>
        <w:spacing w:after="80"/>
      </w:pPr>
      <w:r>
        <w:rPr>
          <w:b w:val="0"/>
          <w:i w:val="0"/>
        </w:rPr>
        <w:t>Quyền sở hữu và quyền kiểm soát, sự tách biệt giữa</w:t>
      </w:r>
    </w:p>
    <w:p>
      <w:pPr>
        <w:spacing w:after="80"/>
      </w:pPr>
      <w:r>
        <w:rPr>
          <w:b w:val="0"/>
          <w:i w:val="0"/>
        </w:rPr>
        <w:t>Nhìn chung, 7 .I</w:t>
      </w:r>
    </w:p>
    <w:p>
      <w:pPr>
        <w:spacing w:after="80"/>
      </w:pPr>
      <w:r>
        <w:rPr>
          <w:b w:val="0"/>
          <w:i w:val="0"/>
        </w:rPr>
        <w:t>Quyền sở hữu hưởng lợi, vấn đề về, 7 .IV .A</w:t>
      </w:r>
    </w:p>
    <w:p>
      <w:pPr>
        <w:spacing w:after="80"/>
      </w:pPr>
      <w:r>
        <w:rPr>
          <w:b w:val="0"/>
          <w:i w:val="0"/>
        </w:rPr>
        <w:t>Nhà đầu tư tổ chức</w:t>
      </w:r>
    </w:p>
    <w:p>
      <w:pPr>
        <w:spacing w:after="80"/>
      </w:pPr>
      <w:r>
        <w:rPr>
          <w:b w:val="0"/>
          <w:i w:val="0"/>
        </w:rPr>
        <w:t>Sự trỗi dậy của, 7 .I .A</w:t>
      </w:r>
    </w:p>
    <w:p>
      <w:pPr>
        <w:spacing w:after="80"/>
      </w:pPr>
      <w:r>
        <w:rPr>
          <w:b w:val="0"/>
          <w:i w:val="0"/>
        </w:rPr>
        <w:t>Các loại, 7 .I .B</w:t>
      </w:r>
    </w:p>
    <w:p>
      <w:pPr>
        <w:spacing w:after="80"/>
      </w:pPr>
      <w:r>
        <w:rPr>
          <w:b w:val="0"/>
          <w:i w:val="0"/>
        </w:rPr>
        <w:t>Bỏ phiếu theo đa số tương đối, so với bỏ phiếu theo đa số, 7 .II</w:t>
      </w:r>
    </w:p>
    <w:p>
      <w:pPr>
        <w:spacing w:after="80"/>
      </w:pPr>
      <w:r>
        <w:rPr>
          <w:b w:val="0"/>
          <w:i w:val="0"/>
        </w:rPr>
        <w:t>Các đề xuất, 7 .III</w:t>
      </w:r>
    </w:p>
    <w:p>
      <w:pPr>
        <w:spacing w:after="80"/>
      </w:pPr>
      <w:r>
        <w:rPr>
          <w:b w:val="0"/>
          <w:i w:val="0"/>
        </w:rPr>
        <w:t>Loại trừ công việc kinh doanh thông thường, 7 .III .A</w:t>
      </w:r>
    </w:p>
    <w:p>
      <w:pPr>
        <w:spacing w:after="80"/>
      </w:pPr>
      <w:r>
        <w:rPr>
          <w:b w:val="0"/>
          <w:i w:val="0"/>
        </w:rPr>
        <w:t>Ngoại lệ vì lợi ích công, 7 .III .B</w:t>
      </w:r>
    </w:p>
    <w:p>
      <w:pPr>
        <w:spacing w:after="80"/>
      </w:pPr>
      <w:r>
        <w:rPr>
          <w:b w:val="0"/>
          <w:i w:val="0"/>
        </w:rPr>
        <w:t>Các công ty tư vấn ủy quyền, 7 .I .C</w:t>
      </w:r>
    </w:p>
    <w:p>
      <w:pPr>
        <w:spacing w:after="80"/>
      </w:pPr>
      <w:r>
        <w:rPr>
          <w:b w:val="0"/>
          <w:i w:val="0"/>
        </w:rPr>
        <w:t>Biểu quyết (Xem Biểu quyết)</w:t>
      </w:r>
    </w:p>
    <w:p>
      <w:pPr>
        <w:spacing w:after="80"/>
      </w:pPr>
      <w:r>
        <w:rPr>
          <w:b/>
          <w:i w:val="0"/>
        </w:rPr>
        <w:t>SLC</w:t>
      </w:r>
      <w:r>
        <w:rPr>
          <w:b w:val="0"/>
          <w:i w:val="0"/>
        </w:rPr>
        <w:t xml:space="preserve"> (Xem Ủy ban Tranh tụng Đặc biệt (SLC))</w:t>
      </w:r>
    </w:p>
    <w:p>
      <w:pPr>
        <w:spacing w:after="80"/>
      </w:pPr>
      <w:r>
        <w:rPr>
          <w:b/>
          <w:i w:val="0"/>
        </w:rPr>
        <w:t>Trách nhiệm Xã hội và Sắp đặt Tư nhân</w:t>
      </w:r>
    </w:p>
    <w:p>
      <w:pPr>
        <w:spacing w:after="80"/>
      </w:pPr>
      <w:r>
        <w:rPr>
          <w:b w:val="0"/>
          <w:i w:val="0"/>
        </w:rPr>
        <w:t>Nói chung, 11 .IV</w:t>
      </w:r>
    </w:p>
    <w:p>
      <w:pPr>
        <w:spacing w:after="80"/>
      </w:pPr>
      <w:r>
        <w:rPr>
          <w:b w:val="0"/>
          <w:i w:val="0"/>
        </w:rPr>
        <w:t>Thực thi tư nhân, 11 .IV .B</w:t>
      </w:r>
    </w:p>
    <w:p>
      <w:pPr>
        <w:spacing w:after="80"/>
      </w:pPr>
      <w:r>
        <w:rPr>
          <w:b w:val="0"/>
          <w:i w:val="0"/>
        </w:rPr>
        <w:t>Luật chứng khoán liên bang, 11 .IV .C</w:t>
      </w:r>
    </w:p>
    <w:p>
      <w:pPr>
        <w:spacing w:after="80"/>
      </w:pPr>
      <w:r>
        <w:rPr>
          <w:b w:val="0"/>
          <w:i w:val="0"/>
        </w:rPr>
        <w:t>Quyền con người, 11 .IV .B</w:t>
      </w:r>
    </w:p>
    <w:p>
      <w:pPr>
        <w:spacing w:after="80"/>
      </w:pPr>
      <w:r>
        <w:rPr>
          <w:b w:val="0"/>
          <w:i w:val="0"/>
        </w:rPr>
        <w:t>Sắp đặt tư nhân, 11 .IV .A</w:t>
      </w:r>
    </w:p>
    <w:p>
      <w:pPr>
        <w:spacing w:after="80"/>
      </w:pPr>
      <w:r>
        <w:rPr>
          <w:b/>
          <w:i w:val="0"/>
        </w:rPr>
        <w:t>Ủy ban Tranh tụng Đặc biệt (SLC)</w:t>
      </w:r>
    </w:p>
    <w:p>
      <w:pPr>
        <w:spacing w:after="80"/>
      </w:pPr>
      <w:r>
        <w:rPr>
          <w:b w:val="0"/>
          <w:i w:val="0"/>
        </w:rPr>
        <w:t>Thành phần, 10 .II .C .1</w:t>
      </w:r>
    </w:p>
    <w:p>
      <w:pPr>
        <w:spacing w:after="80"/>
      </w:pPr>
      <w:r>
        <w:rPr>
          <w:b w:val="0"/>
          <w:i w:val="0"/>
        </w:rPr>
        <w:t>Tính độc lập của giám đốc, 10 .II .C .3</w:t>
      </w:r>
    </w:p>
    <w:p>
      <w:pPr>
        <w:spacing w:after="80"/>
      </w:pPr>
      <w:r>
        <w:rPr>
          <w:b w:val="0"/>
          <w:i w:val="0"/>
        </w:rPr>
        <w:t>Nghĩa vụ, 10 .II .C .1</w:t>
      </w:r>
    </w:p>
    <w:p>
      <w:pPr>
        <w:spacing w:after="80"/>
      </w:pPr>
      <w:r>
        <w:rPr>
          <w:b w:val="0"/>
          <w:i w:val="0"/>
        </w:rPr>
        <w:t>Xem xét tư pháp, 10 .II .C .2</w:t>
      </w:r>
    </w:p>
    <w:p>
      <w:pPr>
        <w:spacing w:after="80"/>
      </w:pPr>
      <w:r>
        <w:rPr>
          <w:b w:val="0"/>
          <w:i w:val="0"/>
        </w:rPr>
        <w:t>Lựa chọn, 10 .II .C .1</w:t>
      </w:r>
    </w:p>
    <w:p>
      <w:pPr>
        <w:spacing w:after="80"/>
      </w:pPr>
      <w:r>
        <w:rPr>
          <w:b/>
          <w:i w:val="0"/>
        </w:rPr>
        <w:t>Các bên liên quan</w:t>
      </w:r>
    </w:p>
    <w:p>
      <w:pPr>
        <w:spacing w:after="80"/>
      </w:pPr>
      <w:r>
        <w:rPr>
          <w:b w:val="0"/>
          <w:i w:val="0"/>
        </w:rPr>
        <w:t>Nói chung, 1 .II .D ; 11 .III</w:t>
      </w:r>
    </w:p>
    <w:p>
      <w:pPr>
        <w:spacing w:after="80"/>
      </w:pPr>
      <w:r>
        <w:rPr>
          <w:b w:val="0"/>
          <w:i w:val="0"/>
        </w:rPr>
        <w:t>Các khu vực tài phán theo bộ luật dân sự, 12 .III .B .4</w:t>
      </w:r>
    </w:p>
    <w:p>
      <w:pPr>
        <w:spacing w:after="80"/>
      </w:pPr>
      <w:r>
        <w:rPr>
          <w:b/>
          <w:i w:val="0"/>
        </w:rPr>
        <w:t>Tiêu chuẩn xem xét</w:t>
      </w:r>
    </w:p>
    <w:p>
      <w:pPr>
        <w:spacing w:after="80"/>
      </w:pPr>
      <w:r>
        <w:rPr>
          <w:b w:val="0"/>
          <w:i w:val="0"/>
        </w:rPr>
        <w:t>Thù lao điều hành (Xem Thù lao điều hành, tiêu đề phụ: Nghĩa vụ tín thác và tiêu chuẩn xem xét)</w:t>
      </w:r>
    </w:p>
    <w:p>
      <w:pPr>
        <w:spacing w:after="80"/>
      </w:pPr>
      <w:r>
        <w:rPr>
          <w:b/>
          <w:i w:val="0"/>
        </w:rPr>
        <w:t>Tư cách nguyên đơn</w:t>
      </w:r>
    </w:p>
    <w:p>
      <w:pPr>
        <w:spacing w:after="80"/>
      </w:pPr>
      <w:r>
        <w:rPr>
          <w:b w:val="0"/>
          <w:i w:val="0"/>
        </w:rPr>
        <w:t>Tranh tụng phái sinh, 10 .II .A</w:t>
      </w:r>
    </w:p>
    <w:p>
      <w:pPr>
        <w:spacing w:after="80"/>
      </w:pPr>
      <w:r>
        <w:rPr>
          <w:b/>
          <w:i w:val="0"/>
        </w:rPr>
        <w:t>Luật tiểu bang</w:t>
      </w:r>
    </w:p>
    <w:p>
      <w:pPr>
        <w:spacing w:after="80"/>
      </w:pPr>
      <w:r>
        <w:rPr>
          <w:b w:val="0"/>
          <w:i w:val="0"/>
        </w:rPr>
        <w:t>Chiến thuật phòng ngự, của (Xem Chiến thuật phòng ngự, tiêu đề phụ: Luật và quy định tiểu bang)</w:t>
      </w:r>
    </w:p>
    <w:p>
      <w:pPr>
        <w:spacing w:after="80"/>
      </w:pPr>
      <w:r>
        <w:rPr>
          <w:b w:val="0"/>
          <w:i w:val="0"/>
        </w:rPr>
        <w:t>Cuộc tranh giành ủy quyền và, 8 .III .B</w:t>
      </w:r>
    </w:p>
    <w:p>
      <w:pPr>
        <w:spacing w:after="80"/>
      </w:pPr>
      <w:r>
        <w:rPr>
          <w:b/>
          <w:i w:val="0"/>
        </w:rPr>
        <w:t>Sở giao dịch chứng khoán và tự quản</w:t>
      </w:r>
    </w:p>
    <w:p>
      <w:pPr>
        <w:spacing w:after="80"/>
      </w:pPr>
      <w:r>
        <w:rPr>
          <w:b w:val="0"/>
          <w:i w:val="0"/>
        </w:rPr>
        <w:t>Nói chung, 2 .III</w:t>
      </w:r>
    </w:p>
    <w:p>
      <w:pPr>
        <w:spacing w:after="80"/>
      </w:pPr>
      <w:r>
        <w:rPr>
          <w:b w:val="0"/>
          <w:i w:val="0"/>
        </w:rPr>
        <w:t>Phi tương hỗ hóa, 2 .III .B</w:t>
      </w:r>
    </w:p>
    <w:p>
      <w:pPr>
        <w:spacing w:after="80"/>
      </w:pPr>
      <w:r>
        <w:rPr>
          <w:b w:val="0"/>
          <w:i w:val="0"/>
        </w:rPr>
        <w:t>Thực thi, 2 .III .C</w:t>
      </w:r>
    </w:p>
    <w:p>
      <w:pPr>
        <w:spacing w:after="80"/>
      </w:pPr>
      <w:r>
        <w:rPr>
          <w:b w:val="0"/>
          <w:i w:val="0"/>
        </w:rPr>
        <w:t>Bối cảnh lịch sử, 2 .III .A</w:t>
      </w:r>
    </w:p>
    <w:p>
      <w:pPr>
        <w:spacing w:after="80"/>
      </w:pPr>
      <w:r>
        <w:rPr>
          <w:b w:val="0"/>
          <w:i w:val="0"/>
        </w:rPr>
        <w:t>Các phương án cơ cấu, 2 .III .D</w:t>
      </w:r>
    </w:p>
    <w:p>
      <w:pPr>
        <w:spacing w:after="80"/>
      </w:pPr>
      <w:r>
        <w:rPr>
          <w:b/>
          <w:i w:val="0"/>
        </w:rPr>
        <w:t>T</w:t>
      </w:r>
    </w:p>
    <w:p>
      <w:pPr>
        <w:spacing w:after="80"/>
      </w:pPr>
      <w:r>
        <w:rPr>
          <w:b/>
          <w:i w:val="0"/>
        </w:rPr>
        <w:t>Chiến thuật</w:t>
      </w:r>
      <w:r>
        <w:rPr>
          <w:b w:val="0"/>
          <w:i w:val="0"/>
        </w:rPr>
        <w:t xml:space="preserve"> (Xem Chiến thuật Phòng ngự)</w:t>
      </w:r>
    </w:p>
    <w:p>
      <w:pPr>
        <w:spacing w:after="80"/>
      </w:pPr>
      <w:r>
        <w:rPr>
          <w:b/>
          <w:i w:val="0"/>
        </w:rPr>
        <w:t>Thâu tóm</w:t>
      </w:r>
    </w:p>
    <w:p>
      <w:pPr>
        <w:spacing w:after="80"/>
      </w:pPr>
      <w:r>
        <w:rPr>
          <w:b w:val="0"/>
          <w:i w:val="0"/>
        </w:rPr>
        <w:t>Các đạo luật chống thâu tóm, 8 .II .A</w:t>
      </w:r>
    </w:p>
    <w:p>
      <w:pPr>
        <w:spacing w:after="80"/>
      </w:pPr>
      <w:r>
        <w:rPr>
          <w:b w:val="0"/>
          <w:i w:val="0"/>
        </w:rPr>
        <w:t>Thâu tóm thù địch, vai trò của hội đồng quản trị mục tiêu trong, 8 .II .B</w:t>
      </w:r>
    </w:p>
    <w:p>
      <w:pPr>
        <w:spacing w:after="80"/>
      </w:pPr>
      <w:r>
        <w:rPr>
          <w:b w:val="0"/>
          <w:i w:val="0"/>
        </w:rPr>
        <w:t>Chào mua thù địch (Xem Chào mua Thù địch)</w:t>
      </w:r>
    </w:p>
    <w:p>
      <w:pPr>
        <w:spacing w:after="80"/>
      </w:pPr>
      <w:r>
        <w:rPr>
          <w:b w:val="0"/>
          <w:i w:val="0"/>
        </w:rPr>
        <w:t>Cuộc tranh giành quyền đại diện (Xem Cuộc tranh giành Quyền đại diện)</w:t>
      </w:r>
    </w:p>
    <w:p>
      <w:pPr>
        <w:spacing w:after="80"/>
      </w:pPr>
      <w:r>
        <w:rPr>
          <w:b/>
          <w:i w:val="0"/>
        </w:rPr>
        <w:t>U</w:t>
      </w:r>
    </w:p>
    <w:p>
      <w:pPr>
        <w:spacing w:after="80"/>
      </w:pPr>
      <w:r>
        <w:rPr>
          <w:b/>
          <w:i w:val="0"/>
        </w:rPr>
        <w:t>Chiếm đoạt Cơ hội Công ty</w:t>
      </w:r>
    </w:p>
    <w:p>
      <w:pPr>
        <w:spacing w:after="80"/>
      </w:pPr>
      <w:r>
        <w:rPr>
          <w:b w:val="0"/>
          <w:i w:val="0"/>
        </w:rPr>
        <w:t>Nói chung, 5 .II</w:t>
      </w:r>
    </w:p>
    <w:p>
      <w:pPr>
        <w:spacing w:after="80"/>
      </w:pPr>
      <w:r>
        <w:rPr>
          <w:b/>
          <w:i w:val="0"/>
        </w:rPr>
        <w:t>V</w:t>
      </w:r>
    </w:p>
    <w:p>
      <w:pPr>
        <w:spacing w:after="80"/>
      </w:pPr>
      <w:r>
        <w:rPr>
          <w:b/>
          <w:i w:val="0"/>
        </w:rPr>
        <w:t>Bỏ phiếu</w:t>
      </w:r>
    </w:p>
    <w:p>
      <w:pPr>
        <w:spacing w:after="80"/>
      </w:pPr>
      <w:r>
        <w:rPr>
          <w:b w:val="0"/>
          <w:i w:val="0"/>
        </w:rPr>
        <w:t>Quyền sở hữu hưởng lợi, vấn đề về, 7 .IV .A</w:t>
      </w:r>
    </w:p>
    <w:p>
      <w:pPr>
        <w:spacing w:after="80"/>
      </w:pPr>
      <w:r>
        <w:rPr>
          <w:b w:val="0"/>
          <w:i w:val="0"/>
        </w:rPr>
        <w:t>Mua, bỏ phiếu, 7 .V .B</w:t>
      </w:r>
    </w:p>
    <w:p>
      <w:pPr>
        <w:spacing w:after="80"/>
      </w:pPr>
      <w:r>
        <w:rPr>
          <w:b w:val="0"/>
          <w:i w:val="0"/>
        </w:rPr>
        <w:t>Bỏ phiếu rỗng, vấn đề về, 7 .IV .D</w:t>
      </w:r>
    </w:p>
    <w:p>
      <w:pPr>
        <w:spacing w:after="80"/>
      </w:pPr>
      <w:r>
        <w:rPr>
          <w:b w:val="0"/>
          <w:i w:val="0"/>
        </w:rPr>
        <w:t>Bỏ phiếu theo đa số so với bỏ phiếu theo số nhiều, 7 .II</w:t>
      </w:r>
    </w:p>
    <w:p>
      <w:pPr>
        <w:spacing w:after="80"/>
      </w:pPr>
      <w:r>
        <w:rPr>
          <w:b w:val="0"/>
          <w:i w:val="0"/>
        </w:rPr>
        <w:t>Cơ chế của, 7 .IV</w:t>
      </w:r>
    </w:p>
    <w:p>
      <w:pPr>
        <w:spacing w:after="80"/>
      </w:pPr>
      <w:r>
        <w:rPr>
          <w:b w:val="0"/>
          <w:i w:val="0"/>
        </w:rPr>
        <w:t>Vấn đề bỏ phiếu thừa (overvoting), 7 .IV .B</w:t>
      </w:r>
    </w:p>
    <w:p>
      <w:pPr>
        <w:spacing w:after="80"/>
      </w:pPr>
      <w:r>
        <w:rPr>
          <w:b w:val="0"/>
          <w:i w:val="0"/>
        </w:rPr>
        <w:t>Bỏ phiếu theo đa số tương đối (plurality voting) so với bỏ phiếu theo đa số tuyệt đối (majority), 7 .II</w:t>
      </w:r>
    </w:p>
    <w:p>
      <w:pPr>
        <w:spacing w:after="80"/>
      </w:pPr>
      <w:r>
        <w:rPr>
          <w:b w:val="0"/>
          <w:i w:val="0"/>
        </w:rPr>
        <w:t>Vấn đề cổ phần không có chỉ thị (uninstructed shares), 7 .IV .C</w:t>
      </w:r>
    </w:p>
    <w:p>
      <w:pPr>
        <w:pStyle w:val="Heading1"/>
      </w:pPr>
      <w:r>
        <w:rPr>
          <w:rFonts w:ascii="Calibri" w:hAnsi="Calibri"/>
          <w:b/>
          <w:i w:val="0"/>
          <w:sz w:val="40"/>
        </w:rPr>
        <w:t>Mục lục</w:t>
      </w:r>
    </w:p>
    <w:p>
      <w:pPr>
        <w:spacing w:after="80"/>
        <w:ind w:left="360"/>
      </w:pPr>
      <w:r>
        <w:rPr>
          <w:b w:val="0"/>
          <w:i w:val="0"/>
        </w:rPr>
        <w:t>Bảng án lệ</w:t>
      </w:r>
    </w:p>
    <w:p>
      <w:pPr>
        <w:spacing w:after="80"/>
        <w:ind w:left="360"/>
      </w:pPr>
      <w:r>
        <w:rPr>
          <w:b w:val="0"/>
          <w:i w:val="0"/>
        </w:rPr>
        <w:t>Lời nói đầu</w:t>
      </w:r>
    </w:p>
    <w:p>
      <w:pPr>
        <w:spacing w:after="80"/>
        <w:ind w:left="360"/>
      </w:pPr>
      <w:r>
        <w:rPr>
          <w:b/>
          <w:i w:val="0"/>
        </w:rPr>
        <w:t>Chương 1 · Giới thiệu về Quản trị Công ty</w:t>
      </w:r>
    </w:p>
    <w:p>
      <w:pPr>
        <w:spacing w:after="80"/>
        <w:ind w:left="720"/>
      </w:pPr>
      <w:r>
        <w:rPr>
          <w:b w:val="0"/>
          <w:i w:val="0"/>
        </w:rPr>
        <w:t>I. Quản trị Công ty là gì?</w:t>
      </w:r>
    </w:p>
    <w:p>
      <w:pPr>
        <w:spacing w:after="80"/>
        <w:ind w:left="720"/>
      </w:pPr>
      <w:r>
        <w:rPr>
          <w:b w:val="0"/>
          <w:i w:val="0"/>
        </w:rPr>
        <w:t>II. Ai là ai trong Quản trị Công ty</w:t>
      </w:r>
    </w:p>
    <w:p>
      <w:pPr>
        <w:spacing w:after="80"/>
        <w:ind w:left="1080"/>
      </w:pPr>
      <w:r>
        <w:rPr>
          <w:b w:val="0"/>
          <w:i w:val="0"/>
        </w:rPr>
        <w:t>A. Thành viên Hội đồng Quản trị</w:t>
      </w:r>
    </w:p>
    <w:p>
      <w:pPr>
        <w:spacing w:after="80"/>
        <w:ind w:left="1080"/>
      </w:pPr>
      <w:r>
        <w:rPr>
          <w:b w:val="0"/>
          <w:i w:val="0"/>
        </w:rPr>
        <w:t>B. Cán bộ điều hành</w:t>
      </w:r>
    </w:p>
    <w:p>
      <w:pPr>
        <w:spacing w:after="80"/>
        <w:ind w:left="1080"/>
      </w:pPr>
      <w:r>
        <w:rPr>
          <w:b w:val="0"/>
          <w:i w:val="0"/>
        </w:rPr>
        <w:t>C. Cổ đông</w:t>
      </w:r>
    </w:p>
    <w:p>
      <w:pPr>
        <w:spacing w:after="80"/>
        <w:ind w:left="1080"/>
      </w:pPr>
      <w:r>
        <w:rPr>
          <w:b w:val="0"/>
          <w:i w:val="0"/>
        </w:rPr>
        <w:t>D. Các bên liên quan của công ty</w:t>
      </w:r>
    </w:p>
    <w:p>
      <w:pPr>
        <w:spacing w:after="80"/>
        <w:ind w:left="1080"/>
      </w:pPr>
      <w:r>
        <w:rPr>
          <w:b w:val="0"/>
          <w:i w:val="0"/>
        </w:rPr>
        <w:t>E. Các Cố vấn — Người gác cổng và Chuyên gia Quản trị</w:t>
      </w:r>
    </w:p>
    <w:p>
      <w:pPr>
        <w:spacing w:after="80"/>
        <w:ind w:left="720"/>
      </w:pPr>
      <w:r>
        <w:rPr>
          <w:b w:val="0"/>
          <w:i w:val="0"/>
        </w:rPr>
        <w:t>III. Câu đố muôn thuở của Quản trị Công ty</w:t>
      </w:r>
    </w:p>
    <w:p>
      <w:pPr>
        <w:spacing w:after="80"/>
        <w:ind w:left="720"/>
      </w:pPr>
      <w:r>
        <w:rPr>
          <w:b w:val="0"/>
          <w:i w:val="0"/>
        </w:rPr>
        <w:t>IV. Cuộc cách mạng quản trị công ty</w:t>
      </w:r>
    </w:p>
    <w:p>
      <w:pPr>
        <w:spacing w:after="80"/>
        <w:ind w:left="360"/>
      </w:pPr>
      <w:r>
        <w:rPr>
          <w:b/>
          <w:i w:val="0"/>
        </w:rPr>
        <w:t>Chương 2 · Quản trị công ty, Tính phụ thuộc lộ trình và Các nguồn quy định</w:t>
      </w:r>
    </w:p>
    <w:p>
      <w:pPr>
        <w:spacing w:after="80"/>
        <w:ind w:left="720"/>
      </w:pPr>
      <w:r>
        <w:rPr>
          <w:b w:val="0"/>
          <w:i w:val="0"/>
        </w:rPr>
        <w:t>I. Quy định của nhà nước</w:t>
      </w:r>
    </w:p>
    <w:p>
      <w:pPr>
        <w:spacing w:after="80"/>
        <w:ind w:left="1080"/>
      </w:pPr>
      <w:r>
        <w:rPr>
          <w:b w:val="0"/>
          <w:i w:val="0"/>
        </w:rPr>
        <w:t>A. Học thuyết về các vấn đề nội bộ</w:t>
      </w:r>
    </w:p>
    <w:p>
      <w:pPr>
        <w:spacing w:after="80"/>
        <w:ind w:left="1080"/>
      </w:pPr>
      <w:r>
        <w:rPr>
          <w:b w:val="0"/>
          <w:i w:val="0"/>
        </w:rPr>
        <w:t>B. Cuộc đua xuống đáy hay lên đỉnh?</w:t>
      </w:r>
    </w:p>
    <w:p>
      <w:pPr>
        <w:spacing w:after="80"/>
        <w:ind w:left="720"/>
      </w:pPr>
      <w:r>
        <w:rPr>
          <w:b w:val="0"/>
          <w:i w:val="0"/>
        </w:rPr>
        <w:t>II. SEC và quản trị công ty</w:t>
      </w:r>
    </w:p>
    <w:p>
      <w:pPr>
        <w:spacing w:after="80"/>
        <w:ind w:left="1080"/>
      </w:pPr>
      <w:r>
        <w:rPr>
          <w:b w:val="0"/>
          <w:i w:val="0"/>
        </w:rPr>
        <w:t>A. Đôi nét lịch sử</w:t>
      </w:r>
    </w:p>
    <w:p>
      <w:pPr>
        <w:spacing w:after="80"/>
        <w:ind w:left="1080"/>
      </w:pPr>
      <w:r>
        <w:rPr>
          <w:b w:val="0"/>
          <w:i w:val="0"/>
        </w:rPr>
        <w:t>B. Thẩm quyền ban hành quy định</w:t>
      </w:r>
    </w:p>
    <w:p>
      <w:pPr>
        <w:spacing w:after="80"/>
        <w:ind w:left="1080"/>
      </w:pPr>
      <w:r>
        <w:rPr>
          <w:b w:val="0"/>
          <w:i w:val="0"/>
        </w:rPr>
        <w:t>C. Thẩm quyền thực thi</w:t>
      </w:r>
    </w:p>
    <w:p>
      <w:pPr>
        <w:spacing w:after="80"/>
        <w:ind w:left="720"/>
      </w:pPr>
      <w:r>
        <w:rPr>
          <w:b w:val="0"/>
          <w:i w:val="0"/>
        </w:rPr>
        <w:t>III. Vai trò của các sở giao dịch chứng khoán và tự quản</w:t>
      </w:r>
    </w:p>
    <w:p>
      <w:pPr>
        <w:spacing w:after="80"/>
        <w:ind w:left="1080"/>
      </w:pPr>
      <w:r>
        <w:rPr>
          <w:b w:val="0"/>
          <w:i w:val="0"/>
        </w:rPr>
        <w:t>A. Thêm một chút lịch sử</w:t>
      </w:r>
    </w:p>
    <w:p>
      <w:pPr>
        <w:spacing w:after="80"/>
        <w:ind w:left="1080"/>
      </w:pPr>
      <w:r>
        <w:rPr>
          <w:b w:val="0"/>
          <w:i w:val="0"/>
        </w:rPr>
        <w:t>B. Phi tương hỗ hóa</w:t>
      </w:r>
    </w:p>
    <w:p>
      <w:pPr>
        <w:spacing w:after="80"/>
        <w:ind w:left="1080"/>
      </w:pPr>
      <w:r>
        <w:rPr>
          <w:b w:val="0"/>
          <w:i w:val="0"/>
        </w:rPr>
        <w:t>C. Thực thi các quy tắc và tiêu chuẩn của sở giao dịch</w:t>
      </w:r>
    </w:p>
    <w:p>
      <w:pPr>
        <w:spacing w:after="80"/>
        <w:ind w:left="1080"/>
      </w:pPr>
      <w:r>
        <w:rPr>
          <w:b w:val="0"/>
          <w:i w:val="0"/>
        </w:rPr>
        <w:t>D. Các lựa chọn thay thế về cấu trúc</w:t>
      </w:r>
    </w:p>
    <w:p>
      <w:pPr>
        <w:spacing w:after="80"/>
        <w:ind w:left="720"/>
      </w:pPr>
      <w:r>
        <w:rPr>
          <w:b w:val="0"/>
          <w:i w:val="0"/>
        </w:rPr>
        <w:t>IV. Cạnh tranh quy định: Delaware vs. SEC</w:t>
      </w:r>
    </w:p>
    <w:p>
      <w:pPr>
        <w:spacing w:after="80"/>
        <w:ind w:left="360"/>
      </w:pPr>
      <w:r>
        <w:rPr>
          <w:b/>
          <w:i w:val="0"/>
        </w:rPr>
        <w:t>Chương 3 · Hội đồng quản trị công ty đại chúng</w:t>
      </w:r>
    </w:p>
    <w:p>
      <w:pPr>
        <w:spacing w:after="80"/>
        <w:ind w:left="720"/>
      </w:pPr>
      <w:r>
        <w:rPr>
          <w:b w:val="0"/>
          <w:i w:val="0"/>
        </w:rPr>
        <w:t>I. Vì sao cần Hội đồng quản trị?</w:t>
      </w:r>
    </w:p>
    <w:p>
      <w:pPr>
        <w:spacing w:after="80"/>
        <w:ind w:left="720"/>
      </w:pPr>
      <w:r>
        <w:rPr>
          <w:b w:val="0"/>
          <w:i w:val="0"/>
        </w:rPr>
        <w:t>II. Vai trò của Hội đồng quản trị trong công ty đại chúng</w:t>
      </w:r>
    </w:p>
    <w:p>
      <w:pPr>
        <w:spacing w:after="80"/>
        <w:ind w:left="720"/>
      </w:pPr>
      <w:r>
        <w:rPr>
          <w:b w:val="0"/>
          <w:i w:val="0"/>
        </w:rPr>
        <w:t>III. Thành viên độc lập của Hội đồng quản trị</w:t>
      </w:r>
    </w:p>
    <w:p>
      <w:pPr>
        <w:spacing w:after="80"/>
        <w:ind w:left="720"/>
      </w:pPr>
      <w:r>
        <w:rPr>
          <w:b w:val="0"/>
          <w:i w:val="0"/>
        </w:rPr>
        <w:t>IV. Quy mô, cơ cấu và vai trò lãnh đạo của Hội đồng quản trị</w:t>
      </w:r>
    </w:p>
    <w:p>
      <w:pPr>
        <w:spacing w:after="80"/>
        <w:ind w:left="720"/>
      </w:pPr>
      <w:r>
        <w:rPr>
          <w:b w:val="0"/>
          <w:i w:val="0"/>
        </w:rPr>
        <w:t>V. Các ủy ban của Hội đồng quản trị</w:t>
      </w:r>
    </w:p>
    <w:p>
      <w:pPr>
        <w:spacing w:after="80"/>
        <w:ind w:left="720"/>
      </w:pPr>
      <w:r>
        <w:rPr>
          <w:b w:val="0"/>
          <w:i w:val="0"/>
        </w:rPr>
        <w:t>VI. Lựa chọn thành viên Hội đồng quản trị</w:t>
      </w:r>
    </w:p>
    <w:p>
      <w:pPr>
        <w:spacing w:after="80"/>
        <w:ind w:left="720"/>
      </w:pPr>
      <w:r>
        <w:rPr>
          <w:b w:val="0"/>
          <w:i w:val="0"/>
        </w:rPr>
        <w:t>VII. Thù lao của thành viên Hội đồng quản trị</w:t>
      </w:r>
    </w:p>
    <w:p>
      <w:pPr>
        <w:spacing w:after="80"/>
        <w:ind w:left="720"/>
      </w:pPr>
      <w:r>
        <w:rPr>
          <w:b w:val="0"/>
          <w:i w:val="0"/>
        </w:rPr>
        <w:t>VIII. Tính đa dạng trong Hội đồng quản trị</w:t>
      </w:r>
    </w:p>
    <w:p>
      <w:pPr>
        <w:spacing w:after="80"/>
        <w:ind w:left="720"/>
      </w:pPr>
      <w:r>
        <w:rPr>
          <w:b w:val="0"/>
          <w:i w:val="0"/>
        </w:rPr>
        <w:t>IX. Nhiệm kỳ của thành viên Hội đồng quản trị</w:t>
      </w:r>
    </w:p>
    <w:p>
      <w:pPr>
        <w:spacing w:after="80"/>
        <w:ind w:left="360"/>
      </w:pPr>
      <w:r>
        <w:rPr>
          <w:b/>
          <w:i w:val="0"/>
        </w:rPr>
        <w:t>Chương 4 · Nghĩa vụ của người đại diện ủy thác trong công ty</w:t>
      </w:r>
    </w:p>
    <w:p>
      <w:pPr>
        <w:spacing w:after="80"/>
        <w:ind w:left="720"/>
      </w:pPr>
      <w:r>
        <w:rPr>
          <w:b w:val="0"/>
          <w:i w:val="0"/>
        </w:rPr>
        <w:t>I. Nghĩa vụ cẩn trọng và Quy tắc phán đoán kinh doanh</w:t>
      </w:r>
    </w:p>
    <w:p>
      <w:pPr>
        <w:spacing w:after="80"/>
        <w:ind w:left="720"/>
      </w:pPr>
      <w:r>
        <w:rPr>
          <w:b w:val="0"/>
          <w:i w:val="0"/>
        </w:rPr>
        <w:t>II. Sự cẩn trọng trong quy trình và Quy tắc phán đoán kinh doanh</w:t>
      </w:r>
    </w:p>
    <w:p>
      <w:pPr>
        <w:spacing w:after="80"/>
        <w:ind w:left="720"/>
      </w:pPr>
      <w:r>
        <w:rPr>
          <w:b w:val="0"/>
          <w:i w:val="0"/>
        </w:rPr>
        <w:t xml:space="preserve">III. Sau vụ </w:t>
      </w:r>
      <w:r>
        <w:rPr>
          <w:b w:val="0"/>
          <w:i/>
        </w:rPr>
        <w:t>Smith v. Van Gorkom</w:t>
      </w:r>
    </w:p>
    <w:p>
      <w:pPr>
        <w:spacing w:after="80"/>
        <w:ind w:left="720"/>
      </w:pPr>
      <w:r>
        <w:rPr>
          <w:b w:val="0"/>
          <w:i w:val="0"/>
        </w:rPr>
        <w:t>IV. Sự giám sát của thành viên Hội đồng quản trị và nghĩa vụ theo dõi</w:t>
      </w:r>
    </w:p>
    <w:p>
      <w:pPr>
        <w:spacing w:after="80"/>
        <w:ind w:left="720"/>
      </w:pPr>
      <w:r>
        <w:rPr>
          <w:b w:val="0"/>
          <w:i w:val="0"/>
        </w:rPr>
        <w:t xml:space="preserve">V. Các khiếu nại theo </w:t>
      </w:r>
      <w:r>
        <w:rPr>
          <w:b w:val="0"/>
          <w:i/>
        </w:rPr>
        <w:t>Caremark</w:t>
      </w:r>
      <w:r>
        <w:rPr>
          <w:b w:val="0"/>
          <w:i w:val="0"/>
        </w:rPr>
        <w:t xml:space="preserve"> và quản lý rủi ro</w:t>
      </w:r>
    </w:p>
    <w:p>
      <w:pPr>
        <w:spacing w:after="80"/>
        <w:ind w:left="720"/>
      </w:pPr>
      <w:r>
        <w:rPr>
          <w:b w:val="0"/>
          <w:i w:val="0"/>
        </w:rPr>
        <w:t>VI. Nghĩa vụ công bố thông tin</w:t>
      </w:r>
    </w:p>
    <w:p>
      <w:pPr>
        <w:spacing w:after="80"/>
        <w:ind w:left="360"/>
      </w:pPr>
      <w:r>
        <w:rPr>
          <w:b/>
          <w:i w:val="0"/>
        </w:rPr>
        <w:t>Chương 5 · Nghĩa vụ trung thành</w:t>
      </w:r>
    </w:p>
    <w:p>
      <w:pPr>
        <w:spacing w:after="80"/>
        <w:ind w:left="720"/>
      </w:pPr>
      <w:r>
        <w:rPr>
          <w:b w:val="0"/>
          <w:i w:val="0"/>
        </w:rPr>
        <w:t>I. Các giao dịch tự lợi (self-dealing)</w:t>
      </w:r>
    </w:p>
    <w:p>
      <w:pPr>
        <w:spacing w:after="80"/>
        <w:ind w:left="720"/>
      </w:pPr>
      <w:r>
        <w:rPr>
          <w:b w:val="0"/>
          <w:i w:val="0"/>
        </w:rPr>
        <w:t>II. Chiếm đoạt cơ hội kinh doanh của công ty</w:t>
      </w:r>
    </w:p>
    <w:p>
      <w:pPr>
        <w:spacing w:after="80"/>
        <w:ind w:left="720"/>
      </w:pPr>
      <w:r>
        <w:rPr>
          <w:b w:val="0"/>
          <w:i w:val="0"/>
        </w:rPr>
        <w:t>III. Cạnh tranh với công ty</w:t>
      </w:r>
    </w:p>
    <w:p>
      <w:pPr>
        <w:spacing w:after="80"/>
        <w:ind w:left="360"/>
      </w:pPr>
      <w:r>
        <w:rPr>
          <w:b/>
          <w:i w:val="0"/>
        </w:rPr>
        <w:t>Chương 6 · Thù lao điều hành</w:t>
      </w:r>
    </w:p>
    <w:p>
      <w:pPr>
        <w:spacing w:after="80"/>
        <w:ind w:left="720"/>
      </w:pPr>
      <w:r>
        <w:rPr>
          <w:b w:val="0"/>
          <w:i w:val="0"/>
        </w:rPr>
        <w:t>I. Vấn đề thù lao điều hành có phải là chuyện mới không?</w:t>
      </w:r>
    </w:p>
    <w:p>
      <w:pPr>
        <w:spacing w:after="80"/>
        <w:ind w:left="1080"/>
      </w:pPr>
      <w:r>
        <w:rPr>
          <w:b w:val="0"/>
          <w:i w:val="0"/>
        </w:rPr>
        <w:t>A. Đôi nét lịch sử</w:t>
      </w:r>
    </w:p>
    <w:p>
      <w:pPr>
        <w:spacing w:after="80"/>
        <w:ind w:left="1080"/>
      </w:pPr>
      <w:r>
        <w:rPr>
          <w:b w:val="0"/>
          <w:i w:val="0"/>
        </w:rPr>
        <w:t>B. Thù lao và thị trường: Một cuộc tranh luận</w:t>
      </w:r>
    </w:p>
    <w:p>
      <w:pPr>
        <w:spacing w:after="80"/>
        <w:ind w:left="1080"/>
      </w:pPr>
      <w:r>
        <w:rPr>
          <w:b w:val="0"/>
          <w:i w:val="0"/>
        </w:rPr>
        <w:t>C. Bàn thêm về các vấn đề cơ cấu</w:t>
      </w:r>
    </w:p>
    <w:p>
      <w:pPr>
        <w:spacing w:after="80"/>
        <w:ind w:left="720"/>
      </w:pPr>
      <w:r>
        <w:rPr>
          <w:b w:val="0"/>
          <w:i w:val="0"/>
        </w:rPr>
        <w:t>II. Nghĩa vụ tín thác (fiduciary duties) và tiêu chuẩn xem xét</w:t>
      </w:r>
    </w:p>
    <w:p>
      <w:pPr>
        <w:spacing w:after="80"/>
        <w:ind w:left="1080"/>
      </w:pPr>
      <w:r>
        <w:rPr>
          <w:b w:val="0"/>
          <w:i w:val="0"/>
        </w:rPr>
        <w:t>A. Công bằng tuyệt đối (entire fairness)</w:t>
      </w:r>
    </w:p>
    <w:p>
      <w:pPr>
        <w:spacing w:after="80"/>
        <w:ind w:left="1080"/>
      </w:pPr>
      <w:r>
        <w:rPr>
          <w:b w:val="0"/>
          <w:i w:val="0"/>
        </w:rPr>
        <w:t>B. Nghĩa vụ cẩn trọng (duty of care)</w:t>
      </w:r>
    </w:p>
    <w:p>
      <w:pPr>
        <w:spacing w:after="80"/>
        <w:ind w:left="1080"/>
      </w:pPr>
      <w:r>
        <w:rPr>
          <w:b w:val="0"/>
          <w:i w:val="0"/>
        </w:rPr>
        <w:t>C. Van an toàn của sự lãng phí (waste)</w:t>
      </w:r>
    </w:p>
    <w:p>
      <w:pPr>
        <w:spacing w:after="80"/>
        <w:ind w:left="720"/>
      </w:pPr>
      <w:r>
        <w:rPr>
          <w:b w:val="0"/>
          <w:i w:val="0"/>
        </w:rPr>
        <w:t>III. Thù lao và SEC</w:t>
      </w:r>
    </w:p>
    <w:p>
      <w:pPr>
        <w:spacing w:after="80"/>
        <w:ind w:left="1080"/>
      </w:pPr>
      <w:r>
        <w:rPr>
          <w:b w:val="0"/>
          <w:i w:val="0"/>
        </w:rPr>
        <w:t>A. Thù lao và việc công bố thông tin</w:t>
      </w:r>
    </w:p>
    <w:p>
      <w:pPr>
        <w:spacing w:after="80"/>
        <w:ind w:left="1080"/>
      </w:pPr>
      <w:r>
        <w:rPr>
          <w:b w:val="0"/>
          <w:i w:val="0"/>
        </w:rPr>
        <w:t>B. Công bố thông tin và những thay đổi thực chất trong hành vi</w:t>
      </w:r>
    </w:p>
    <w:p>
      <w:pPr>
        <w:spacing w:after="80"/>
        <w:ind w:left="1080"/>
      </w:pPr>
      <w:r>
        <w:rPr>
          <w:b w:val="0"/>
          <w:i w:val="0"/>
        </w:rPr>
        <w:t>C. Quy định nội dung về thù lao</w:t>
      </w:r>
    </w:p>
    <w:p>
      <w:pPr>
        <w:spacing w:after="80"/>
        <w:ind w:left="1080"/>
      </w:pPr>
      <w:r>
        <w:rPr>
          <w:b w:val="0"/>
          <w:i w:val="0"/>
        </w:rPr>
        <w:t>D. Sửa đổi quy trình</w:t>
      </w:r>
    </w:p>
    <w:p>
      <w:pPr>
        <w:spacing w:after="80"/>
        <w:ind w:left="1080"/>
      </w:pPr>
      <w:r>
        <w:rPr>
          <w:b w:val="0"/>
          <w:i w:val="0"/>
        </w:rPr>
        <w:t>E. Thực tiễn thù lao và các biện pháp khắc phục</w:t>
      </w:r>
    </w:p>
    <w:p>
      <w:pPr>
        <w:spacing w:after="80"/>
        <w:ind w:left="720"/>
      </w:pPr>
      <w:r>
        <w:rPr>
          <w:b w:val="0"/>
          <w:i w:val="0"/>
        </w:rPr>
        <w:t>IV. "Say on Pay" và tăng cường vai trò của cổ đông trong quy trình thù lao</w:t>
      </w:r>
    </w:p>
    <w:p>
      <w:pPr>
        <w:spacing w:after="80"/>
        <w:ind w:left="720"/>
      </w:pPr>
      <w:r>
        <w:rPr>
          <w:b w:val="0"/>
          <w:i w:val="0"/>
        </w:rPr>
        <w:t>V. Định hướng tương lai của thù lao điều hành</w:t>
      </w:r>
    </w:p>
    <w:p>
      <w:pPr>
        <w:spacing w:after="80"/>
        <w:ind w:left="360"/>
      </w:pPr>
      <w:r>
        <w:rPr>
          <w:b/>
          <w:i w:val="0"/>
        </w:rPr>
        <w:t>Chương 7 · Vai trò của cổ đông trong quy trình quản trị</w:t>
      </w:r>
    </w:p>
    <w:p>
      <w:pPr>
        <w:spacing w:after="80"/>
        <w:ind w:left="720"/>
      </w:pPr>
      <w:r>
        <w:rPr>
          <w:b w:val="0"/>
          <w:i w:val="0"/>
        </w:rPr>
        <w:t>I. Sự tách biệt giữa quyền sở hữu và quyền kiểm soát</w:t>
      </w:r>
    </w:p>
    <w:p>
      <w:pPr>
        <w:spacing w:after="80"/>
        <w:ind w:left="1080"/>
      </w:pPr>
      <w:r>
        <w:rPr>
          <w:b w:val="0"/>
          <w:i w:val="0"/>
        </w:rPr>
        <w:t>A. Sự trỗi dậy của các nhà đầu tư tổ chức</w:t>
      </w:r>
    </w:p>
    <w:p>
      <w:pPr>
        <w:spacing w:after="80"/>
        <w:ind w:left="1080"/>
      </w:pPr>
      <w:r>
        <w:rPr>
          <w:b w:val="0"/>
          <w:i w:val="0"/>
        </w:rPr>
        <w:t>B. Các loại nhà đầu tư tổ chức</w:t>
      </w:r>
    </w:p>
    <w:p>
      <w:pPr>
        <w:spacing w:after="80"/>
        <w:ind w:left="1080"/>
      </w:pPr>
      <w:r>
        <w:rPr>
          <w:b w:val="0"/>
          <w:i w:val="0"/>
        </w:rPr>
        <w:t>C. Vai trò của các công ty tư vấn ủy quyền</w:t>
      </w:r>
    </w:p>
    <w:p>
      <w:pPr>
        <w:spacing w:after="80"/>
        <w:ind w:left="720"/>
      </w:pPr>
      <w:r>
        <w:rPr>
          <w:b w:val="0"/>
          <w:i w:val="0"/>
        </w:rPr>
        <w:t>II. Bỏ phiếu theo đa số so với bỏ phiếu theo đa số tương đối</w:t>
      </w:r>
    </w:p>
    <w:p>
      <w:pPr>
        <w:spacing w:after="80"/>
        <w:ind w:left="720"/>
      </w:pPr>
      <w:r>
        <w:rPr>
          <w:b w:val="0"/>
          <w:i w:val="0"/>
        </w:rPr>
        <w:t>III. Đề xuất của cổ đông</w:t>
      </w:r>
    </w:p>
    <w:p>
      <w:pPr>
        <w:spacing w:after="80"/>
        <w:ind w:left="1080"/>
      </w:pPr>
      <w:r>
        <w:rPr>
          <w:b w:val="0"/>
          <w:i w:val="0"/>
        </w:rPr>
        <w:t>A. Loại trừ hoạt động kinh doanh thông thường và ngoại lệ vì lợi ích công cộng</w:t>
      </w:r>
    </w:p>
    <w:p>
      <w:pPr>
        <w:spacing w:after="80"/>
        <w:ind w:left="720"/>
      </w:pPr>
      <w:r>
        <w:rPr>
          <w:b w:val="0"/>
          <w:i w:val="0"/>
        </w:rPr>
        <w:t>IV. Cơ chế bỏ phiếu</w:t>
      </w:r>
    </w:p>
    <w:p>
      <w:pPr>
        <w:spacing w:after="80"/>
        <w:ind w:left="1080"/>
      </w:pPr>
      <w:r>
        <w:rPr>
          <w:b w:val="0"/>
          <w:i w:val="0"/>
        </w:rPr>
        <w:t>A. Vấn đề sở hữu hưởng lợi</w:t>
      </w:r>
    </w:p>
    <w:p>
      <w:pPr>
        <w:spacing w:after="80"/>
        <w:ind w:left="1080"/>
      </w:pPr>
      <w:r>
        <w:rPr>
          <w:b w:val="0"/>
          <w:i w:val="0"/>
        </w:rPr>
        <w:t>B. Vấn đề bỏ phiếu vượt quá</w:t>
      </w:r>
    </w:p>
    <w:p>
      <w:pPr>
        <w:spacing w:after="80"/>
        <w:ind w:left="1080"/>
      </w:pPr>
      <w:r>
        <w:rPr>
          <w:b w:val="0"/>
          <w:i w:val="0"/>
        </w:rPr>
        <w:t>C. Vấn đề cổ phần không có chỉ dẫn biểu quyết</w:t>
      </w:r>
    </w:p>
    <w:p>
      <w:pPr>
        <w:spacing w:after="80"/>
        <w:ind w:left="1080"/>
      </w:pPr>
      <w:r>
        <w:rPr>
          <w:b w:val="0"/>
          <w:i w:val="0"/>
        </w:rPr>
        <w:t>D. Vấn đề bỏ phiếu rỗng</w:t>
      </w:r>
    </w:p>
    <w:p>
      <w:pPr>
        <w:spacing w:after="80"/>
        <w:ind w:left="720"/>
      </w:pPr>
      <w:r>
        <w:rPr>
          <w:b w:val="0"/>
          <w:i w:val="0"/>
        </w:rPr>
        <w:t>V. Quyền của cổ đông và nghĩa vụ ủy thác của Hội đồng quản trị</w:t>
      </w:r>
    </w:p>
    <w:p>
      <w:pPr>
        <w:spacing w:after="80"/>
        <w:ind w:left="1080"/>
      </w:pPr>
      <w:r>
        <w:rPr>
          <w:b w:val="0"/>
          <w:i w:val="0"/>
        </w:rPr>
        <w:t>A. Can thiệp vào quyền biểu quyết</w:t>
      </w:r>
    </w:p>
    <w:p>
      <w:pPr>
        <w:spacing w:after="80"/>
        <w:ind w:left="1080"/>
      </w:pPr>
      <w:r>
        <w:rPr>
          <w:b w:val="0"/>
          <w:i w:val="0"/>
        </w:rPr>
        <w:t>B. Mua phiếu bầu</w:t>
      </w:r>
    </w:p>
    <w:p>
      <w:pPr>
        <w:spacing w:after="80"/>
        <w:ind w:left="360"/>
      </w:pPr>
      <w:r>
        <w:rPr>
          <w:b/>
          <w:i w:val="0"/>
        </w:rPr>
        <w:t>Chương 8 · Thị trường kiểm soát doanh nghiệp: Chào mua công khai thù địch và tranh chấp ủy quyền</w:t>
      </w:r>
    </w:p>
    <w:p>
      <w:pPr>
        <w:spacing w:after="80"/>
        <w:ind w:left="720"/>
      </w:pPr>
      <w:r>
        <w:rPr>
          <w:b w:val="0"/>
          <w:i w:val="0"/>
        </w:rPr>
        <w:t>I. Chào mua công khai thù địch</w:t>
      </w:r>
    </w:p>
    <w:p>
      <w:pPr>
        <w:spacing w:after="80"/>
        <w:ind w:left="1080"/>
      </w:pPr>
      <w:r>
        <w:rPr>
          <w:b w:val="0"/>
          <w:i w:val="0"/>
        </w:rPr>
        <w:t>A. Quy định liên bang về chào mua công khai</w:t>
      </w:r>
    </w:p>
    <w:p>
      <w:pPr>
        <w:spacing w:after="80"/>
        <w:ind w:left="1080"/>
      </w:pPr>
      <w:r>
        <w:rPr>
          <w:b w:val="0"/>
          <w:i w:val="0"/>
        </w:rPr>
        <w:t>B. Mục 13(d) và chào mua công khai từng bước</w:t>
      </w:r>
    </w:p>
    <w:p>
      <w:pPr>
        <w:spacing w:after="80"/>
        <w:ind w:left="1080"/>
      </w:pPr>
      <w:r>
        <w:rPr>
          <w:b w:val="0"/>
          <w:i w:val="0"/>
        </w:rPr>
        <w:t>C. Quy định nội dung về chào mua công khai</w:t>
      </w:r>
    </w:p>
    <w:p>
      <w:pPr>
        <w:spacing w:after="80"/>
        <w:ind w:left="720"/>
      </w:pPr>
      <w:r>
        <w:rPr>
          <w:b w:val="0"/>
          <w:i w:val="0"/>
        </w:rPr>
        <w:t>II. Luật tiểu bang và quy định về chiến thuật phòng thủ</w:t>
      </w:r>
    </w:p>
    <w:p>
      <w:pPr>
        <w:spacing w:after="80"/>
        <w:ind w:left="1080"/>
      </w:pPr>
      <w:r>
        <w:rPr>
          <w:b w:val="0"/>
          <w:i w:val="0"/>
        </w:rPr>
        <w:t>A. Các đạo luật chống thâu tóm</w:t>
      </w:r>
    </w:p>
    <w:p>
      <w:pPr>
        <w:spacing w:after="80"/>
        <w:ind w:left="1080"/>
      </w:pPr>
      <w:r>
        <w:rPr>
          <w:b w:val="0"/>
          <w:i w:val="0"/>
        </w:rPr>
        <w:t>B. Vai trò của Hội đồng quản trị công ty mục tiêu trong các thương vụ thâu tóm thù địch</w:t>
      </w:r>
    </w:p>
    <w:p>
      <w:pPr>
        <w:spacing w:after="80"/>
        <w:ind w:left="1080"/>
      </w:pPr>
      <w:r>
        <w:rPr>
          <w:b w:val="0"/>
          <w:i w:val="0"/>
        </w:rPr>
        <w:t>C. Sức mạnh của viên thuốc độc</w:t>
      </w:r>
    </w:p>
    <w:p>
      <w:pPr>
        <w:spacing w:after="80"/>
        <w:ind w:left="720"/>
      </w:pPr>
      <w:r>
        <w:rPr>
          <w:b w:val="0"/>
          <w:i w:val="0"/>
        </w:rPr>
        <w:t>III. Tranh chấp ủy quyền</w:t>
      </w:r>
    </w:p>
    <w:p>
      <w:pPr>
        <w:spacing w:after="80"/>
        <w:ind w:left="1080"/>
      </w:pPr>
      <w:r>
        <w:rPr>
          <w:b w:val="0"/>
          <w:i w:val="0"/>
        </w:rPr>
        <w:t>A. Tranh chấp ủy quyền và chủ nghĩa hoạt động của cổ đông</w:t>
      </w:r>
    </w:p>
    <w:p>
      <w:pPr>
        <w:spacing w:after="80"/>
        <w:ind w:left="1080"/>
      </w:pPr>
      <w:r>
        <w:rPr>
          <w:b w:val="0"/>
          <w:i w:val="0"/>
        </w:rPr>
        <w:t>B. Các cuộc tranh cử uỷ quyền và luật tiểu bang</w:t>
      </w:r>
    </w:p>
    <w:p>
      <w:pPr>
        <w:spacing w:after="80"/>
        <w:ind w:left="1080"/>
      </w:pPr>
      <w:r>
        <w:rPr>
          <w:b w:val="0"/>
          <w:i w:val="0"/>
        </w:rPr>
        <w:t>C. Các cuộc tranh cử uỷ quyền và kết quả bỏ phiếu tạm thời</w:t>
      </w:r>
    </w:p>
    <w:p>
      <w:pPr>
        <w:spacing w:after="80"/>
        <w:ind w:left="1080"/>
      </w:pPr>
      <w:r>
        <w:rPr>
          <w:b w:val="0"/>
          <w:i w:val="0"/>
        </w:rPr>
        <w:t>D. Các cuộc tranh cử uỷ quyền và thuốc độc (poison pills)</w:t>
      </w:r>
    </w:p>
    <w:p>
      <w:pPr>
        <w:spacing w:after="80"/>
        <w:ind w:left="1080"/>
      </w:pPr>
      <w:r>
        <w:rPr>
          <w:b w:val="0"/>
          <w:i w:val="0"/>
        </w:rPr>
        <w:t>E. Giải quyết vấn đề chi phí của một cuộc tranh cử uỷ quyền</w:t>
      </w:r>
    </w:p>
    <w:p>
      <w:pPr>
        <w:spacing w:after="80"/>
        <w:ind w:left="360"/>
      </w:pPr>
      <w:r>
        <w:rPr>
          <w:b/>
          <w:i w:val="0"/>
        </w:rPr>
        <w:t>Chương 9 · Vai trò của việc công bố thông tin trong quá trình quản trị</w:t>
      </w:r>
    </w:p>
    <w:p>
      <w:pPr>
        <w:spacing w:after="80"/>
        <w:ind w:left="720"/>
      </w:pPr>
      <w:r>
        <w:rPr>
          <w:b w:val="0"/>
          <w:i w:val="0"/>
        </w:rPr>
        <w:t>I. Chế độ tiểu bang: Quyền kiểm tra</w:t>
      </w:r>
    </w:p>
    <w:p>
      <w:pPr>
        <w:spacing w:after="80"/>
        <w:ind w:left="1080"/>
      </w:pPr>
      <w:r>
        <w:rPr>
          <w:b w:val="0"/>
          <w:i w:val="0"/>
        </w:rPr>
        <w:t>A. Quy trình</w:t>
      </w:r>
    </w:p>
    <w:p>
      <w:pPr>
        <w:spacing w:after="80"/>
        <w:ind w:left="1080"/>
      </w:pPr>
      <w:r>
        <w:rPr>
          <w:b w:val="0"/>
          <w:i w:val="0"/>
        </w:rPr>
        <w:t>B. Mục đích chính đáng</w:t>
      </w:r>
    </w:p>
    <w:p>
      <w:pPr>
        <w:spacing w:after="80"/>
        <w:ind w:left="1080"/>
      </w:pPr>
      <w:r>
        <w:rPr>
          <w:b w:val="0"/>
          <w:i w:val="0"/>
        </w:rPr>
        <w:t>C. Cơ sở đáng tin cậy</w:t>
      </w:r>
    </w:p>
    <w:p>
      <w:pPr>
        <w:spacing w:after="80"/>
        <w:ind w:left="1080"/>
      </w:pPr>
      <w:r>
        <w:rPr>
          <w:b w:val="0"/>
          <w:i w:val="0"/>
        </w:rPr>
        <w:t>D. Chi phí</w:t>
      </w:r>
    </w:p>
    <w:p>
      <w:pPr>
        <w:spacing w:after="80"/>
        <w:ind w:left="720"/>
      </w:pPr>
      <w:r>
        <w:rPr>
          <w:b w:val="0"/>
          <w:i w:val="0"/>
        </w:rPr>
        <w:t>II. Chế độ công bố thông tin liên bang</w:t>
      </w:r>
    </w:p>
    <w:p>
      <w:pPr>
        <w:spacing w:after="80"/>
        <w:ind w:left="1080"/>
      </w:pPr>
      <w:r>
        <w:rPr>
          <w:b w:val="0"/>
          <w:i w:val="0"/>
        </w:rPr>
        <w:t>A. Các uỷ ban của hội đồng quản trị</w:t>
      </w:r>
    </w:p>
    <w:p>
      <w:pPr>
        <w:spacing w:after="80"/>
        <w:ind w:left="1080"/>
      </w:pPr>
      <w:r>
        <w:rPr>
          <w:b w:val="0"/>
          <w:i w:val="0"/>
        </w:rPr>
        <w:t>B. Sự đa dạng của hội đồng quản trị</w:t>
      </w:r>
    </w:p>
    <w:p>
      <w:pPr>
        <w:spacing w:after="80"/>
        <w:ind w:left="1080"/>
      </w:pPr>
      <w:r>
        <w:rPr>
          <w:b w:val="0"/>
          <w:i w:val="0"/>
        </w:rPr>
        <w:t>C. Công bố thông tin và hành vi thực chất</w:t>
      </w:r>
    </w:p>
    <w:p>
      <w:pPr>
        <w:spacing w:after="80"/>
        <w:ind w:left="720"/>
      </w:pPr>
      <w:r>
        <w:rPr>
          <w:b w:val="0"/>
          <w:i w:val="0"/>
        </w:rPr>
        <w:t>III. Công bố thông tin và sự chính trực của ban quản lý</w:t>
      </w:r>
    </w:p>
    <w:p>
      <w:pPr>
        <w:spacing w:after="80"/>
        <w:ind w:left="720"/>
      </w:pPr>
      <w:r>
        <w:rPr>
          <w:b w:val="0"/>
          <w:i w:val="0"/>
        </w:rPr>
        <w:t>IV. Công bố thông tin và trách nhiệm xã hội của doanh nghiệp</w:t>
      </w:r>
    </w:p>
    <w:p>
      <w:pPr>
        <w:spacing w:after="80"/>
        <w:ind w:left="1080"/>
      </w:pPr>
      <w:r>
        <w:rPr>
          <w:b w:val="0"/>
          <w:i w:val="0"/>
        </w:rPr>
        <w:t>A. Biến đổi khí hậu</w:t>
      </w:r>
    </w:p>
    <w:p>
      <w:pPr>
        <w:spacing w:after="80"/>
        <w:ind w:left="1080"/>
      </w:pPr>
      <w:r>
        <w:rPr>
          <w:b w:val="0"/>
          <w:i w:val="0"/>
        </w:rPr>
        <w:t>B. Công bố các khoản đóng góp chính trị và chi phí vận động hành lang</w:t>
      </w:r>
    </w:p>
    <w:p>
      <w:pPr>
        <w:spacing w:after="80"/>
        <w:ind w:left="1080"/>
      </w:pPr>
      <w:r>
        <w:rPr>
          <w:b w:val="0"/>
          <w:i w:val="0"/>
        </w:rPr>
        <w:t>C. Công bố thông tin, khoáng sản xung đột và Tu chính án thứ nhất</w:t>
      </w:r>
    </w:p>
    <w:p>
      <w:pPr>
        <w:spacing w:after="80"/>
        <w:ind w:left="720"/>
      </w:pPr>
      <w:r>
        <w:rPr>
          <w:b w:val="0"/>
          <w:i w:val="0"/>
        </w:rPr>
        <w:t>V. Tiếp cận thông tin bình đẳng</w:t>
      </w:r>
    </w:p>
    <w:p>
      <w:pPr>
        <w:spacing w:after="80"/>
        <w:ind w:left="360"/>
      </w:pPr>
      <w:r>
        <w:rPr>
          <w:b/>
          <w:i w:val="0"/>
        </w:rPr>
        <w:t>Chương 10 · Kiện tụng phái sinh của cổ đông</w:t>
      </w:r>
    </w:p>
    <w:p>
      <w:pPr>
        <w:spacing w:after="80"/>
        <w:ind w:left="720"/>
      </w:pPr>
      <w:r>
        <w:rPr>
          <w:b w:val="0"/>
          <w:i w:val="0"/>
        </w:rPr>
        <w:t>I. Xem xét sơ bộ — Khiếu nại trực tiếp hay phái sinh</w:t>
      </w:r>
    </w:p>
    <w:p>
      <w:pPr>
        <w:spacing w:after="80"/>
        <w:ind w:left="720"/>
      </w:pPr>
      <w:r>
        <w:rPr>
          <w:b w:val="0"/>
          <w:i w:val="0"/>
        </w:rPr>
        <w:t>II. Kiện tụng phái sinh</w:t>
      </w:r>
    </w:p>
    <w:p>
      <w:pPr>
        <w:spacing w:after="80"/>
        <w:ind w:left="1080"/>
      </w:pPr>
      <w:r>
        <w:rPr>
          <w:b w:val="0"/>
          <w:i w:val="0"/>
        </w:rPr>
        <w:t>A. Tư cách nguyên đơn</w:t>
      </w:r>
    </w:p>
    <w:p>
      <w:pPr>
        <w:spacing w:after="80"/>
        <w:ind w:left="1080"/>
      </w:pPr>
      <w:r>
        <w:rPr>
          <w:b w:val="0"/>
          <w:i w:val="0"/>
        </w:rPr>
        <w:t>B. Yêu cầu về đơn thỉnh cầu</w:t>
      </w:r>
    </w:p>
    <w:p>
      <w:pPr>
        <w:spacing w:after="80"/>
        <w:ind w:left="1080"/>
      </w:pPr>
      <w:r>
        <w:rPr>
          <w:b w:val="0"/>
          <w:i w:val="0"/>
        </w:rPr>
        <w:t>C. Ủy ban kiện tụng đặc biệt</w:t>
      </w:r>
    </w:p>
    <w:p>
      <w:pPr>
        <w:spacing w:after="80"/>
        <w:ind w:left="1080"/>
      </w:pPr>
      <w:r>
        <w:rPr>
          <w:b w:val="0"/>
          <w:i w:val="0"/>
        </w:rPr>
        <w:t>D. Giải quyết các vụ kiện của cổ đông</w:t>
      </w:r>
    </w:p>
    <w:p>
      <w:pPr>
        <w:spacing w:after="80"/>
        <w:ind w:left="720"/>
      </w:pPr>
      <w:r>
        <w:rPr>
          <w:b w:val="0"/>
          <w:i w:val="0"/>
        </w:rPr>
        <w:t>III. Tranh luận về kiện tụng phái sinh</w:t>
      </w:r>
    </w:p>
    <w:p>
      <w:pPr>
        <w:spacing w:after="80"/>
        <w:ind w:left="720"/>
      </w:pPr>
      <w:r>
        <w:rPr>
          <w:b w:val="0"/>
          <w:i w:val="0"/>
        </w:rPr>
        <w:t>IV. Cải cách kiện tụng của cổ đông</w:t>
      </w:r>
    </w:p>
    <w:p>
      <w:pPr>
        <w:spacing w:after="80"/>
        <w:ind w:left="360"/>
      </w:pPr>
      <w:r>
        <w:rPr>
          <w:b/>
          <w:i w:val="0"/>
        </w:rPr>
        <w:t>Chương 11 · Hoạt động từ thiện, trách nhiệm xã hội và quyền của các bên liên quan</w:t>
      </w:r>
    </w:p>
    <w:p>
      <w:pPr>
        <w:spacing w:after="80"/>
        <w:ind w:left="720"/>
      </w:pPr>
      <w:r>
        <w:rPr>
          <w:b w:val="0"/>
          <w:i w:val="0"/>
        </w:rPr>
        <w:t>I. Mục đích của hình thức công ty</w:t>
      </w:r>
    </w:p>
    <w:p>
      <w:pPr>
        <w:spacing w:after="80"/>
        <w:ind w:left="720"/>
      </w:pPr>
      <w:r>
        <w:rPr>
          <w:b w:val="0"/>
          <w:i w:val="0"/>
        </w:rPr>
        <w:t>II. Hoạt động từ thiện của công ty</w:t>
      </w:r>
    </w:p>
    <w:p>
      <w:pPr>
        <w:spacing w:after="80"/>
        <w:ind w:left="720"/>
      </w:pPr>
      <w:r>
        <w:rPr>
          <w:b w:val="0"/>
          <w:i w:val="0"/>
        </w:rPr>
        <w:t>III. Các bên liên quan</w:t>
      </w:r>
    </w:p>
    <w:p>
      <w:pPr>
        <w:spacing w:after="80"/>
        <w:ind w:left="720"/>
      </w:pPr>
      <w:r>
        <w:rPr>
          <w:b w:val="0"/>
          <w:i w:val="0"/>
        </w:rPr>
        <w:t>IV. Trách nhiệm xã hội của doanh nghiệp</w:t>
      </w:r>
    </w:p>
    <w:p>
      <w:pPr>
        <w:spacing w:after="80"/>
        <w:ind w:left="1080"/>
      </w:pPr>
      <w:r>
        <w:rPr>
          <w:b w:val="0"/>
          <w:i w:val="0"/>
        </w:rPr>
        <w:t>A. Trách nhiệm xã hội của doanh nghiệp và việc tự sắp đặt trật tự</w:t>
      </w:r>
    </w:p>
    <w:p>
      <w:pPr>
        <w:spacing w:after="80"/>
        <w:ind w:left="1080"/>
      </w:pPr>
      <w:r>
        <w:rPr>
          <w:b w:val="0"/>
          <w:i w:val="0"/>
        </w:rPr>
        <w:t>B. Trách nhiệm xã hội của doanh nghiệp và việc thực thi quyền con người tư nhân</w:t>
      </w:r>
    </w:p>
    <w:p>
      <w:pPr>
        <w:spacing w:after="80"/>
        <w:ind w:left="1080"/>
      </w:pPr>
      <w:r>
        <w:rPr>
          <w:b w:val="0"/>
          <w:i w:val="0"/>
        </w:rPr>
        <w:t>C. Trách nhiệm xã hội của doanh nghiệp và việc thực thi tư nhân theo luật chứng khoán liên bang</w:t>
      </w:r>
    </w:p>
    <w:p>
      <w:pPr>
        <w:spacing w:after="80"/>
        <w:ind w:left="360"/>
      </w:pPr>
      <w:r>
        <w:rPr>
          <w:b/>
          <w:i w:val="0"/>
        </w:rPr>
        <w:t>Chương 12 · Quản trị doanh nghiệp so sánh</w:t>
      </w:r>
    </w:p>
    <w:p>
      <w:pPr>
        <w:spacing w:after="80"/>
        <w:ind w:left="720"/>
      </w:pPr>
      <w:r>
        <w:rPr>
          <w:b w:val="0"/>
          <w:i w:val="0"/>
        </w:rPr>
        <w:t>I. Quyền thống trị trong quản trị doanh nghiệp</w:t>
      </w:r>
    </w:p>
    <w:p>
      <w:pPr>
        <w:spacing w:after="80"/>
        <w:ind w:left="720"/>
      </w:pPr>
      <w:r>
        <w:rPr>
          <w:b w:val="0"/>
          <w:i w:val="0"/>
        </w:rPr>
        <w:t>II. Giám sát ban quản lý</w:t>
      </w:r>
    </w:p>
    <w:p>
      <w:pPr>
        <w:spacing w:after="80"/>
        <w:ind w:left="1080"/>
      </w:pPr>
      <w:r>
        <w:rPr>
          <w:b w:val="0"/>
          <w:i w:val="0"/>
        </w:rPr>
        <w:t>A. Thị trường vốn và việc giám sát</w:t>
      </w:r>
    </w:p>
    <w:p>
      <w:pPr>
        <w:spacing w:after="80"/>
        <w:ind w:left="1080"/>
      </w:pPr>
      <w:r>
        <w:rPr>
          <w:b w:val="0"/>
          <w:i w:val="0"/>
        </w:rPr>
        <w:t>B. Cổ đông kiểm soát và việc giám sát</w:t>
      </w:r>
    </w:p>
    <w:p>
      <w:pPr>
        <w:spacing w:after="80"/>
        <w:ind w:left="1080"/>
      </w:pPr>
      <w:r>
        <w:rPr>
          <w:b w:val="0"/>
          <w:i w:val="0"/>
        </w:rPr>
        <w:t>C. Ngân hàng và việc giám sát</w:t>
      </w:r>
    </w:p>
    <w:p>
      <w:pPr>
        <w:spacing w:after="80"/>
        <w:ind w:left="720"/>
      </w:pPr>
      <w:r>
        <w:rPr>
          <w:b w:val="0"/>
          <w:i w:val="0"/>
        </w:rPr>
        <w:t>III. Bộ luật Dân sự so với các khu vực tài phán theo thông luật</w:t>
      </w:r>
    </w:p>
    <w:p>
      <w:pPr>
        <w:spacing w:after="80"/>
        <w:ind w:left="1080"/>
      </w:pPr>
      <w:r>
        <w:rPr>
          <w:b w:val="0"/>
          <w:i w:val="0"/>
        </w:rPr>
        <w:t>A. Mô hình thông luật và các biến thể của nó</w:t>
      </w:r>
    </w:p>
    <w:p>
      <w:pPr>
        <w:spacing w:after="80"/>
        <w:ind w:left="1080"/>
      </w:pPr>
      <w:r>
        <w:rPr>
          <w:b w:val="0"/>
          <w:i w:val="0"/>
        </w:rPr>
        <w:t>B. Các khu vực tài phán theo Bộ luật Dân sự</w:t>
      </w:r>
    </w:p>
    <w:p>
      <w:pPr>
        <w:spacing w:after="80"/>
        <w:ind w:left="1080"/>
      </w:pPr>
      <w:r>
        <w:rPr>
          <w:b w:val="0"/>
          <w:i w:val="0"/>
        </w:rPr>
        <w:t>C. Nghiên cứu tình huống: Ý</w:t>
      </w:r>
    </w:p>
    <w:p>
      <w:pPr>
        <w:spacing w:after="80"/>
        <w:ind w:left="720"/>
      </w:pPr>
      <w:r>
        <w:rPr>
          <w:b w:val="0"/>
          <w:i w:val="0"/>
        </w:rPr>
        <w:t>IV. Vai trò của Liên minh châu Âu là gì?</w:t>
      </w:r>
    </w:p>
    <w:p>
      <w:pPr>
        <w:spacing w:after="80"/>
        <w:ind w:left="720"/>
      </w:pPr>
      <w:r>
        <w:rPr>
          <w:b w:val="0"/>
          <w:i w:val="0"/>
        </w:rPr>
        <w:t>V. Quản trị công ty và các nước đang phát triển</w:t>
      </w:r>
    </w:p>
    <w:p>
      <w:pPr>
        <w:spacing w:after="80"/>
        <w:ind w:left="1080"/>
      </w:pPr>
      <w:r>
        <w:rPr>
          <w:b w:val="0"/>
          <w:i w:val="0"/>
        </w:rPr>
        <w:t>A. Pháp luật có quan trọng không?</w:t>
      </w:r>
    </w:p>
    <w:p>
      <w:pPr>
        <w:spacing w:after="80"/>
        <w:ind w:left="1080"/>
      </w:pPr>
      <w:r>
        <w:rPr>
          <w:b w:val="0"/>
          <w:i w:val="0"/>
        </w:rPr>
        <w:t>B. Vấn đề thực thi pháp luật ở các thị trường mới nổi</w:t>
      </w:r>
    </w:p>
    <w:p>
      <w:pPr>
        <w:spacing w:after="80"/>
        <w:ind w:left="720"/>
      </w:pPr>
      <w:r>
        <w:rPr>
          <w:b w:val="0"/>
          <w:i w:val="0"/>
        </w:rPr>
        <w:t>VI. Quản trị công ty và văn hóa</w:t>
      </w:r>
    </w:p>
    <w:p>
      <w:pPr>
        <w:spacing w:after="80"/>
        <w:ind w:left="720"/>
      </w:pPr>
      <w:r>
        <w:rPr>
          <w:b w:val="0"/>
          <w:i w:val="0"/>
        </w:rPr>
        <w:t>VII. Quyền bá chủ trong quản trị công ty (Bàn lại)</w:t>
      </w:r>
    </w:p>
    <w:p>
      <w:pPr>
        <w:spacing w:after="80"/>
        <w:ind w:left="360"/>
      </w:pPr>
      <w:r>
        <w:rPr>
          <w:b/>
          <w:i w:val="0"/>
        </w:rPr>
        <w:t>Chương 13 · Quản trị công ty có tầm quan trọng như thế nào?</w:t>
      </w:r>
    </w:p>
    <w:p>
      <w:pPr>
        <w:spacing w:after="80"/>
        <w:ind w:left="720"/>
      </w:pPr>
      <w:r>
        <w:rPr>
          <w:b w:val="0"/>
          <w:i w:val="0"/>
        </w:rPr>
        <w:t>I. Quản trị tốt có nâng cao hiệu quả hoạt động của doanh nghiệp không?</w:t>
      </w:r>
    </w:p>
    <w:p>
      <w:pPr>
        <w:spacing w:after="80"/>
        <w:ind w:left="720"/>
      </w:pPr>
      <w:r>
        <w:rPr>
          <w:b w:val="0"/>
          <w:i w:val="0"/>
        </w:rPr>
        <w:t>II. Cuộc tranh luận về quản trị công ty kiểu lang băm</w:t>
      </w:r>
    </w:p>
    <w:p>
      <w:pPr>
        <w:spacing w:after="80"/>
        <w:ind w:left="720"/>
      </w:pPr>
      <w:r>
        <w:rPr>
          <w:b w:val="0"/>
          <w:i w:val="0"/>
        </w:rPr>
        <w:t>III. Thành viên hội đồng quản trị độc lập và quản trị công ty</w:t>
      </w:r>
    </w:p>
    <w:p>
      <w:pPr>
        <w:spacing w:after="80"/>
        <w:ind w:left="360"/>
      </w:pPr>
      <w:r>
        <w:rPr>
          <w:b/>
          <w:i w:val="0"/>
        </w:rPr>
        <w:t>Mục lục tra cứu</w:t>
      </w:r>
    </w:p>
    <w:p>
      <w:pPr>
        <w:spacing w:after="80"/>
        <w:ind w:left="360"/>
      </w:pPr>
      <w:r>
        <w:rPr>
          <w:b w:val="0"/>
          <w:i w:val="0"/>
        </w:rPr>
        <w:t>i</w:t>
      </w:r>
    </w:p>
    <w:p>
      <w:pPr>
        <w:spacing w:after="80"/>
        <w:ind w:left="360"/>
      </w:pPr>
      <w:r>
        <w:rPr>
          <w:b w:val="0"/>
          <w:i w:val="0"/>
        </w:rPr>
        <w:t>iii</w:t>
      </w:r>
    </w:p>
    <w:p>
      <w:pPr>
        <w:spacing w:after="80"/>
        <w:ind w:left="360"/>
      </w:pPr>
      <w:r>
        <w:rPr>
          <w:b w:val="0"/>
          <w:i w:val="0"/>
        </w:rPr>
        <w:t>iv</w:t>
      </w:r>
    </w:p>
    <w:p>
      <w:pPr>
        <w:spacing w:after="80"/>
        <w:ind w:left="360"/>
      </w:pPr>
      <w:r>
        <w:rPr>
          <w:b w:val="0"/>
          <w:i w:val="0"/>
        </w:rPr>
        <w:t>v</w:t>
      </w:r>
    </w:p>
    <w:p>
      <w:pPr>
        <w:spacing w:after="80"/>
        <w:ind w:left="360"/>
      </w:pPr>
      <w:r>
        <w:rPr>
          <w:b w:val="0"/>
          <w:i w:val="0"/>
        </w:rPr>
        <w:t>vii</w:t>
      </w:r>
    </w:p>
    <w:p>
      <w:pPr>
        <w:spacing w:after="80"/>
        <w:ind w:left="360"/>
      </w:pPr>
      <w:r>
        <w:rPr>
          <w:b w:val="0"/>
          <w:i w:val="0"/>
        </w:rPr>
        <w:t>viii</w:t>
      </w:r>
    </w:p>
    <w:p>
      <w:pPr>
        <w:spacing w:after="80"/>
        <w:ind w:left="360"/>
      </w:pPr>
      <w:r>
        <w:rPr>
          <w:b w:val="0"/>
          <w:i w:val="0"/>
        </w:rPr>
        <w:t>ix</w:t>
      </w:r>
    </w:p>
    <w:p>
      <w:pPr>
        <w:spacing w:after="80"/>
        <w:ind w:left="360"/>
      </w:pPr>
      <w:r>
        <w:rPr>
          <w:b w:val="0"/>
          <w:i w:val="0"/>
        </w:rPr>
        <w:t>x</w:t>
      </w:r>
    </w:p>
    <w:p>
      <w:pPr>
        <w:spacing w:after="80"/>
        <w:ind w:left="360"/>
      </w:pPr>
      <w:r>
        <w:rPr>
          <w:b w:val="0"/>
          <w:i w:val="0"/>
        </w:rPr>
        <w:t>xi</w:t>
      </w:r>
    </w:p>
    <w:p>
      <w:pPr>
        <w:spacing w:after="80"/>
        <w:ind w:left="360"/>
      </w:pPr>
      <w:r>
        <w:rPr>
          <w:b w:val="0"/>
          <w:i w:val="0"/>
        </w:rPr>
        <w:t>xii</w:t>
      </w:r>
    </w:p>
    <w:p>
      <w:pPr>
        <w:spacing w:after="80"/>
        <w:ind w:left="360"/>
      </w:pPr>
      <w:r>
        <w:rPr>
          <w:b w:val="0"/>
          <w:i w:val="0"/>
        </w:rPr>
        <w:t>xiii</w:t>
      </w:r>
    </w:p>
    <w:p>
      <w:pPr>
        <w:spacing w:after="80"/>
        <w:ind w:left="360"/>
      </w:pPr>
      <w:r>
        <w:rPr>
          <w:b w:val="0"/>
          <w:i w:val="0"/>
        </w:rPr>
        <w:t>xiv</w:t>
      </w:r>
    </w:p>
    <w:p>
      <w:pPr>
        <w:spacing w:after="80"/>
        <w:ind w:left="360"/>
      </w:pPr>
      <w:r>
        <w:rPr>
          <w:b w:val="0"/>
          <w:i w:val="0"/>
        </w:rPr>
        <w:t>xv</w:t>
      </w:r>
    </w:p>
    <w:p>
      <w:pPr>
        <w:spacing w:after="80"/>
        <w:ind w:left="360"/>
      </w:pPr>
      <w:r>
        <w:rPr>
          <w:b w:val="0"/>
          <w:i w:val="0"/>
        </w:rPr>
        <w:t>xvi</w:t>
      </w:r>
    </w:p>
    <w:p>
      <w:pPr>
        <w:spacing w:after="80"/>
        <w:ind w:left="360"/>
      </w:pPr>
      <w:r>
        <w:rPr>
          <w:b w:val="0"/>
          <w:i w:val="0"/>
        </w:rPr>
        <w:t>xvii</w:t>
      </w:r>
    </w:p>
    <w:p>
      <w:pPr>
        <w:spacing w:after="80"/>
        <w:ind w:left="360"/>
      </w:pPr>
      <w:r>
        <w:rPr>
          <w:b w:val="0"/>
          <w:i w:val="0"/>
        </w:rPr>
        <w:t>xviii</w:t>
      </w:r>
    </w:p>
    <w:p>
      <w:pPr>
        <w:spacing w:after="80"/>
        <w:ind w:left="360"/>
      </w:pPr>
      <w:r>
        <w:rPr>
          <w:b w:val="0"/>
          <w:i w:val="0"/>
        </w:rPr>
        <w:t>xix</w:t>
      </w:r>
    </w:p>
    <w:p>
      <w:pPr>
        <w:spacing w:after="80"/>
        <w:ind w:left="360"/>
      </w:pPr>
      <w:r>
        <w:rPr>
          <w:b w:val="0"/>
          <w:i w:val="0"/>
        </w:rPr>
        <w:t>xx</w:t>
      </w:r>
    </w:p>
    <w:p>
      <w:pPr>
        <w:spacing w:after="80"/>
        <w:ind w:left="360"/>
      </w:pPr>
      <w:r>
        <w:rPr>
          <w:b w:val="0"/>
          <w:i w:val="0"/>
        </w:rPr>
        <w:t>xxi</w:t>
      </w:r>
    </w:p>
    <w:p>
      <w:pPr>
        <w:spacing w:after="80"/>
        <w:ind w:left="360"/>
      </w:pPr>
      <w:r>
        <w:rPr>
          <w:b w:val="0"/>
          <w:i w:val="0"/>
        </w:rPr>
        <w:t>xxiii</w:t>
      </w:r>
    </w:p>
    <w:p>
      <w:pPr>
        <w:spacing w:after="80"/>
        <w:ind w:left="360"/>
      </w:pPr>
      <w:r>
        <w:rPr>
          <w:b w:val="0"/>
          <w:i w:val="0"/>
        </w:rPr>
        <w:t>xxiv</w:t>
      </w:r>
    </w:p>
    <w:p>
      <w:pPr>
        <w:spacing w:after="80"/>
        <w:ind w:left="360"/>
      </w:pPr>
      <w:r>
        <w:rPr>
          <w:b w:val="0"/>
          <w:i w:val="0"/>
        </w:rPr>
        <w:t>xxv</w:t>
      </w:r>
    </w:p>
    <w:p>
      <w:pPr>
        <w:spacing w:after="80"/>
        <w:ind w:left="360"/>
      </w:pPr>
      <w:r>
        <w:rPr>
          <w:b w:val="0"/>
          <w:i w:val="0"/>
        </w:rPr>
        <w:t>3</w:t>
      </w:r>
    </w:p>
    <w:p>
      <w:pPr>
        <w:spacing w:after="80"/>
        <w:ind w:left="360"/>
      </w:pPr>
      <w:r>
        <w:rPr>
          <w:b w:val="0"/>
          <w:i w:val="0"/>
        </w:rPr>
        <w:t>4</w:t>
      </w:r>
    </w:p>
    <w:p>
      <w:pPr>
        <w:spacing w:after="80"/>
        <w:ind w:left="360"/>
      </w:pPr>
      <w:r>
        <w:rPr>
          <w:b w:val="0"/>
          <w:i w:val="0"/>
        </w:rPr>
        <w:t>5</w:t>
      </w:r>
    </w:p>
    <w:p>
      <w:pPr>
        <w:spacing w:after="80"/>
        <w:ind w:left="360"/>
      </w:pPr>
      <w:r>
        <w:rPr>
          <w:b w:val="0"/>
          <w:i w:val="0"/>
        </w:rPr>
        <w:t>6</w:t>
      </w:r>
    </w:p>
    <w:p>
      <w:pPr>
        <w:spacing w:after="80"/>
        <w:ind w:left="360"/>
      </w:pPr>
      <w:r>
        <w:rPr>
          <w:b w:val="0"/>
          <w:i w:val="0"/>
        </w:rPr>
        <w:t>7</w:t>
      </w:r>
    </w:p>
    <w:p>
      <w:pPr>
        <w:spacing w:after="80"/>
        <w:ind w:left="360"/>
      </w:pPr>
      <w:r>
        <w:rPr>
          <w:b w:val="0"/>
          <w:i w:val="0"/>
        </w:rPr>
        <w:t>8</w:t>
      </w:r>
    </w:p>
    <w:p>
      <w:pPr>
        <w:spacing w:after="80"/>
        <w:ind w:left="360"/>
      </w:pPr>
      <w:r>
        <w:rPr>
          <w:b w:val="0"/>
          <w:i w:val="0"/>
        </w:rPr>
        <w:t>9</w:t>
      </w:r>
    </w:p>
    <w:p>
      <w:pPr>
        <w:spacing w:after="80"/>
        <w:ind w:left="360"/>
      </w:pPr>
      <w:r>
        <w:rPr>
          <w:b w:val="0"/>
          <w:i w:val="0"/>
        </w:rPr>
        <w:t>10</w:t>
      </w:r>
    </w:p>
    <w:p>
      <w:pPr>
        <w:spacing w:after="80"/>
        <w:ind w:left="360"/>
      </w:pPr>
      <w:r>
        <w:rPr>
          <w:b w:val="0"/>
          <w:i w:val="0"/>
        </w:rPr>
        <w:t>11</w:t>
      </w:r>
    </w:p>
    <w:p>
      <w:pPr>
        <w:spacing w:after="80"/>
        <w:ind w:left="360"/>
      </w:pPr>
      <w:r>
        <w:rPr>
          <w:b w:val="0"/>
          <w:i w:val="0"/>
        </w:rPr>
        <w:t>12</w:t>
      </w:r>
    </w:p>
    <w:p>
      <w:pPr>
        <w:spacing w:after="80"/>
        <w:ind w:left="360"/>
      </w:pPr>
      <w:r>
        <w:rPr>
          <w:b w:val="0"/>
          <w:i w:val="0"/>
        </w:rPr>
        <w:t>13</w:t>
      </w:r>
    </w:p>
    <w:p>
      <w:pPr>
        <w:spacing w:after="80"/>
        <w:ind w:left="360"/>
      </w:pPr>
      <w:r>
        <w:rPr>
          <w:b w:val="0"/>
          <w:i w:val="0"/>
        </w:rPr>
        <w:t>14</w:t>
      </w:r>
    </w:p>
    <w:p>
      <w:pPr>
        <w:spacing w:after="80"/>
        <w:ind w:left="360"/>
      </w:pPr>
      <w:r>
        <w:rPr>
          <w:b w:val="0"/>
          <w:i w:val="0"/>
        </w:rPr>
        <w:t>15</w:t>
      </w:r>
    </w:p>
    <w:p>
      <w:pPr>
        <w:spacing w:after="80"/>
        <w:ind w:left="360"/>
      </w:pPr>
      <w:r>
        <w:rPr>
          <w:b w:val="0"/>
          <w:i w:val="0"/>
        </w:rPr>
        <w:t>16</w:t>
      </w:r>
    </w:p>
    <w:p>
      <w:pPr>
        <w:spacing w:after="80"/>
        <w:ind w:left="360"/>
      </w:pPr>
      <w:r>
        <w:rPr>
          <w:b w:val="0"/>
          <w:i w:val="0"/>
        </w:rPr>
        <w:t>17</w:t>
      </w:r>
    </w:p>
    <w:p>
      <w:pPr>
        <w:spacing w:after="80"/>
        <w:ind w:left="360"/>
      </w:pPr>
      <w:r>
        <w:rPr>
          <w:b w:val="0"/>
          <w:i w:val="0"/>
        </w:rPr>
        <w:t>18</w:t>
      </w:r>
    </w:p>
    <w:p>
      <w:pPr>
        <w:spacing w:after="80"/>
        <w:ind w:left="360"/>
      </w:pPr>
      <w:r>
        <w:rPr>
          <w:b w:val="0"/>
          <w:i w:val="0"/>
        </w:rPr>
        <w:t>19</w:t>
      </w:r>
    </w:p>
    <w:p>
      <w:pPr>
        <w:spacing w:after="80"/>
        <w:ind w:left="360"/>
      </w:pPr>
      <w:r>
        <w:rPr>
          <w:b w:val="0"/>
          <w:i w:val="0"/>
        </w:rPr>
        <w:t>20</w:t>
      </w:r>
    </w:p>
    <w:p>
      <w:pPr>
        <w:spacing w:after="80"/>
        <w:ind w:left="360"/>
      </w:pPr>
      <w:r>
        <w:rPr>
          <w:b w:val="0"/>
          <w:i w:val="0"/>
        </w:rPr>
        <w:t>21</w:t>
      </w:r>
    </w:p>
    <w:p>
      <w:pPr>
        <w:spacing w:after="80"/>
        <w:ind w:left="360"/>
      </w:pPr>
      <w:r>
        <w:rPr>
          <w:b w:val="0"/>
          <w:i w:val="0"/>
        </w:rPr>
        <w:t>22</w:t>
      </w:r>
    </w:p>
    <w:p>
      <w:pPr>
        <w:spacing w:after="80"/>
        <w:ind w:left="360"/>
      </w:pPr>
      <w:r>
        <w:rPr>
          <w:b w:val="0"/>
          <w:i w:val="0"/>
        </w:rPr>
        <w:t>23</w:t>
      </w:r>
    </w:p>
    <w:p>
      <w:pPr>
        <w:spacing w:after="80"/>
        <w:ind w:left="360"/>
      </w:pPr>
      <w:r>
        <w:rPr>
          <w:b w:val="0"/>
          <w:i w:val="0"/>
        </w:rPr>
        <w:t>24</w:t>
      </w:r>
    </w:p>
    <w:p>
      <w:pPr>
        <w:spacing w:after="80"/>
        <w:ind w:left="360"/>
      </w:pPr>
      <w:r>
        <w:rPr>
          <w:b w:val="0"/>
          <w:i w:val="0"/>
        </w:rPr>
        <w:t>25</w:t>
      </w:r>
    </w:p>
    <w:p>
      <w:pPr>
        <w:spacing w:after="80"/>
        <w:ind w:left="360"/>
      </w:pPr>
      <w:r>
        <w:rPr>
          <w:b w:val="0"/>
          <w:i w:val="0"/>
        </w:rPr>
        <w:t>26</w:t>
      </w:r>
    </w:p>
    <w:p>
      <w:pPr>
        <w:spacing w:after="80"/>
        <w:ind w:left="360"/>
      </w:pPr>
      <w:r>
        <w:rPr>
          <w:b w:val="0"/>
          <w:i w:val="0"/>
        </w:rPr>
        <w:t>27</w:t>
      </w:r>
    </w:p>
    <w:p>
      <w:pPr>
        <w:spacing w:after="80"/>
        <w:ind w:left="360"/>
      </w:pPr>
      <w:r>
        <w:rPr>
          <w:b w:val="0"/>
          <w:i w:val="0"/>
        </w:rPr>
        <w:t>29</w:t>
      </w:r>
    </w:p>
    <w:p>
      <w:pPr>
        <w:spacing w:after="80"/>
        <w:ind w:left="360"/>
      </w:pPr>
      <w:r>
        <w:rPr>
          <w:b w:val="0"/>
          <w:i w:val="0"/>
        </w:rPr>
        <w:t>30</w:t>
      </w:r>
    </w:p>
    <w:p>
      <w:pPr>
        <w:spacing w:after="80"/>
        <w:ind w:left="360"/>
      </w:pPr>
      <w:r>
        <w:rPr>
          <w:b w:val="0"/>
          <w:i w:val="0"/>
        </w:rPr>
        <w:t>31</w:t>
      </w:r>
    </w:p>
    <w:p>
      <w:pPr>
        <w:spacing w:after="80"/>
        <w:ind w:left="360"/>
      </w:pPr>
      <w:r>
        <w:rPr>
          <w:b w:val="0"/>
          <w:i w:val="0"/>
        </w:rPr>
        <w:t>32</w:t>
      </w:r>
    </w:p>
    <w:p>
      <w:pPr>
        <w:spacing w:after="80"/>
        <w:ind w:left="360"/>
      </w:pPr>
      <w:r>
        <w:rPr>
          <w:b w:val="0"/>
          <w:i w:val="0"/>
        </w:rPr>
        <w:t>33</w:t>
      </w:r>
    </w:p>
    <w:p>
      <w:pPr>
        <w:spacing w:after="80"/>
        <w:ind w:left="360"/>
      </w:pPr>
      <w:r>
        <w:rPr>
          <w:b w:val="0"/>
          <w:i w:val="0"/>
        </w:rPr>
        <w:t>34</w:t>
      </w:r>
    </w:p>
    <w:p>
      <w:pPr>
        <w:spacing w:after="80"/>
        <w:ind w:left="360"/>
      </w:pPr>
      <w:r>
        <w:rPr>
          <w:b w:val="0"/>
          <w:i w:val="0"/>
        </w:rPr>
        <w:t>35</w:t>
      </w:r>
    </w:p>
    <w:p>
      <w:pPr>
        <w:spacing w:after="80"/>
        <w:ind w:left="360"/>
      </w:pPr>
      <w:r>
        <w:rPr>
          <w:b w:val="0"/>
          <w:i w:val="0"/>
        </w:rPr>
        <w:t>36</w:t>
      </w:r>
    </w:p>
    <w:p>
      <w:pPr>
        <w:spacing w:after="80"/>
        <w:ind w:left="360"/>
      </w:pPr>
      <w:r>
        <w:rPr>
          <w:b w:val="0"/>
          <w:i w:val="0"/>
        </w:rPr>
        <w:t>37</w:t>
      </w:r>
    </w:p>
    <w:p>
      <w:pPr>
        <w:spacing w:after="80"/>
        <w:ind w:left="360"/>
      </w:pPr>
      <w:r>
        <w:rPr>
          <w:b w:val="0"/>
          <w:i w:val="0"/>
        </w:rPr>
        <w:t>38</w:t>
      </w:r>
    </w:p>
    <w:p>
      <w:pPr>
        <w:spacing w:after="80"/>
        <w:ind w:left="360"/>
      </w:pPr>
      <w:r>
        <w:rPr>
          <w:b w:val="0"/>
          <w:i w:val="0"/>
        </w:rPr>
        <w:t>39</w:t>
      </w:r>
    </w:p>
    <w:p>
      <w:pPr>
        <w:spacing w:after="80"/>
        <w:ind w:left="360"/>
      </w:pPr>
      <w:r>
        <w:rPr>
          <w:b w:val="0"/>
          <w:i w:val="0"/>
        </w:rPr>
        <w:t>40</w:t>
      </w:r>
    </w:p>
    <w:p>
      <w:pPr>
        <w:spacing w:after="80"/>
        <w:ind w:left="360"/>
      </w:pPr>
      <w:r>
        <w:rPr>
          <w:b w:val="0"/>
          <w:i w:val="0"/>
        </w:rPr>
        <w:t>41</w:t>
      </w:r>
    </w:p>
    <w:p>
      <w:pPr>
        <w:spacing w:after="80"/>
        <w:ind w:left="360"/>
      </w:pPr>
      <w:r>
        <w:rPr>
          <w:b w:val="0"/>
          <w:i w:val="0"/>
        </w:rPr>
        <w:t>42</w:t>
      </w:r>
    </w:p>
    <w:p>
      <w:pPr>
        <w:spacing w:after="80"/>
        <w:ind w:left="360"/>
      </w:pPr>
      <w:r>
        <w:rPr>
          <w:b w:val="0"/>
          <w:i w:val="0"/>
        </w:rPr>
        <w:t>43</w:t>
      </w:r>
    </w:p>
    <w:p>
      <w:pPr>
        <w:spacing w:after="80"/>
        <w:ind w:left="360"/>
      </w:pPr>
      <w:r>
        <w:rPr>
          <w:b w:val="0"/>
          <w:i w:val="0"/>
        </w:rPr>
        <w:t>44</w:t>
      </w:r>
    </w:p>
    <w:p>
      <w:pPr>
        <w:spacing w:after="80"/>
        <w:ind w:left="360"/>
      </w:pPr>
      <w:r>
        <w:rPr>
          <w:b w:val="0"/>
          <w:i w:val="0"/>
        </w:rPr>
        <w:t>45</w:t>
      </w:r>
    </w:p>
    <w:p>
      <w:pPr>
        <w:spacing w:after="80"/>
        <w:ind w:left="360"/>
      </w:pPr>
      <w:r>
        <w:rPr>
          <w:b w:val="0"/>
          <w:i w:val="0"/>
        </w:rPr>
        <w:t>46</w:t>
      </w:r>
    </w:p>
    <w:p>
      <w:pPr>
        <w:spacing w:after="80"/>
        <w:ind w:left="360"/>
      </w:pPr>
      <w:r>
        <w:rPr>
          <w:b w:val="0"/>
          <w:i w:val="0"/>
        </w:rPr>
        <w:t>47</w:t>
      </w:r>
    </w:p>
    <w:p>
      <w:pPr>
        <w:spacing w:after="80"/>
        <w:ind w:left="360"/>
      </w:pPr>
      <w:r>
        <w:rPr>
          <w:b w:val="0"/>
          <w:i w:val="0"/>
        </w:rPr>
        <w:t>48</w:t>
      </w:r>
    </w:p>
    <w:p>
      <w:pPr>
        <w:spacing w:after="80"/>
        <w:ind w:left="360"/>
      </w:pPr>
      <w:r>
        <w:rPr>
          <w:b w:val="0"/>
          <w:i w:val="0"/>
        </w:rPr>
        <w:t>49</w:t>
      </w:r>
    </w:p>
    <w:p>
      <w:pPr>
        <w:spacing w:after="80"/>
        <w:ind w:left="360"/>
      </w:pPr>
      <w:r>
        <w:rPr>
          <w:b w:val="0"/>
          <w:i w:val="0"/>
        </w:rPr>
        <w:t>50</w:t>
      </w:r>
    </w:p>
    <w:p>
      <w:pPr>
        <w:spacing w:after="80"/>
        <w:ind w:left="360"/>
      </w:pPr>
      <w:r>
        <w:rPr>
          <w:b w:val="0"/>
          <w:i w:val="0"/>
        </w:rPr>
        <w:t>51</w:t>
      </w:r>
    </w:p>
    <w:p>
      <w:pPr>
        <w:spacing w:after="80"/>
        <w:ind w:left="360"/>
      </w:pPr>
      <w:r>
        <w:rPr>
          <w:b w:val="0"/>
          <w:i w:val="0"/>
        </w:rPr>
        <w:t>52</w:t>
      </w:r>
    </w:p>
    <w:p>
      <w:pPr>
        <w:spacing w:after="80"/>
        <w:ind w:left="360"/>
      </w:pPr>
      <w:r>
        <w:rPr>
          <w:b w:val="0"/>
          <w:i w:val="0"/>
        </w:rPr>
        <w:t>53</w:t>
      </w:r>
    </w:p>
    <w:p>
      <w:pPr>
        <w:spacing w:after="80"/>
        <w:ind w:left="360"/>
      </w:pPr>
      <w:r>
        <w:rPr>
          <w:b w:val="0"/>
          <w:i w:val="0"/>
        </w:rPr>
        <w:t>54</w:t>
      </w:r>
    </w:p>
    <w:p>
      <w:pPr>
        <w:spacing w:after="80"/>
        <w:ind w:left="360"/>
      </w:pPr>
      <w:r>
        <w:rPr>
          <w:b w:val="0"/>
          <w:i w:val="0"/>
        </w:rPr>
        <w:t>55</w:t>
      </w:r>
    </w:p>
    <w:p>
      <w:pPr>
        <w:spacing w:after="80"/>
        <w:ind w:left="360"/>
      </w:pPr>
      <w:r>
        <w:rPr>
          <w:b w:val="0"/>
          <w:i w:val="0"/>
        </w:rPr>
        <w:t>56</w:t>
      </w:r>
    </w:p>
    <w:p>
      <w:pPr>
        <w:spacing w:after="80"/>
        <w:ind w:left="360"/>
      </w:pPr>
      <w:r>
        <w:rPr>
          <w:b w:val="0"/>
          <w:i w:val="0"/>
        </w:rPr>
        <w:t>57</w:t>
      </w:r>
    </w:p>
    <w:p>
      <w:pPr>
        <w:spacing w:after="80"/>
        <w:ind w:left="360"/>
      </w:pPr>
      <w:r>
        <w:rPr>
          <w:b w:val="0"/>
          <w:i w:val="0"/>
        </w:rPr>
        <w:t>58</w:t>
      </w:r>
    </w:p>
    <w:p>
      <w:pPr>
        <w:spacing w:after="80"/>
        <w:ind w:left="360"/>
      </w:pPr>
      <w:r>
        <w:rPr>
          <w:b w:val="0"/>
          <w:i w:val="0"/>
        </w:rPr>
        <w:t>59</w:t>
      </w:r>
    </w:p>
    <w:p>
      <w:pPr>
        <w:spacing w:after="80"/>
        <w:ind w:left="360"/>
      </w:pPr>
      <w:r>
        <w:rPr>
          <w:b w:val="0"/>
          <w:i w:val="0"/>
        </w:rPr>
        <w:t>60</w:t>
      </w:r>
    </w:p>
    <w:p>
      <w:pPr>
        <w:spacing w:after="80"/>
        <w:ind w:left="360"/>
      </w:pPr>
      <w:r>
        <w:rPr>
          <w:b w:val="0"/>
          <w:i w:val="0"/>
        </w:rPr>
        <w:t>61</w:t>
      </w:r>
    </w:p>
    <w:p>
      <w:pPr>
        <w:spacing w:after="80"/>
        <w:ind w:left="360"/>
      </w:pPr>
      <w:r>
        <w:rPr>
          <w:b w:val="0"/>
          <w:i w:val="0"/>
        </w:rPr>
        <w:t>62</w:t>
      </w:r>
    </w:p>
    <w:p>
      <w:pPr>
        <w:spacing w:after="80"/>
        <w:ind w:left="360"/>
      </w:pPr>
      <w:r>
        <w:rPr>
          <w:b w:val="0"/>
          <w:i w:val="0"/>
        </w:rPr>
        <w:t>63</w:t>
      </w:r>
    </w:p>
    <w:p>
      <w:pPr>
        <w:spacing w:after="80"/>
        <w:ind w:left="360"/>
      </w:pPr>
      <w:r>
        <w:rPr>
          <w:b w:val="0"/>
          <w:i w:val="0"/>
        </w:rPr>
        <w:t>64</w:t>
      </w:r>
    </w:p>
    <w:p>
      <w:pPr>
        <w:spacing w:after="80"/>
        <w:ind w:left="360"/>
      </w:pPr>
      <w:r>
        <w:rPr>
          <w:b w:val="0"/>
          <w:i w:val="0"/>
        </w:rPr>
        <w:t>65</w:t>
      </w:r>
    </w:p>
    <w:p>
      <w:pPr>
        <w:spacing w:after="80"/>
        <w:ind w:left="360"/>
      </w:pPr>
      <w:r>
        <w:rPr>
          <w:b w:val="0"/>
          <w:i w:val="0"/>
        </w:rPr>
        <w:t>66</w:t>
      </w:r>
    </w:p>
    <w:p>
      <w:pPr>
        <w:spacing w:after="80"/>
        <w:ind w:left="360"/>
      </w:pPr>
      <w:r>
        <w:rPr>
          <w:b w:val="0"/>
          <w:i w:val="0"/>
        </w:rPr>
        <w:t>67</w:t>
      </w:r>
    </w:p>
    <w:p>
      <w:pPr>
        <w:spacing w:after="80"/>
        <w:ind w:left="360"/>
      </w:pPr>
      <w:r>
        <w:rPr>
          <w:b w:val="0"/>
          <w:i w:val="0"/>
        </w:rPr>
        <w:t>68</w:t>
      </w:r>
    </w:p>
    <w:p>
      <w:pPr>
        <w:spacing w:after="80"/>
        <w:ind w:left="360"/>
      </w:pPr>
      <w:r>
        <w:rPr>
          <w:b w:val="0"/>
          <w:i w:val="0"/>
        </w:rPr>
        <w:t>69</w:t>
      </w:r>
    </w:p>
    <w:p>
      <w:pPr>
        <w:spacing w:after="80"/>
        <w:ind w:left="360"/>
      </w:pPr>
      <w:r>
        <w:rPr>
          <w:b w:val="0"/>
          <w:i w:val="0"/>
        </w:rPr>
        <w:t>70</w:t>
      </w:r>
    </w:p>
    <w:p>
      <w:pPr>
        <w:spacing w:after="80"/>
        <w:ind w:left="360"/>
      </w:pPr>
      <w:r>
        <w:rPr>
          <w:b w:val="0"/>
          <w:i w:val="0"/>
        </w:rPr>
        <w:t>71</w:t>
      </w:r>
    </w:p>
    <w:p>
      <w:pPr>
        <w:spacing w:after="80"/>
        <w:ind w:left="360"/>
      </w:pPr>
      <w:r>
        <w:rPr>
          <w:b w:val="0"/>
          <w:i w:val="0"/>
        </w:rPr>
        <w:t>72</w:t>
      </w:r>
    </w:p>
    <w:p>
      <w:pPr>
        <w:spacing w:after="80"/>
        <w:ind w:left="360"/>
      </w:pPr>
      <w:r>
        <w:rPr>
          <w:b w:val="0"/>
          <w:i w:val="0"/>
        </w:rPr>
        <w:t>73</w:t>
      </w:r>
    </w:p>
    <w:p>
      <w:pPr>
        <w:spacing w:after="80"/>
        <w:ind w:left="360"/>
      </w:pPr>
      <w:r>
        <w:rPr>
          <w:b w:val="0"/>
          <w:i w:val="0"/>
        </w:rPr>
        <w:t>74</w:t>
      </w:r>
    </w:p>
    <w:p>
      <w:pPr>
        <w:spacing w:after="80"/>
        <w:ind w:left="360"/>
      </w:pPr>
      <w:r>
        <w:rPr>
          <w:b w:val="0"/>
          <w:i w:val="0"/>
        </w:rPr>
        <w:t>75</w:t>
      </w:r>
    </w:p>
    <w:p>
      <w:pPr>
        <w:spacing w:after="80"/>
        <w:ind w:left="360"/>
      </w:pPr>
      <w:r>
        <w:rPr>
          <w:b w:val="0"/>
          <w:i w:val="0"/>
        </w:rPr>
        <w:t>76</w:t>
      </w:r>
    </w:p>
    <w:p>
      <w:pPr>
        <w:spacing w:after="80"/>
        <w:ind w:left="360"/>
      </w:pPr>
      <w:r>
        <w:rPr>
          <w:b w:val="0"/>
          <w:i w:val="0"/>
        </w:rPr>
        <w:t>77</w:t>
      </w:r>
    </w:p>
    <w:p>
      <w:pPr>
        <w:spacing w:after="80"/>
        <w:ind w:left="360"/>
      </w:pPr>
      <w:r>
        <w:rPr>
          <w:b w:val="0"/>
          <w:i w:val="0"/>
        </w:rPr>
        <w:t>78</w:t>
      </w:r>
    </w:p>
    <w:p>
      <w:pPr>
        <w:spacing w:after="80"/>
        <w:ind w:left="360"/>
      </w:pPr>
      <w:r>
        <w:rPr>
          <w:b w:val="0"/>
          <w:i w:val="0"/>
        </w:rPr>
        <w:t>79</w:t>
      </w:r>
    </w:p>
    <w:p>
      <w:pPr>
        <w:spacing w:after="80"/>
        <w:ind w:left="360"/>
      </w:pPr>
      <w:r>
        <w:rPr>
          <w:b w:val="0"/>
          <w:i w:val="0"/>
        </w:rPr>
        <w:t>80</w:t>
      </w:r>
    </w:p>
    <w:p>
      <w:pPr>
        <w:spacing w:after="80"/>
        <w:ind w:left="360"/>
      </w:pPr>
      <w:r>
        <w:rPr>
          <w:b w:val="0"/>
          <w:i w:val="0"/>
        </w:rPr>
        <w:t>81</w:t>
      </w:r>
    </w:p>
    <w:p>
      <w:pPr>
        <w:spacing w:after="80"/>
        <w:ind w:left="360"/>
      </w:pPr>
      <w:r>
        <w:rPr>
          <w:b w:val="0"/>
          <w:i w:val="0"/>
        </w:rPr>
        <w:t>82</w:t>
      </w:r>
    </w:p>
    <w:p>
      <w:pPr>
        <w:spacing w:after="80"/>
        <w:ind w:left="360"/>
      </w:pPr>
      <w:r>
        <w:rPr>
          <w:b w:val="0"/>
          <w:i w:val="0"/>
        </w:rPr>
        <w:t>83</w:t>
      </w:r>
    </w:p>
    <w:p>
      <w:pPr>
        <w:spacing w:after="80"/>
        <w:ind w:left="360"/>
      </w:pPr>
      <w:r>
        <w:rPr>
          <w:b w:val="0"/>
          <w:i w:val="0"/>
        </w:rPr>
        <w:t>84</w:t>
      </w:r>
    </w:p>
    <w:p>
      <w:pPr>
        <w:spacing w:after="80"/>
        <w:ind w:left="360"/>
      </w:pPr>
      <w:r>
        <w:rPr>
          <w:b w:val="0"/>
          <w:i w:val="0"/>
        </w:rPr>
        <w:t>85</w:t>
      </w:r>
    </w:p>
    <w:p>
      <w:pPr>
        <w:spacing w:after="80"/>
        <w:ind w:left="360"/>
      </w:pPr>
      <w:r>
        <w:rPr>
          <w:b w:val="0"/>
          <w:i w:val="0"/>
        </w:rPr>
        <w:t>86</w:t>
      </w:r>
    </w:p>
    <w:p>
      <w:pPr>
        <w:spacing w:after="80"/>
        <w:ind w:left="360"/>
      </w:pPr>
      <w:r>
        <w:rPr>
          <w:b w:val="0"/>
          <w:i w:val="0"/>
        </w:rPr>
        <w:t>87</w:t>
      </w:r>
    </w:p>
    <w:p>
      <w:pPr>
        <w:spacing w:after="80"/>
        <w:ind w:left="360"/>
      </w:pPr>
      <w:r>
        <w:rPr>
          <w:b w:val="0"/>
          <w:i w:val="0"/>
        </w:rPr>
        <w:t>88</w:t>
      </w:r>
    </w:p>
    <w:p>
      <w:pPr>
        <w:spacing w:after="80"/>
        <w:ind w:left="360"/>
      </w:pPr>
      <w:r>
        <w:rPr>
          <w:b w:val="0"/>
          <w:i w:val="0"/>
        </w:rPr>
        <w:t>89</w:t>
      </w:r>
    </w:p>
    <w:p>
      <w:pPr>
        <w:spacing w:after="80"/>
        <w:ind w:left="360"/>
      </w:pPr>
      <w:r>
        <w:rPr>
          <w:b w:val="0"/>
          <w:i w:val="0"/>
        </w:rPr>
        <w:t>90</w:t>
      </w:r>
    </w:p>
    <w:p>
      <w:pPr>
        <w:spacing w:after="80"/>
        <w:ind w:left="360"/>
      </w:pPr>
      <w:r>
        <w:rPr>
          <w:b w:val="0"/>
          <w:i w:val="0"/>
        </w:rPr>
        <w:t>91</w:t>
      </w:r>
    </w:p>
    <w:p>
      <w:pPr>
        <w:spacing w:after="80"/>
        <w:ind w:left="360"/>
      </w:pPr>
      <w:r>
        <w:rPr>
          <w:b w:val="0"/>
          <w:i w:val="0"/>
        </w:rPr>
        <w:t>92</w:t>
      </w:r>
    </w:p>
    <w:p>
      <w:pPr>
        <w:spacing w:after="80"/>
        <w:ind w:left="360"/>
      </w:pPr>
      <w:r>
        <w:rPr>
          <w:b w:val="0"/>
          <w:i w:val="0"/>
        </w:rPr>
        <w:t>93</w:t>
      </w:r>
    </w:p>
    <w:p>
      <w:pPr>
        <w:spacing w:after="80"/>
        <w:ind w:left="360"/>
      </w:pPr>
      <w:r>
        <w:rPr>
          <w:b w:val="0"/>
          <w:i w:val="0"/>
        </w:rPr>
        <w:t>94</w:t>
      </w:r>
    </w:p>
    <w:p>
      <w:pPr>
        <w:spacing w:after="80"/>
        <w:ind w:left="360"/>
      </w:pPr>
      <w:r>
        <w:rPr>
          <w:b w:val="0"/>
          <w:i w:val="0"/>
        </w:rPr>
        <w:t>95</w:t>
      </w:r>
    </w:p>
    <w:p>
      <w:pPr>
        <w:spacing w:after="80"/>
        <w:ind w:left="360"/>
      </w:pPr>
      <w:r>
        <w:rPr>
          <w:b w:val="0"/>
          <w:i w:val="0"/>
        </w:rPr>
        <w:t>96</w:t>
      </w:r>
    </w:p>
    <w:p>
      <w:pPr>
        <w:spacing w:after="80"/>
        <w:ind w:left="360"/>
      </w:pPr>
      <w:r>
        <w:rPr>
          <w:b w:val="0"/>
          <w:i w:val="0"/>
        </w:rPr>
        <w:t>97</w:t>
      </w:r>
    </w:p>
    <w:p>
      <w:pPr>
        <w:spacing w:after="80"/>
        <w:ind w:left="360"/>
      </w:pPr>
      <w:r>
        <w:rPr>
          <w:b w:val="0"/>
          <w:i w:val="0"/>
        </w:rPr>
        <w:t>98</w:t>
      </w:r>
    </w:p>
    <w:p>
      <w:pPr>
        <w:spacing w:after="80"/>
        <w:ind w:left="360"/>
      </w:pPr>
      <w:r>
        <w:rPr>
          <w:b w:val="0"/>
          <w:i w:val="0"/>
        </w:rPr>
        <w:t>99</w:t>
      </w:r>
    </w:p>
    <w:p>
      <w:pPr>
        <w:spacing w:after="80"/>
        <w:ind w:left="360"/>
      </w:pPr>
      <w:r>
        <w:rPr>
          <w:b w:val="0"/>
          <w:i w:val="0"/>
        </w:rPr>
        <w:t>100</w:t>
      </w:r>
    </w:p>
    <w:p>
      <w:pPr>
        <w:spacing w:after="80"/>
        <w:ind w:left="360"/>
      </w:pPr>
      <w:r>
        <w:rPr>
          <w:b w:val="0"/>
          <w:i w:val="0"/>
        </w:rPr>
        <w:t>101</w:t>
      </w:r>
    </w:p>
    <w:p>
      <w:pPr>
        <w:spacing w:after="80"/>
        <w:ind w:left="360"/>
      </w:pPr>
      <w:r>
        <w:rPr>
          <w:b w:val="0"/>
          <w:i w:val="0"/>
        </w:rPr>
        <w:t>102</w:t>
      </w:r>
    </w:p>
    <w:p>
      <w:pPr>
        <w:spacing w:after="80"/>
        <w:ind w:left="360"/>
      </w:pPr>
      <w:r>
        <w:rPr>
          <w:b w:val="0"/>
          <w:i w:val="0"/>
        </w:rPr>
        <w:t>103</w:t>
      </w:r>
    </w:p>
    <w:p>
      <w:pPr>
        <w:spacing w:after="80"/>
        <w:ind w:left="360"/>
      </w:pPr>
      <w:r>
        <w:rPr>
          <w:b w:val="0"/>
          <w:i w:val="0"/>
        </w:rPr>
        <w:t>104</w:t>
      </w:r>
    </w:p>
    <w:p>
      <w:pPr>
        <w:spacing w:after="80"/>
        <w:ind w:left="360"/>
      </w:pPr>
      <w:r>
        <w:rPr>
          <w:b w:val="0"/>
          <w:i w:val="0"/>
        </w:rPr>
        <w:t>105</w:t>
      </w:r>
    </w:p>
    <w:p>
      <w:pPr>
        <w:spacing w:after="80"/>
        <w:ind w:left="360"/>
      </w:pPr>
      <w:r>
        <w:rPr>
          <w:b w:val="0"/>
          <w:i w:val="0"/>
        </w:rPr>
        <w:t>106</w:t>
      </w:r>
    </w:p>
    <w:p>
      <w:pPr>
        <w:spacing w:after="80"/>
        <w:ind w:left="360"/>
      </w:pPr>
      <w:r>
        <w:rPr>
          <w:b w:val="0"/>
          <w:i w:val="0"/>
        </w:rPr>
        <w:t>107</w:t>
      </w:r>
    </w:p>
    <w:p>
      <w:pPr>
        <w:spacing w:after="80"/>
        <w:ind w:left="360"/>
      </w:pPr>
      <w:r>
        <w:rPr>
          <w:b w:val="0"/>
          <w:i w:val="0"/>
        </w:rPr>
        <w:t>108</w:t>
      </w:r>
    </w:p>
    <w:p>
      <w:pPr>
        <w:spacing w:after="80"/>
        <w:ind w:left="360"/>
      </w:pPr>
      <w:r>
        <w:rPr>
          <w:b w:val="0"/>
          <w:i w:val="0"/>
        </w:rPr>
        <w:t>109</w:t>
      </w:r>
    </w:p>
    <w:p>
      <w:pPr>
        <w:spacing w:after="80"/>
        <w:ind w:left="360"/>
      </w:pPr>
      <w:r>
        <w:rPr>
          <w:b w:val="0"/>
          <w:i w:val="0"/>
        </w:rPr>
        <w:t>110</w:t>
      </w:r>
    </w:p>
    <w:p>
      <w:pPr>
        <w:spacing w:after="80"/>
        <w:ind w:left="360"/>
      </w:pPr>
      <w:r>
        <w:rPr>
          <w:b w:val="0"/>
          <w:i w:val="0"/>
        </w:rPr>
        <w:t>111</w:t>
      </w:r>
    </w:p>
    <w:p>
      <w:pPr>
        <w:spacing w:after="80"/>
        <w:ind w:left="360"/>
      </w:pPr>
      <w:r>
        <w:rPr>
          <w:b w:val="0"/>
          <w:i w:val="0"/>
        </w:rPr>
        <w:t>112</w:t>
      </w:r>
    </w:p>
    <w:p>
      <w:pPr>
        <w:spacing w:after="80"/>
        <w:ind w:left="360"/>
      </w:pPr>
      <w:r>
        <w:rPr>
          <w:b w:val="0"/>
          <w:i w:val="0"/>
        </w:rPr>
        <w:t>113</w:t>
      </w:r>
    </w:p>
    <w:p>
      <w:pPr>
        <w:spacing w:after="80"/>
        <w:ind w:left="360"/>
      </w:pPr>
      <w:r>
        <w:rPr>
          <w:b w:val="0"/>
          <w:i w:val="0"/>
        </w:rPr>
        <w:t>114</w:t>
      </w:r>
    </w:p>
    <w:p>
      <w:pPr>
        <w:spacing w:after="80"/>
        <w:ind w:left="360"/>
      </w:pPr>
      <w:r>
        <w:rPr>
          <w:b w:val="0"/>
          <w:i w:val="0"/>
        </w:rPr>
        <w:t>115</w:t>
      </w:r>
    </w:p>
    <w:p>
      <w:pPr>
        <w:spacing w:after="80"/>
        <w:ind w:left="360"/>
      </w:pPr>
      <w:r>
        <w:rPr>
          <w:b w:val="0"/>
          <w:i w:val="0"/>
        </w:rPr>
        <w:t>116</w:t>
      </w:r>
    </w:p>
    <w:p>
      <w:pPr>
        <w:spacing w:after="80"/>
        <w:ind w:left="360"/>
      </w:pPr>
      <w:r>
        <w:rPr>
          <w:b w:val="0"/>
          <w:i w:val="0"/>
        </w:rPr>
        <w:t>117</w:t>
      </w:r>
    </w:p>
    <w:p>
      <w:pPr>
        <w:spacing w:after="80"/>
        <w:ind w:left="360"/>
      </w:pPr>
      <w:r>
        <w:rPr>
          <w:b w:val="0"/>
          <w:i w:val="0"/>
        </w:rPr>
        <w:t>118</w:t>
      </w:r>
    </w:p>
    <w:p>
      <w:pPr>
        <w:spacing w:after="80"/>
        <w:ind w:left="360"/>
      </w:pPr>
      <w:r>
        <w:rPr>
          <w:b w:val="0"/>
          <w:i w:val="0"/>
        </w:rPr>
        <w:t>119</w:t>
      </w:r>
    </w:p>
    <w:p>
      <w:pPr>
        <w:spacing w:after="80"/>
        <w:ind w:left="360"/>
      </w:pPr>
      <w:r>
        <w:rPr>
          <w:b w:val="0"/>
          <w:i w:val="0"/>
        </w:rPr>
        <w:t>120</w:t>
      </w:r>
    </w:p>
    <w:p>
      <w:pPr>
        <w:spacing w:after="80"/>
        <w:ind w:left="360"/>
      </w:pPr>
      <w:r>
        <w:rPr>
          <w:b w:val="0"/>
          <w:i w:val="0"/>
        </w:rPr>
        <w:t>121</w:t>
      </w:r>
    </w:p>
    <w:p>
      <w:pPr>
        <w:spacing w:after="80"/>
        <w:ind w:left="360"/>
      </w:pPr>
      <w:r>
        <w:rPr>
          <w:b w:val="0"/>
          <w:i w:val="0"/>
        </w:rPr>
        <w:t>122</w:t>
      </w:r>
    </w:p>
    <w:p>
      <w:pPr>
        <w:spacing w:after="80"/>
        <w:ind w:left="360"/>
      </w:pPr>
      <w:r>
        <w:rPr>
          <w:b w:val="0"/>
          <w:i w:val="0"/>
        </w:rPr>
        <w:t>123</w:t>
      </w:r>
    </w:p>
    <w:p>
      <w:pPr>
        <w:spacing w:after="80"/>
        <w:ind w:left="360"/>
      </w:pPr>
      <w:r>
        <w:rPr>
          <w:b w:val="0"/>
          <w:i w:val="0"/>
        </w:rPr>
        <w:t>124</w:t>
      </w:r>
    </w:p>
    <w:p>
      <w:pPr>
        <w:spacing w:after="80"/>
        <w:ind w:left="360"/>
      </w:pPr>
      <w:r>
        <w:rPr>
          <w:b w:val="0"/>
          <w:i w:val="0"/>
        </w:rPr>
        <w:t>125</w:t>
      </w:r>
    </w:p>
    <w:p>
      <w:pPr>
        <w:spacing w:after="80"/>
        <w:ind w:left="360"/>
      </w:pPr>
      <w:r>
        <w:rPr>
          <w:b w:val="0"/>
          <w:i w:val="0"/>
        </w:rPr>
        <w:t>126</w:t>
      </w:r>
    </w:p>
    <w:p>
      <w:pPr>
        <w:spacing w:after="80"/>
        <w:ind w:left="360"/>
      </w:pPr>
      <w:r>
        <w:rPr>
          <w:b w:val="0"/>
          <w:i w:val="0"/>
        </w:rPr>
        <w:t>127</w:t>
      </w:r>
    </w:p>
    <w:p>
      <w:pPr>
        <w:spacing w:after="80"/>
        <w:ind w:left="360"/>
      </w:pPr>
      <w:r>
        <w:rPr>
          <w:b w:val="0"/>
          <w:i w:val="0"/>
        </w:rPr>
        <w:t>128</w:t>
      </w:r>
    </w:p>
    <w:p>
      <w:pPr>
        <w:spacing w:after="80"/>
        <w:ind w:left="360"/>
      </w:pPr>
      <w:r>
        <w:rPr>
          <w:b w:val="0"/>
          <w:i w:val="0"/>
        </w:rPr>
        <w:t>129</w:t>
      </w:r>
    </w:p>
    <w:p>
      <w:pPr>
        <w:spacing w:after="80"/>
        <w:ind w:left="360"/>
      </w:pPr>
      <w:r>
        <w:rPr>
          <w:b w:val="0"/>
          <w:i w:val="0"/>
        </w:rPr>
        <w:t>130</w:t>
      </w:r>
    </w:p>
    <w:p>
      <w:pPr>
        <w:spacing w:after="80"/>
        <w:ind w:left="360"/>
      </w:pPr>
      <w:r>
        <w:rPr>
          <w:b w:val="0"/>
          <w:i w:val="0"/>
        </w:rPr>
        <w:t>131</w:t>
      </w:r>
    </w:p>
    <w:p>
      <w:pPr>
        <w:spacing w:after="80"/>
        <w:ind w:left="360"/>
      </w:pPr>
      <w:r>
        <w:rPr>
          <w:b w:val="0"/>
          <w:i w:val="0"/>
        </w:rPr>
        <w:t>132</w:t>
      </w:r>
    </w:p>
    <w:p>
      <w:pPr>
        <w:spacing w:after="80"/>
        <w:ind w:left="360"/>
      </w:pPr>
      <w:r>
        <w:rPr>
          <w:b w:val="0"/>
          <w:i w:val="0"/>
        </w:rPr>
        <w:t>133</w:t>
      </w:r>
    </w:p>
    <w:p>
      <w:pPr>
        <w:spacing w:after="80"/>
        <w:ind w:left="360"/>
      </w:pPr>
      <w:r>
        <w:rPr>
          <w:b w:val="0"/>
          <w:i w:val="0"/>
        </w:rPr>
        <w:t>134</w:t>
      </w:r>
    </w:p>
    <w:p>
      <w:pPr>
        <w:spacing w:after="80"/>
        <w:ind w:left="360"/>
      </w:pPr>
      <w:r>
        <w:rPr>
          <w:b w:val="0"/>
          <w:i w:val="0"/>
        </w:rPr>
        <w:t>135</w:t>
      </w:r>
    </w:p>
    <w:p>
      <w:pPr>
        <w:spacing w:after="80"/>
        <w:ind w:left="360"/>
      </w:pPr>
      <w:r>
        <w:rPr>
          <w:b w:val="0"/>
          <w:i w:val="0"/>
        </w:rPr>
        <w:t>136</w:t>
      </w:r>
    </w:p>
    <w:p>
      <w:pPr>
        <w:spacing w:after="80"/>
        <w:ind w:left="360"/>
      </w:pPr>
      <w:r>
        <w:rPr>
          <w:b w:val="0"/>
          <w:i w:val="0"/>
        </w:rPr>
        <w:t>137</w:t>
      </w:r>
    </w:p>
    <w:p>
      <w:pPr>
        <w:spacing w:after="80"/>
        <w:ind w:left="360"/>
      </w:pPr>
      <w:r>
        <w:rPr>
          <w:b w:val="0"/>
          <w:i w:val="0"/>
        </w:rPr>
        <w:t>138</w:t>
      </w:r>
    </w:p>
    <w:p>
      <w:pPr>
        <w:spacing w:after="80"/>
        <w:ind w:left="360"/>
      </w:pPr>
      <w:r>
        <w:rPr>
          <w:b w:val="0"/>
          <w:i w:val="0"/>
        </w:rPr>
        <w:t>139</w:t>
      </w:r>
    </w:p>
    <w:p>
      <w:pPr>
        <w:spacing w:after="80"/>
        <w:ind w:left="360"/>
      </w:pPr>
      <w:r>
        <w:rPr>
          <w:b w:val="0"/>
          <w:i w:val="0"/>
        </w:rPr>
        <w:t>140</w:t>
      </w:r>
    </w:p>
    <w:p>
      <w:pPr>
        <w:spacing w:after="80"/>
        <w:ind w:left="360"/>
      </w:pPr>
      <w:r>
        <w:rPr>
          <w:b w:val="0"/>
          <w:i w:val="0"/>
        </w:rPr>
        <w:t>141</w:t>
      </w:r>
    </w:p>
    <w:p>
      <w:pPr>
        <w:spacing w:after="80"/>
        <w:ind w:left="360"/>
      </w:pPr>
      <w:r>
        <w:rPr>
          <w:b w:val="0"/>
          <w:i w:val="0"/>
        </w:rPr>
        <w:t>142</w:t>
      </w:r>
    </w:p>
    <w:p>
      <w:pPr>
        <w:spacing w:after="80"/>
        <w:ind w:left="360"/>
      </w:pPr>
      <w:r>
        <w:rPr>
          <w:b w:val="0"/>
          <w:i w:val="0"/>
        </w:rPr>
        <w:t>143</w:t>
      </w:r>
    </w:p>
    <w:p>
      <w:pPr>
        <w:spacing w:after="80"/>
        <w:ind w:left="360"/>
      </w:pPr>
      <w:r>
        <w:rPr>
          <w:b w:val="0"/>
          <w:i w:val="0"/>
        </w:rPr>
        <w:t>144</w:t>
      </w:r>
    </w:p>
    <w:p>
      <w:pPr>
        <w:spacing w:after="80"/>
        <w:ind w:left="360"/>
      </w:pPr>
      <w:r>
        <w:rPr>
          <w:b w:val="0"/>
          <w:i w:val="0"/>
        </w:rPr>
        <w:t>145</w:t>
      </w:r>
    </w:p>
    <w:p>
      <w:pPr>
        <w:spacing w:after="80"/>
        <w:ind w:left="360"/>
      </w:pPr>
      <w:r>
        <w:rPr>
          <w:b w:val="0"/>
          <w:i w:val="0"/>
        </w:rPr>
        <w:t>146</w:t>
      </w:r>
    </w:p>
    <w:p>
      <w:pPr>
        <w:spacing w:after="80"/>
        <w:ind w:left="360"/>
      </w:pPr>
      <w:r>
        <w:rPr>
          <w:b w:val="0"/>
          <w:i w:val="0"/>
        </w:rPr>
        <w:t>147</w:t>
      </w:r>
    </w:p>
    <w:p>
      <w:pPr>
        <w:spacing w:after="80"/>
        <w:ind w:left="360"/>
      </w:pPr>
      <w:r>
        <w:rPr>
          <w:b w:val="0"/>
          <w:i w:val="0"/>
        </w:rPr>
        <w:t>148</w:t>
      </w:r>
    </w:p>
    <w:p>
      <w:pPr>
        <w:spacing w:after="80"/>
        <w:ind w:left="360"/>
      </w:pPr>
      <w:r>
        <w:rPr>
          <w:b w:val="0"/>
          <w:i w:val="0"/>
        </w:rPr>
        <w:t>149</w:t>
      </w:r>
    </w:p>
    <w:p>
      <w:pPr>
        <w:spacing w:after="80"/>
        <w:ind w:left="360"/>
      </w:pPr>
      <w:r>
        <w:rPr>
          <w:b w:val="0"/>
          <w:i w:val="0"/>
        </w:rPr>
        <w:t>150</w:t>
      </w:r>
    </w:p>
    <w:p>
      <w:pPr>
        <w:spacing w:after="80"/>
        <w:ind w:left="360"/>
      </w:pPr>
      <w:r>
        <w:rPr>
          <w:b w:val="0"/>
          <w:i w:val="0"/>
        </w:rPr>
        <w:t>151</w:t>
      </w:r>
    </w:p>
    <w:p>
      <w:pPr>
        <w:spacing w:after="80"/>
        <w:ind w:left="360"/>
      </w:pPr>
      <w:r>
        <w:rPr>
          <w:b w:val="0"/>
          <w:i w:val="0"/>
        </w:rPr>
        <w:t>152</w:t>
      </w:r>
    </w:p>
    <w:p>
      <w:pPr>
        <w:spacing w:after="80"/>
        <w:ind w:left="360"/>
      </w:pPr>
      <w:r>
        <w:rPr>
          <w:b w:val="0"/>
          <w:i w:val="0"/>
        </w:rPr>
        <w:t>153</w:t>
      </w:r>
    </w:p>
    <w:p>
      <w:pPr>
        <w:spacing w:after="80"/>
        <w:ind w:left="360"/>
      </w:pPr>
      <w:r>
        <w:rPr>
          <w:b w:val="0"/>
          <w:i w:val="0"/>
        </w:rPr>
        <w:t>154</w:t>
      </w:r>
    </w:p>
    <w:p>
      <w:pPr>
        <w:spacing w:after="80"/>
        <w:ind w:left="360"/>
      </w:pPr>
      <w:r>
        <w:rPr>
          <w:b w:val="0"/>
          <w:i w:val="0"/>
        </w:rPr>
        <w:t>155</w:t>
      </w:r>
    </w:p>
    <w:p>
      <w:pPr>
        <w:spacing w:after="80"/>
        <w:ind w:left="360"/>
      </w:pPr>
      <w:r>
        <w:rPr>
          <w:b w:val="0"/>
          <w:i w:val="0"/>
        </w:rPr>
        <w:t>156</w:t>
      </w:r>
    </w:p>
    <w:p>
      <w:pPr>
        <w:spacing w:after="80"/>
        <w:ind w:left="360"/>
      </w:pPr>
      <w:r>
        <w:rPr>
          <w:b w:val="0"/>
          <w:i w:val="0"/>
        </w:rPr>
        <w:t>157</w:t>
      </w:r>
    </w:p>
    <w:p>
      <w:pPr>
        <w:spacing w:after="80"/>
        <w:ind w:left="360"/>
      </w:pPr>
      <w:r>
        <w:rPr>
          <w:b w:val="0"/>
          <w:i w:val="0"/>
        </w:rPr>
        <w:t>158</w:t>
      </w:r>
    </w:p>
    <w:p>
      <w:pPr>
        <w:spacing w:after="80"/>
        <w:ind w:left="360"/>
      </w:pPr>
      <w:r>
        <w:rPr>
          <w:b w:val="0"/>
          <w:i w:val="0"/>
        </w:rPr>
        <w:t>159</w:t>
      </w:r>
    </w:p>
    <w:p>
      <w:pPr>
        <w:spacing w:after="80"/>
        <w:ind w:left="360"/>
      </w:pPr>
      <w:r>
        <w:rPr>
          <w:b w:val="0"/>
          <w:i w:val="0"/>
        </w:rPr>
        <w:t>160</w:t>
      </w:r>
    </w:p>
    <w:p>
      <w:pPr>
        <w:spacing w:after="80"/>
        <w:ind w:left="360"/>
      </w:pPr>
      <w:r>
        <w:rPr>
          <w:b w:val="0"/>
          <w:i w:val="0"/>
        </w:rPr>
        <w:t>161</w:t>
      </w:r>
    </w:p>
    <w:p>
      <w:pPr>
        <w:spacing w:after="80"/>
        <w:ind w:left="360"/>
      </w:pPr>
      <w:r>
        <w:rPr>
          <w:b w:val="0"/>
          <w:i w:val="0"/>
        </w:rPr>
        <w:t>162</w:t>
      </w:r>
    </w:p>
    <w:p>
      <w:pPr>
        <w:spacing w:after="80"/>
        <w:ind w:left="360"/>
      </w:pPr>
      <w:r>
        <w:rPr>
          <w:b w:val="0"/>
          <w:i w:val="0"/>
        </w:rPr>
        <w:t>163</w:t>
      </w:r>
    </w:p>
    <w:p>
      <w:pPr>
        <w:spacing w:after="80"/>
        <w:ind w:left="360"/>
      </w:pPr>
      <w:r>
        <w:rPr>
          <w:b w:val="0"/>
          <w:i w:val="0"/>
        </w:rPr>
        <w:t>164</w:t>
      </w:r>
    </w:p>
    <w:p>
      <w:pPr>
        <w:spacing w:after="80"/>
        <w:ind w:left="360"/>
      </w:pPr>
      <w:r>
        <w:rPr>
          <w:b w:val="0"/>
          <w:i w:val="0"/>
        </w:rPr>
        <w:t>165</w:t>
      </w:r>
    </w:p>
    <w:p>
      <w:pPr>
        <w:spacing w:after="80"/>
        <w:ind w:left="360"/>
      </w:pPr>
      <w:r>
        <w:rPr>
          <w:b w:val="0"/>
          <w:i w:val="0"/>
        </w:rPr>
        <w:t>166</w:t>
      </w:r>
    </w:p>
    <w:p>
      <w:pPr>
        <w:spacing w:after="80"/>
        <w:ind w:left="360"/>
      </w:pPr>
      <w:r>
        <w:rPr>
          <w:b w:val="0"/>
          <w:i w:val="0"/>
        </w:rPr>
        <w:t>167</w:t>
      </w:r>
    </w:p>
    <w:p>
      <w:pPr>
        <w:spacing w:after="80"/>
        <w:ind w:left="360"/>
      </w:pPr>
      <w:r>
        <w:rPr>
          <w:b w:val="0"/>
          <w:i w:val="0"/>
        </w:rPr>
        <w:t>168</w:t>
      </w:r>
    </w:p>
    <w:p>
      <w:pPr>
        <w:spacing w:after="80"/>
        <w:ind w:left="360"/>
      </w:pPr>
      <w:r>
        <w:rPr>
          <w:b w:val="0"/>
          <w:i w:val="0"/>
        </w:rPr>
        <w:t>169</w:t>
      </w:r>
    </w:p>
    <w:p>
      <w:pPr>
        <w:spacing w:after="80"/>
        <w:ind w:left="360"/>
      </w:pPr>
      <w:r>
        <w:rPr>
          <w:b w:val="0"/>
          <w:i w:val="0"/>
        </w:rPr>
        <w:t>170</w:t>
      </w:r>
    </w:p>
    <w:p>
      <w:pPr>
        <w:spacing w:after="80"/>
        <w:ind w:left="360"/>
      </w:pPr>
      <w:r>
        <w:rPr>
          <w:b w:val="0"/>
          <w:i w:val="0"/>
        </w:rPr>
        <w:t>171</w:t>
      </w:r>
    </w:p>
    <w:p>
      <w:pPr>
        <w:spacing w:after="80"/>
        <w:ind w:left="360"/>
      </w:pPr>
      <w:r>
        <w:rPr>
          <w:b w:val="0"/>
          <w:i w:val="0"/>
        </w:rPr>
        <w:t>172</w:t>
      </w:r>
    </w:p>
    <w:p>
      <w:pPr>
        <w:spacing w:after="80"/>
        <w:ind w:left="360"/>
      </w:pPr>
      <w:r>
        <w:rPr>
          <w:b w:val="0"/>
          <w:i w:val="0"/>
        </w:rPr>
        <w:t>173</w:t>
      </w:r>
    </w:p>
    <w:p>
      <w:pPr>
        <w:spacing w:after="80"/>
        <w:ind w:left="360"/>
      </w:pPr>
      <w:r>
        <w:rPr>
          <w:b w:val="0"/>
          <w:i w:val="0"/>
        </w:rPr>
        <w:t>174</w:t>
      </w:r>
    </w:p>
    <w:p>
      <w:pPr>
        <w:spacing w:after="80"/>
        <w:ind w:left="360"/>
      </w:pPr>
      <w:r>
        <w:rPr>
          <w:b w:val="0"/>
          <w:i w:val="0"/>
        </w:rPr>
        <w:t>175</w:t>
      </w:r>
    </w:p>
    <w:p>
      <w:pPr>
        <w:spacing w:after="80"/>
        <w:ind w:left="360"/>
      </w:pPr>
      <w:r>
        <w:rPr>
          <w:b w:val="0"/>
          <w:i w:val="0"/>
        </w:rPr>
        <w:t>176</w:t>
      </w:r>
    </w:p>
    <w:p>
      <w:pPr>
        <w:spacing w:after="80"/>
        <w:ind w:left="360"/>
      </w:pPr>
      <w:r>
        <w:rPr>
          <w:b w:val="0"/>
          <w:i w:val="0"/>
        </w:rPr>
        <w:t>177</w:t>
      </w:r>
    </w:p>
    <w:p>
      <w:pPr>
        <w:spacing w:after="80"/>
        <w:ind w:left="360"/>
      </w:pPr>
      <w:r>
        <w:rPr>
          <w:b w:val="0"/>
          <w:i w:val="0"/>
        </w:rPr>
        <w:t>178</w:t>
      </w:r>
    </w:p>
    <w:p>
      <w:pPr>
        <w:spacing w:after="80"/>
        <w:ind w:left="360"/>
      </w:pPr>
      <w:r>
        <w:rPr>
          <w:b w:val="0"/>
          <w:i w:val="0"/>
        </w:rPr>
        <w:t>179</w:t>
      </w:r>
    </w:p>
    <w:p>
      <w:pPr>
        <w:spacing w:after="80"/>
        <w:ind w:left="360"/>
      </w:pPr>
      <w:r>
        <w:rPr>
          <w:b w:val="0"/>
          <w:i w:val="0"/>
        </w:rPr>
        <w:t>180</w:t>
      </w:r>
    </w:p>
    <w:p>
      <w:pPr>
        <w:spacing w:after="80"/>
        <w:ind w:left="360"/>
      </w:pPr>
      <w:r>
        <w:rPr>
          <w:b w:val="0"/>
          <w:i w:val="0"/>
        </w:rPr>
        <w:t>181</w:t>
      </w:r>
    </w:p>
    <w:p>
      <w:pPr>
        <w:spacing w:after="80"/>
        <w:ind w:left="360"/>
      </w:pPr>
      <w:r>
        <w:rPr>
          <w:b w:val="0"/>
          <w:i w:val="0"/>
        </w:rPr>
        <w:t>182</w:t>
      </w:r>
    </w:p>
    <w:p>
      <w:pPr>
        <w:spacing w:after="80"/>
        <w:ind w:left="360"/>
      </w:pPr>
      <w:r>
        <w:rPr>
          <w:b w:val="0"/>
          <w:i w:val="0"/>
        </w:rPr>
        <w:t>183</w:t>
      </w:r>
    </w:p>
    <w:p>
      <w:pPr>
        <w:spacing w:after="80"/>
        <w:ind w:left="360"/>
      </w:pPr>
      <w:r>
        <w:rPr>
          <w:b w:val="0"/>
          <w:i w:val="0"/>
        </w:rPr>
        <w:t>184</w:t>
      </w:r>
    </w:p>
    <w:p>
      <w:pPr>
        <w:spacing w:after="80"/>
        <w:ind w:left="360"/>
      </w:pPr>
      <w:r>
        <w:rPr>
          <w:b w:val="0"/>
          <w:i w:val="0"/>
        </w:rPr>
        <w:t>185</w:t>
      </w:r>
    </w:p>
    <w:p>
      <w:pPr>
        <w:spacing w:after="80"/>
        <w:ind w:left="360"/>
      </w:pPr>
      <w:r>
        <w:rPr>
          <w:b w:val="0"/>
          <w:i w:val="0"/>
        </w:rPr>
        <w:t>186</w:t>
      </w:r>
    </w:p>
    <w:p>
      <w:pPr>
        <w:spacing w:after="80"/>
        <w:ind w:left="360"/>
      </w:pPr>
      <w:r>
        <w:rPr>
          <w:b w:val="0"/>
          <w:i w:val="0"/>
        </w:rPr>
        <w:t>187</w:t>
      </w:r>
    </w:p>
    <w:p>
      <w:pPr>
        <w:spacing w:after="80"/>
        <w:ind w:left="360"/>
      </w:pPr>
      <w:r>
        <w:rPr>
          <w:b w:val="0"/>
          <w:i w:val="0"/>
        </w:rPr>
        <w:t>189</w:t>
      </w:r>
    </w:p>
    <w:p>
      <w:pPr>
        <w:spacing w:after="80"/>
        <w:ind w:left="360"/>
      </w:pPr>
      <w:r>
        <w:rPr>
          <w:b w:val="0"/>
          <w:i w:val="0"/>
        </w:rPr>
        <w:t>190</w:t>
      </w:r>
    </w:p>
    <w:p>
      <w:pPr>
        <w:spacing w:after="80"/>
        <w:ind w:left="360"/>
      </w:pPr>
      <w:r>
        <w:rPr>
          <w:b w:val="0"/>
          <w:i w:val="0"/>
        </w:rPr>
        <w:t>191</w:t>
      </w:r>
    </w:p>
    <w:p>
      <w:pPr>
        <w:spacing w:after="80"/>
        <w:ind w:left="360"/>
      </w:pPr>
      <w:r>
        <w:rPr>
          <w:b w:val="0"/>
          <w:i w:val="0"/>
        </w:rPr>
        <w:t>192</w:t>
      </w:r>
    </w:p>
    <w:p>
      <w:pPr>
        <w:spacing w:after="80"/>
        <w:ind w:left="360"/>
      </w:pPr>
      <w:r>
        <w:rPr>
          <w:b w:val="0"/>
          <w:i w:val="0"/>
        </w:rPr>
        <w:t>193</w:t>
      </w:r>
    </w:p>
    <w:p>
      <w:pPr>
        <w:spacing w:after="80"/>
        <w:ind w:left="360"/>
      </w:pPr>
      <w:r>
        <w:rPr>
          <w:b w:val="0"/>
          <w:i w:val="0"/>
        </w:rPr>
        <w:t>194</w:t>
      </w:r>
    </w:p>
    <w:p>
      <w:pPr>
        <w:spacing w:after="80"/>
        <w:ind w:left="360"/>
      </w:pPr>
      <w:r>
        <w:rPr>
          <w:b w:val="0"/>
          <w:i w:val="0"/>
        </w:rPr>
        <w:t>195</w:t>
      </w:r>
    </w:p>
    <w:p>
      <w:pPr>
        <w:spacing w:after="80"/>
        <w:ind w:left="360"/>
      </w:pPr>
      <w:r>
        <w:rPr>
          <w:b w:val="0"/>
          <w:i w:val="0"/>
        </w:rPr>
        <w:t>196</w:t>
      </w:r>
    </w:p>
    <w:p>
      <w:pPr>
        <w:spacing w:after="80"/>
        <w:ind w:left="360"/>
      </w:pPr>
      <w:r>
        <w:rPr>
          <w:b w:val="0"/>
          <w:i w:val="0"/>
        </w:rPr>
        <w:t>197</w:t>
      </w:r>
    </w:p>
    <w:p>
      <w:pPr>
        <w:spacing w:after="80"/>
        <w:ind w:left="360"/>
      </w:pPr>
      <w:r>
        <w:rPr>
          <w:b w:val="0"/>
          <w:i w:val="0"/>
        </w:rPr>
        <w:t>198</w:t>
      </w:r>
    </w:p>
    <w:p>
      <w:pPr>
        <w:spacing w:after="80"/>
        <w:ind w:left="360"/>
      </w:pPr>
      <w:r>
        <w:rPr>
          <w:b w:val="0"/>
          <w:i w:val="0"/>
        </w:rPr>
        <w:t>199</w:t>
      </w:r>
    </w:p>
    <w:p>
      <w:pPr>
        <w:spacing w:after="80"/>
        <w:ind w:left="360"/>
      </w:pPr>
      <w:r>
        <w:rPr>
          <w:b w:val="0"/>
          <w:i w:val="0"/>
        </w:rPr>
        <w:t>200</w:t>
      </w:r>
    </w:p>
    <w:p>
      <w:pPr>
        <w:spacing w:after="80"/>
        <w:ind w:left="360"/>
      </w:pPr>
      <w:r>
        <w:rPr>
          <w:b w:val="0"/>
          <w:i w:val="0"/>
        </w:rPr>
        <w:t>201</w:t>
      </w:r>
    </w:p>
    <w:p>
      <w:pPr>
        <w:spacing w:after="80"/>
        <w:ind w:left="360"/>
      </w:pPr>
      <w:r>
        <w:rPr>
          <w:b w:val="0"/>
          <w:i w:val="0"/>
        </w:rPr>
        <w:t>202</w:t>
      </w:r>
    </w:p>
    <w:p>
      <w:pPr>
        <w:spacing w:after="80"/>
        <w:ind w:left="360"/>
      </w:pPr>
      <w:r>
        <w:rPr>
          <w:b w:val="0"/>
          <w:i w:val="0"/>
        </w:rPr>
        <w:t>203</w:t>
      </w:r>
    </w:p>
    <w:p>
      <w:pPr>
        <w:spacing w:after="80"/>
        <w:ind w:left="360"/>
      </w:pPr>
      <w:r>
        <w:rPr>
          <w:b w:val="0"/>
          <w:i w:val="0"/>
        </w:rPr>
        <w:t>204</w:t>
      </w:r>
    </w:p>
    <w:p>
      <w:pPr>
        <w:spacing w:after="80"/>
        <w:ind w:left="360"/>
      </w:pPr>
      <w:r>
        <w:rPr>
          <w:b w:val="0"/>
          <w:i w:val="0"/>
        </w:rPr>
        <w:t>205</w:t>
      </w:r>
    </w:p>
    <w:p>
      <w:pPr>
        <w:spacing w:after="80"/>
        <w:ind w:left="360"/>
      </w:pPr>
      <w:r>
        <w:rPr>
          <w:b w:val="0"/>
          <w:i w:val="0"/>
        </w:rPr>
        <w:t>206</w:t>
      </w:r>
    </w:p>
    <w:p>
      <w:pPr>
        <w:spacing w:after="80"/>
        <w:ind w:left="360"/>
      </w:pPr>
      <w:r>
        <w:rPr>
          <w:b w:val="0"/>
          <w:i w:val="0"/>
        </w:rPr>
        <w:t>207</w:t>
      </w:r>
    </w:p>
    <w:p>
      <w:pPr>
        <w:spacing w:after="80"/>
        <w:ind w:left="360"/>
      </w:pPr>
      <w:r>
        <w:rPr>
          <w:b w:val="0"/>
          <w:i w:val="0"/>
        </w:rPr>
        <w:t>208</w:t>
      </w:r>
    </w:p>
    <w:p>
      <w:pPr>
        <w:spacing w:after="80"/>
        <w:ind w:left="360"/>
      </w:pPr>
      <w:r>
        <w:rPr>
          <w:b w:val="0"/>
          <w:i w:val="0"/>
        </w:rPr>
        <w:t>209</w:t>
      </w:r>
    </w:p>
    <w:p>
      <w:pPr>
        <w:spacing w:after="80"/>
        <w:ind w:left="360"/>
      </w:pPr>
      <w:r>
        <w:rPr>
          <w:b w:val="0"/>
          <w:i w:val="0"/>
        </w:rPr>
        <w:t>210</w:t>
      </w:r>
    </w:p>
    <w:p>
      <w:pPr>
        <w:spacing w:after="80"/>
        <w:ind w:left="360"/>
      </w:pPr>
      <w:r>
        <w:rPr>
          <w:b w:val="0"/>
          <w:i w:val="0"/>
        </w:rPr>
        <w:t>211</w:t>
      </w:r>
    </w:p>
    <w:p>
      <w:pPr>
        <w:spacing w:after="80"/>
        <w:ind w:left="360"/>
      </w:pPr>
      <w:r>
        <w:rPr>
          <w:b w:val="0"/>
          <w:i w:val="0"/>
        </w:rPr>
        <w:t>212</w:t>
      </w:r>
    </w:p>
    <w:p>
      <w:pPr>
        <w:spacing w:after="80"/>
        <w:ind w:left="360"/>
      </w:pPr>
      <w:r>
        <w:rPr>
          <w:b w:val="0"/>
          <w:i w:val="0"/>
        </w:rPr>
        <w:t>213</w:t>
      </w:r>
    </w:p>
    <w:p>
      <w:pPr>
        <w:spacing w:after="80"/>
        <w:ind w:left="360"/>
      </w:pPr>
      <w:r>
        <w:rPr>
          <w:b w:val="0"/>
          <w:i w:val="0"/>
        </w:rPr>
        <w:t>214</w:t>
      </w:r>
    </w:p>
    <w:p>
      <w:pPr>
        <w:spacing w:after="80"/>
        <w:ind w:left="360"/>
      </w:pPr>
      <w:r>
        <w:rPr>
          <w:b w:val="0"/>
          <w:i w:val="0"/>
        </w:rPr>
        <w:t>215</w:t>
      </w:r>
    </w:p>
    <w:p>
      <w:pPr>
        <w:spacing w:after="80"/>
        <w:ind w:left="360"/>
      </w:pPr>
      <w:r>
        <w:rPr>
          <w:b w:val="0"/>
          <w:i w:val="0"/>
        </w:rPr>
        <w:t>216</w:t>
      </w:r>
    </w:p>
    <w:p>
      <w:pPr>
        <w:spacing w:after="80"/>
        <w:ind w:left="360"/>
      </w:pPr>
      <w:r>
        <w:rPr>
          <w:b w:val="0"/>
          <w:i w:val="0"/>
        </w:rPr>
        <w:t>217</w:t>
      </w:r>
    </w:p>
    <w:p>
      <w:pPr>
        <w:spacing w:after="80"/>
        <w:ind w:left="360"/>
      </w:pPr>
      <w:r>
        <w:rPr>
          <w:b w:val="0"/>
          <w:i w:val="0"/>
        </w:rPr>
        <w:t>218</w:t>
      </w:r>
    </w:p>
    <w:p>
      <w:pPr>
        <w:spacing w:after="80"/>
        <w:ind w:left="360"/>
      </w:pPr>
      <w:r>
        <w:rPr>
          <w:b w:val="0"/>
          <w:i w:val="0"/>
        </w:rPr>
        <w:t>219</w:t>
      </w:r>
    </w:p>
    <w:p>
      <w:pPr>
        <w:spacing w:after="80"/>
        <w:ind w:left="360"/>
      </w:pPr>
      <w:r>
        <w:rPr>
          <w:b w:val="0"/>
          <w:i w:val="0"/>
        </w:rPr>
        <w:t>220</w:t>
      </w:r>
    </w:p>
    <w:p>
      <w:pPr>
        <w:spacing w:after="80"/>
        <w:ind w:left="360"/>
      </w:pPr>
      <w:r>
        <w:rPr>
          <w:b w:val="0"/>
          <w:i w:val="0"/>
        </w:rPr>
        <w:t>221</w:t>
      </w:r>
    </w:p>
    <w:p>
      <w:pPr>
        <w:spacing w:after="80"/>
        <w:ind w:left="360"/>
      </w:pPr>
      <w:r>
        <w:rPr>
          <w:b w:val="0"/>
          <w:i w:val="0"/>
        </w:rPr>
        <w:t>222</w:t>
      </w:r>
    </w:p>
    <w:p>
      <w:pPr>
        <w:spacing w:after="80"/>
        <w:ind w:left="360"/>
      </w:pPr>
      <w:r>
        <w:rPr>
          <w:b w:val="0"/>
          <w:i w:val="0"/>
        </w:rPr>
        <w:t>223</w:t>
      </w:r>
    </w:p>
    <w:p>
      <w:pPr>
        <w:spacing w:after="80"/>
        <w:ind w:left="360"/>
      </w:pPr>
      <w:r>
        <w:rPr>
          <w:b w:val="0"/>
          <w:i w:val="0"/>
        </w:rPr>
        <w:t>224</w:t>
      </w:r>
    </w:p>
    <w:p>
      <w:pPr>
        <w:spacing w:after="80"/>
        <w:ind w:left="360"/>
      </w:pPr>
      <w:r>
        <w:rPr>
          <w:b w:val="0"/>
          <w:i w:val="0"/>
        </w:rPr>
        <w:t>225</w:t>
      </w:r>
    </w:p>
    <w:p>
      <w:pPr>
        <w:spacing w:after="80"/>
        <w:ind w:left="360"/>
      </w:pPr>
      <w:r>
        <w:rPr>
          <w:b w:val="0"/>
          <w:i w:val="0"/>
        </w:rPr>
        <w:t>226</w:t>
      </w:r>
    </w:p>
    <w:p>
      <w:pPr>
        <w:spacing w:after="80"/>
        <w:ind w:left="360"/>
      </w:pPr>
      <w:r>
        <w:rPr>
          <w:b w:val="0"/>
          <w:i w:val="0"/>
        </w:rPr>
        <w:t>227</w:t>
      </w:r>
    </w:p>
    <w:p>
      <w:pPr>
        <w:spacing w:after="80"/>
        <w:ind w:left="360"/>
      </w:pPr>
      <w:r>
        <w:rPr>
          <w:b w:val="0"/>
          <w:i w:val="0"/>
        </w:rPr>
        <w:t>228</w:t>
      </w:r>
    </w:p>
    <w:p>
      <w:pPr>
        <w:spacing w:after="80"/>
        <w:ind w:left="360"/>
      </w:pPr>
      <w:r>
        <w:rPr>
          <w:b w:val="0"/>
          <w:i w:val="0"/>
        </w:rPr>
        <w:t>229</w:t>
      </w:r>
    </w:p>
    <w:p>
      <w:pPr>
        <w:spacing w:after="80"/>
        <w:ind w:left="360"/>
      </w:pPr>
      <w:r>
        <w:rPr>
          <w:b w:val="0"/>
          <w:i w:val="0"/>
        </w:rPr>
        <w:t>230</w:t>
      </w:r>
    </w:p>
    <w:p>
      <w:pPr>
        <w:spacing w:after="80"/>
        <w:ind w:left="360"/>
      </w:pPr>
      <w:r>
        <w:rPr>
          <w:b w:val="0"/>
          <w:i w:val="0"/>
        </w:rPr>
        <w:t>231</w:t>
      </w:r>
    </w:p>
    <w:p>
      <w:pPr>
        <w:spacing w:after="80"/>
        <w:ind w:left="360"/>
      </w:pPr>
      <w:r>
        <w:rPr>
          <w:b w:val="0"/>
          <w:i w:val="0"/>
        </w:rPr>
        <w:t>232</w:t>
      </w:r>
    </w:p>
    <w:p>
      <w:pPr>
        <w:spacing w:after="80"/>
        <w:ind w:left="360"/>
      </w:pPr>
      <w:r>
        <w:rPr>
          <w:b w:val="0"/>
          <w:i w:val="0"/>
        </w:rPr>
        <w:t>233</w:t>
      </w:r>
    </w:p>
    <w:p>
      <w:pPr>
        <w:spacing w:after="80"/>
        <w:ind w:left="360"/>
      </w:pPr>
      <w:r>
        <w:rPr>
          <w:b w:val="0"/>
          <w:i w:val="0"/>
        </w:rPr>
        <w:t>234</w:t>
      </w:r>
    </w:p>
    <w:p>
      <w:pPr>
        <w:spacing w:after="80"/>
        <w:ind w:left="360"/>
      </w:pPr>
      <w:r>
        <w:rPr>
          <w:b w:val="0"/>
          <w:i w:val="0"/>
        </w:rPr>
        <w:t>235</w:t>
      </w:r>
    </w:p>
    <w:p>
      <w:pPr>
        <w:spacing w:after="80"/>
        <w:ind w:left="360"/>
      </w:pPr>
      <w:r>
        <w:rPr>
          <w:b w:val="0"/>
          <w:i w:val="0"/>
        </w:rPr>
        <w:t>236</w:t>
      </w:r>
    </w:p>
    <w:p>
      <w:pPr>
        <w:spacing w:after="80"/>
        <w:ind w:left="360"/>
      </w:pPr>
      <w:r>
        <w:rPr>
          <w:b w:val="0"/>
          <w:i w:val="0"/>
        </w:rPr>
        <w:t>237</w:t>
      </w:r>
    </w:p>
    <w:p>
      <w:pPr>
        <w:spacing w:after="80"/>
        <w:ind w:left="360"/>
      </w:pPr>
      <w:r>
        <w:rPr>
          <w:b w:val="0"/>
          <w:i w:val="0"/>
        </w:rPr>
        <w:t>238</w:t>
      </w:r>
    </w:p>
    <w:p>
      <w:pPr>
        <w:spacing w:after="80"/>
        <w:ind w:left="360"/>
      </w:pPr>
      <w:r>
        <w:rPr>
          <w:b w:val="0"/>
          <w:i w:val="0"/>
        </w:rPr>
        <w:t>239</w:t>
      </w:r>
    </w:p>
    <w:p>
      <w:pPr>
        <w:spacing w:after="80"/>
        <w:ind w:left="360"/>
      </w:pPr>
      <w:r>
        <w:rPr>
          <w:b w:val="0"/>
          <w:i w:val="0"/>
        </w:rPr>
        <w:t>240</w:t>
      </w:r>
    </w:p>
    <w:p>
      <w:pPr>
        <w:spacing w:after="80"/>
        <w:ind w:left="360"/>
      </w:pPr>
      <w:r>
        <w:rPr>
          <w:b w:val="0"/>
          <w:i w:val="0"/>
        </w:rPr>
        <w:t>241</w:t>
      </w:r>
    </w:p>
    <w:p>
      <w:pPr>
        <w:spacing w:after="80"/>
        <w:ind w:left="360"/>
      </w:pPr>
      <w:r>
        <w:rPr>
          <w:b w:val="0"/>
          <w:i w:val="0"/>
        </w:rPr>
        <w:t>242</w:t>
      </w:r>
    </w:p>
    <w:p>
      <w:pPr>
        <w:spacing w:after="80"/>
        <w:ind w:left="360"/>
      </w:pPr>
      <w:r>
        <w:rPr>
          <w:b w:val="0"/>
          <w:i w:val="0"/>
        </w:rPr>
        <w:t>243</w:t>
      </w:r>
    </w:p>
    <w:p>
      <w:pPr>
        <w:spacing w:after="80"/>
        <w:ind w:left="360"/>
      </w:pPr>
      <w:r>
        <w:rPr>
          <w:b w:val="0"/>
          <w:i w:val="0"/>
        </w:rPr>
        <w:t>244</w:t>
      </w:r>
    </w:p>
    <w:p>
      <w:pPr>
        <w:spacing w:after="80"/>
        <w:ind w:left="360"/>
      </w:pPr>
      <w:r>
        <w:rPr>
          <w:b w:val="0"/>
          <w:i w:val="0"/>
        </w:rPr>
        <w:t>245</w:t>
      </w:r>
    </w:p>
    <w:p>
      <w:pPr>
        <w:spacing w:after="80"/>
        <w:ind w:left="360"/>
      </w:pPr>
      <w:r>
        <w:rPr>
          <w:b w:val="0"/>
          <w:i w:val="0"/>
        </w:rPr>
        <w:t>246</w:t>
      </w:r>
    </w:p>
    <w:p>
      <w:pPr>
        <w:spacing w:after="80"/>
        <w:ind w:left="360"/>
      </w:pPr>
      <w:r>
        <w:rPr>
          <w:b w:val="0"/>
          <w:i w:val="0"/>
        </w:rPr>
        <w:t>247</w:t>
      </w:r>
    </w:p>
    <w:p>
      <w:pPr>
        <w:spacing w:after="80"/>
        <w:ind w:left="360"/>
      </w:pPr>
      <w:r>
        <w:rPr>
          <w:b w:val="0"/>
          <w:i w:val="0"/>
        </w:rPr>
        <w:t>248</w:t>
      </w:r>
    </w:p>
    <w:p>
      <w:pPr>
        <w:spacing w:after="80"/>
        <w:ind w:left="360"/>
      </w:pPr>
      <w:r>
        <w:rPr>
          <w:b w:val="0"/>
          <w:i w:val="0"/>
        </w:rPr>
        <w:t>249</w:t>
      </w:r>
    </w:p>
    <w:p>
      <w:pPr>
        <w:spacing w:after="80"/>
        <w:ind w:left="360"/>
      </w:pPr>
      <w:r>
        <w:rPr>
          <w:b w:val="0"/>
          <w:i w:val="0"/>
        </w:rPr>
        <w:t>250</w:t>
      </w:r>
    </w:p>
    <w:p>
      <w:pPr>
        <w:spacing w:after="80"/>
        <w:ind w:left="360"/>
      </w:pPr>
      <w:r>
        <w:rPr>
          <w:b w:val="0"/>
          <w:i w:val="0"/>
        </w:rPr>
        <w:t>251</w:t>
      </w:r>
    </w:p>
    <w:p>
      <w:pPr>
        <w:spacing w:after="80"/>
        <w:ind w:left="360"/>
      </w:pPr>
      <w:r>
        <w:rPr>
          <w:b w:val="0"/>
          <w:i w:val="0"/>
        </w:rPr>
        <w:t>252</w:t>
      </w:r>
    </w:p>
    <w:p>
      <w:pPr>
        <w:spacing w:after="80"/>
        <w:ind w:left="360"/>
      </w:pPr>
      <w:r>
        <w:rPr>
          <w:b w:val="0"/>
          <w:i w:val="0"/>
        </w:rPr>
        <w:t>253</w:t>
      </w:r>
    </w:p>
    <w:p>
      <w:pPr>
        <w:spacing w:after="80"/>
        <w:ind w:left="360"/>
      </w:pPr>
      <w:r>
        <w:rPr>
          <w:b w:val="0"/>
          <w:i w:val="0"/>
        </w:rPr>
        <w:t>254</w:t>
      </w:r>
    </w:p>
    <w:p>
      <w:pPr>
        <w:spacing w:after="80"/>
        <w:ind w:left="360"/>
      </w:pPr>
      <w:r>
        <w:rPr>
          <w:b w:val="0"/>
          <w:i w:val="0"/>
        </w:rPr>
        <w:t>255</w:t>
      </w:r>
    </w:p>
    <w:p>
      <w:pPr>
        <w:spacing w:after="80"/>
        <w:ind w:left="360"/>
      </w:pPr>
      <w:r>
        <w:rPr>
          <w:b w:val="0"/>
          <w:i w:val="0"/>
        </w:rPr>
        <w:t>256</w:t>
      </w:r>
    </w:p>
    <w:p>
      <w:pPr>
        <w:spacing w:after="80"/>
        <w:ind w:left="360"/>
      </w:pPr>
      <w:r>
        <w:rPr>
          <w:b w:val="0"/>
          <w:i w:val="0"/>
        </w:rPr>
        <w:t>257</w:t>
      </w:r>
    </w:p>
    <w:p>
      <w:pPr>
        <w:spacing w:after="80"/>
        <w:ind w:left="360"/>
      </w:pPr>
      <w:r>
        <w:rPr>
          <w:b w:val="0"/>
          <w:i w:val="0"/>
        </w:rPr>
        <w:t>258</w:t>
      </w:r>
    </w:p>
    <w:p>
      <w:pPr>
        <w:spacing w:after="80"/>
        <w:ind w:left="360"/>
      </w:pPr>
      <w:r>
        <w:rPr>
          <w:b w:val="0"/>
          <w:i w:val="0"/>
        </w:rPr>
        <w:t>259</w:t>
      </w:r>
    </w:p>
    <w:p>
      <w:pPr>
        <w:spacing w:after="80"/>
        <w:ind w:left="360"/>
      </w:pPr>
      <w:r>
        <w:rPr>
          <w:b w:val="0"/>
          <w:i w:val="0"/>
        </w:rPr>
        <w:t>260</w:t>
      </w:r>
    </w:p>
    <w:p>
      <w:pPr>
        <w:spacing w:after="80"/>
        <w:ind w:left="360"/>
      </w:pPr>
      <w:r>
        <w:rPr>
          <w:b w:val="0"/>
          <w:i w:val="0"/>
        </w:rPr>
        <w:t>261</w:t>
      </w:r>
    </w:p>
    <w:p>
      <w:pPr>
        <w:spacing w:after="80"/>
        <w:ind w:left="360"/>
      </w:pPr>
      <w:r>
        <w:rPr>
          <w:b w:val="0"/>
          <w:i w:val="0"/>
        </w:rPr>
        <w:t>262</w:t>
      </w:r>
    </w:p>
    <w:p>
      <w:pPr>
        <w:spacing w:after="80"/>
        <w:ind w:left="360"/>
      </w:pPr>
      <w:r>
        <w:rPr>
          <w:b w:val="0"/>
          <w:i w:val="0"/>
        </w:rPr>
        <w:t>263</w:t>
      </w:r>
    </w:p>
    <w:p>
      <w:pPr>
        <w:spacing w:after="80"/>
        <w:ind w:left="360"/>
      </w:pPr>
      <w:r>
        <w:rPr>
          <w:b w:val="0"/>
          <w:i w:val="0"/>
        </w:rPr>
        <w:t>264</w:t>
      </w:r>
    </w:p>
    <w:p>
      <w:pPr>
        <w:spacing w:after="80"/>
        <w:ind w:left="360"/>
      </w:pPr>
      <w:r>
        <w:rPr>
          <w:b w:val="0"/>
          <w:i w:val="0"/>
        </w:rPr>
        <w:t>265</w:t>
      </w:r>
    </w:p>
    <w:p>
      <w:pPr>
        <w:spacing w:after="80"/>
        <w:ind w:left="360"/>
      </w:pPr>
      <w:r>
        <w:rPr>
          <w:b w:val="0"/>
          <w:i w:val="0"/>
        </w:rPr>
        <w:t>266</w:t>
      </w:r>
    </w:p>
    <w:p>
      <w:pPr>
        <w:spacing w:after="80"/>
        <w:ind w:left="360"/>
      </w:pPr>
      <w:r>
        <w:rPr>
          <w:b w:val="0"/>
          <w:i w:val="0"/>
        </w:rPr>
        <w:t>267</w:t>
      </w:r>
    </w:p>
    <w:p>
      <w:pPr>
        <w:spacing w:after="80"/>
        <w:ind w:left="360"/>
      </w:pPr>
      <w:r>
        <w:rPr>
          <w:b w:val="0"/>
          <w:i w:val="0"/>
        </w:rPr>
        <w:t>269</w:t>
      </w:r>
    </w:p>
    <w:p>
      <w:pPr>
        <w:spacing w:after="80"/>
        <w:ind w:left="360"/>
      </w:pPr>
      <w:r>
        <w:rPr>
          <w:b w:val="0"/>
          <w:i w:val="0"/>
        </w:rPr>
        <w:t>270</w:t>
      </w:r>
    </w:p>
    <w:p>
      <w:pPr>
        <w:spacing w:after="80"/>
        <w:ind w:left="360"/>
      </w:pPr>
      <w:r>
        <w:rPr>
          <w:b w:val="0"/>
          <w:i w:val="0"/>
        </w:rPr>
        <w:t>271</w:t>
      </w:r>
    </w:p>
    <w:p>
      <w:pPr>
        <w:spacing w:after="80"/>
        <w:ind w:left="360"/>
      </w:pPr>
      <w:r>
        <w:rPr>
          <w:b w:val="0"/>
          <w:i w:val="0"/>
        </w:rPr>
        <w:t>272</w:t>
      </w:r>
    </w:p>
    <w:p>
      <w:pPr>
        <w:spacing w:after="80"/>
        <w:ind w:left="360"/>
      </w:pPr>
      <w:r>
        <w:rPr>
          <w:b w:val="0"/>
          <w:i w:val="0"/>
        </w:rPr>
        <w:t>273</w:t>
      </w:r>
    </w:p>
    <w:p>
      <w:pPr>
        <w:spacing w:after="80"/>
        <w:ind w:left="360"/>
      </w:pPr>
      <w:r>
        <w:rPr>
          <w:b w:val="0"/>
          <w:i w:val="0"/>
        </w:rPr>
        <w:t>274</w:t>
      </w:r>
    </w:p>
    <w:p>
      <w:pPr>
        <w:spacing w:after="80"/>
        <w:ind w:left="360"/>
      </w:pPr>
      <w:r>
        <w:rPr>
          <w:b w:val="0"/>
          <w:i w:val="0"/>
        </w:rPr>
        <w:t>275</w:t>
      </w:r>
    </w:p>
    <w:p>
      <w:pPr>
        <w:spacing w:after="80"/>
        <w:ind w:left="360"/>
      </w:pPr>
      <w:r>
        <w:rPr>
          <w:b w:val="0"/>
          <w:i w:val="0"/>
        </w:rPr>
        <w:t>276</w:t>
      </w:r>
    </w:p>
    <w:p>
      <w:pPr>
        <w:spacing w:after="80"/>
        <w:ind w:left="360"/>
      </w:pPr>
      <w:r>
        <w:rPr>
          <w:b w:val="0"/>
          <w:i w:val="0"/>
        </w:rPr>
        <w:t>277</w:t>
      </w:r>
    </w:p>
    <w:p>
      <w:pPr>
        <w:spacing w:after="80"/>
        <w:ind w:left="360"/>
      </w:pPr>
      <w:r>
        <w:rPr>
          <w:b w:val="0"/>
          <w:i w:val="0"/>
        </w:rPr>
        <w:t>278</w:t>
      </w:r>
    </w:p>
    <w:p>
      <w:pPr>
        <w:spacing w:after="80"/>
        <w:ind w:left="360"/>
      </w:pPr>
      <w:r>
        <w:rPr>
          <w:b w:val="0"/>
          <w:i w:val="0"/>
        </w:rPr>
        <w:t>279</w:t>
      </w:r>
    </w:p>
    <w:p>
      <w:pPr>
        <w:spacing w:after="80"/>
        <w:ind w:left="360"/>
      </w:pPr>
      <w:r>
        <w:rPr>
          <w:b w:val="0"/>
          <w:i w:val="0"/>
        </w:rPr>
        <w:t>280</w:t>
      </w:r>
    </w:p>
    <w:p>
      <w:pPr>
        <w:spacing w:after="80"/>
        <w:ind w:left="360"/>
      </w:pPr>
      <w:r>
        <w:rPr>
          <w:b w:val="0"/>
          <w:i w:val="0"/>
        </w:rPr>
        <w:t>281</w:t>
      </w:r>
    </w:p>
    <w:p>
      <w:pPr>
        <w:spacing w:after="80"/>
        <w:ind w:left="360"/>
      </w:pPr>
      <w:r>
        <w:rPr>
          <w:b w:val="0"/>
          <w:i w:val="0"/>
        </w:rPr>
        <w:t>282</w:t>
      </w:r>
    </w:p>
    <w:p>
      <w:pPr>
        <w:spacing w:after="80"/>
        <w:ind w:left="360"/>
      </w:pPr>
      <w:r>
        <w:rPr>
          <w:b w:val="0"/>
          <w:i w:val="0"/>
        </w:rPr>
        <w:t>283</w:t>
      </w:r>
    </w:p>
    <w:p>
      <w:pPr>
        <w:spacing w:after="80"/>
        <w:ind w:left="360"/>
      </w:pPr>
      <w:r>
        <w:rPr>
          <w:b w:val="0"/>
          <w:i w:val="0"/>
        </w:rPr>
        <w:t>284</w:t>
      </w:r>
    </w:p>
    <w:p>
      <w:pPr>
        <w:spacing w:after="80"/>
        <w:ind w:left="360"/>
      </w:pPr>
      <w:r>
        <w:rPr>
          <w:b w:val="0"/>
          <w:i w:val="0"/>
        </w:rPr>
        <w:t>285</w:t>
      </w:r>
    </w:p>
    <w:p>
      <w:pPr>
        <w:spacing w:after="80"/>
        <w:ind w:left="360"/>
      </w:pPr>
      <w:r>
        <w:rPr>
          <w:b w:val="0"/>
          <w:i w:val="0"/>
        </w:rPr>
        <w:t>286</w:t>
      </w:r>
    </w:p>
    <w:p>
      <w:pPr>
        <w:spacing w:after="80"/>
        <w:ind w:left="360"/>
      </w:pPr>
      <w:r>
        <w:rPr>
          <w:b w:val="0"/>
          <w:i w:val="0"/>
        </w:rPr>
        <w:t>287</w:t>
      </w:r>
    </w:p>
    <w:p>
      <w:pPr>
        <w:spacing w:after="80"/>
        <w:ind w:left="360"/>
      </w:pPr>
      <w:r>
        <w:rPr>
          <w:b w:val="0"/>
          <w:i w:val="0"/>
        </w:rPr>
        <w:t>288</w:t>
      </w:r>
    </w:p>
    <w:p>
      <w:pPr>
        <w:spacing w:after="80"/>
        <w:ind w:left="360"/>
      </w:pPr>
      <w:r>
        <w:rPr>
          <w:b w:val="0"/>
          <w:i w:val="0"/>
        </w:rPr>
        <w:t>289</w:t>
      </w:r>
    </w:p>
    <w:p>
      <w:pPr>
        <w:spacing w:after="80"/>
        <w:ind w:left="360"/>
      </w:pPr>
      <w:r>
        <w:rPr>
          <w:b w:val="0"/>
          <w:i w:val="0"/>
        </w:rPr>
        <w:t>290</w:t>
      </w:r>
    </w:p>
    <w:p>
      <w:pPr>
        <w:spacing w:after="80"/>
        <w:ind w:left="360"/>
      </w:pPr>
      <w:r>
        <w:rPr>
          <w:b w:val="0"/>
          <w:i w:val="0"/>
        </w:rPr>
        <w:t>291</w:t>
      </w:r>
    </w:p>
    <w:p>
      <w:pPr>
        <w:spacing w:after="80"/>
        <w:ind w:left="360"/>
      </w:pPr>
      <w:r>
        <w:rPr>
          <w:b w:val="0"/>
          <w:i w:val="0"/>
        </w:rPr>
        <w:t>292</w:t>
      </w:r>
    </w:p>
    <w:p>
      <w:pPr>
        <w:spacing w:after="80"/>
        <w:ind w:left="360"/>
      </w:pPr>
      <w:r>
        <w:rPr>
          <w:b w:val="0"/>
          <w:i w:val="0"/>
        </w:rPr>
        <w:t>293</w:t>
      </w:r>
    </w:p>
    <w:p>
      <w:pPr>
        <w:spacing w:after="80"/>
        <w:ind w:left="360"/>
      </w:pPr>
      <w:r>
        <w:rPr>
          <w:b w:val="0"/>
          <w:i w:val="0"/>
        </w:rPr>
        <w:t>294</w:t>
      </w:r>
    </w:p>
    <w:p>
      <w:pPr>
        <w:spacing w:after="80"/>
        <w:ind w:left="360"/>
      </w:pPr>
      <w:r>
        <w:rPr>
          <w:b w:val="0"/>
          <w:i w:val="0"/>
        </w:rPr>
        <w:t>295</w:t>
      </w:r>
    </w:p>
    <w:p>
      <w:pPr>
        <w:spacing w:after="80"/>
        <w:ind w:left="360"/>
      </w:pPr>
      <w:r>
        <w:rPr>
          <w:b w:val="0"/>
          <w:i w:val="0"/>
        </w:rPr>
        <w:t>296</w:t>
      </w:r>
    </w:p>
    <w:p>
      <w:pPr>
        <w:spacing w:after="80"/>
        <w:ind w:left="360"/>
      </w:pPr>
      <w:r>
        <w:rPr>
          <w:b w:val="0"/>
          <w:i w:val="0"/>
        </w:rPr>
        <w:t>297</w:t>
      </w:r>
    </w:p>
    <w:p>
      <w:pPr>
        <w:spacing w:after="80"/>
        <w:ind w:left="360"/>
      </w:pPr>
      <w:r>
        <w:rPr>
          <w:b w:val="0"/>
          <w:i w:val="0"/>
        </w:rPr>
        <w:t>298</w:t>
      </w:r>
    </w:p>
    <w:p>
      <w:pPr>
        <w:spacing w:after="80"/>
        <w:ind w:left="360"/>
      </w:pPr>
      <w:r>
        <w:rPr>
          <w:b w:val="0"/>
          <w:i w:val="0"/>
        </w:rPr>
        <w:t>299</w:t>
      </w:r>
    </w:p>
    <w:p>
      <w:pPr>
        <w:spacing w:after="80"/>
        <w:ind w:left="360"/>
      </w:pPr>
      <w:r>
        <w:rPr>
          <w:b w:val="0"/>
          <w:i w:val="0"/>
        </w:rPr>
        <w:t>300</w:t>
      </w:r>
    </w:p>
    <w:p>
      <w:pPr>
        <w:spacing w:after="80"/>
        <w:ind w:left="360"/>
      </w:pPr>
      <w:r>
        <w:rPr>
          <w:b w:val="0"/>
          <w:i w:val="0"/>
        </w:rPr>
        <w:t>301</w:t>
      </w:r>
    </w:p>
    <w:p>
      <w:pPr>
        <w:spacing w:after="80"/>
        <w:ind w:left="360"/>
      </w:pPr>
      <w:r>
        <w:rPr>
          <w:b w:val="0"/>
          <w:i w:val="0"/>
        </w:rPr>
        <w:t>302</w:t>
      </w:r>
    </w:p>
    <w:p>
      <w:pPr>
        <w:spacing w:after="80"/>
        <w:ind w:left="360"/>
      </w:pPr>
      <w:r>
        <w:rPr>
          <w:b w:val="0"/>
          <w:i w:val="0"/>
        </w:rPr>
        <w:t>303</w:t>
      </w:r>
    </w:p>
    <w:p>
      <w:pPr>
        <w:spacing w:after="80"/>
        <w:ind w:left="360"/>
      </w:pPr>
      <w:r>
        <w:rPr>
          <w:b w:val="0"/>
          <w:i w:val="0"/>
        </w:rPr>
        <w:t>304</w:t>
      </w:r>
    </w:p>
    <w:p>
      <w:pPr>
        <w:spacing w:after="80"/>
        <w:ind w:left="360"/>
      </w:pPr>
      <w:r>
        <w:rPr>
          <w:b w:val="0"/>
          <w:i w:val="0"/>
        </w:rPr>
        <w:t>305</w:t>
      </w:r>
    </w:p>
    <w:p>
      <w:pPr>
        <w:spacing w:after="80"/>
        <w:ind w:left="360"/>
      </w:pPr>
      <w:r>
        <w:rPr>
          <w:b w:val="0"/>
          <w:i w:val="0"/>
        </w:rPr>
        <w:t>306</w:t>
      </w:r>
    </w:p>
    <w:p>
      <w:pPr>
        <w:spacing w:after="80"/>
        <w:ind w:left="360"/>
      </w:pPr>
      <w:r>
        <w:rPr>
          <w:b w:val="0"/>
          <w:i w:val="0"/>
        </w:rPr>
        <w:t>307</w:t>
      </w:r>
    </w:p>
    <w:p>
      <w:pPr>
        <w:spacing w:after="80"/>
        <w:ind w:left="360"/>
      </w:pPr>
      <w:r>
        <w:rPr>
          <w:b w:val="0"/>
          <w:i w:val="0"/>
        </w:rPr>
        <w:t>308</w:t>
      </w:r>
    </w:p>
    <w:p>
      <w:pPr>
        <w:spacing w:after="80"/>
        <w:ind w:left="360"/>
      </w:pPr>
      <w:r>
        <w:rPr>
          <w:b w:val="0"/>
          <w:i w:val="0"/>
        </w:rPr>
        <w:t>309</w:t>
      </w:r>
    </w:p>
    <w:p>
      <w:pPr>
        <w:spacing w:after="80"/>
        <w:ind w:left="360"/>
      </w:pPr>
      <w:r>
        <w:rPr>
          <w:b w:val="0"/>
          <w:i w:val="0"/>
        </w:rPr>
        <w:t>310</w:t>
      </w:r>
    </w:p>
    <w:p>
      <w:pPr>
        <w:spacing w:after="80"/>
        <w:ind w:left="360"/>
      </w:pPr>
      <w:r>
        <w:rPr>
          <w:b w:val="0"/>
          <w:i w:val="0"/>
        </w:rPr>
        <w:t>311</w:t>
      </w:r>
    </w:p>
    <w:p>
      <w:pPr>
        <w:spacing w:after="80"/>
        <w:ind w:left="360"/>
      </w:pPr>
      <w:r>
        <w:rPr>
          <w:b w:val="0"/>
          <w:i w:val="0"/>
        </w:rPr>
        <w:t>312</w:t>
      </w:r>
    </w:p>
    <w:p>
      <w:pPr>
        <w:spacing w:after="80"/>
        <w:ind w:left="360"/>
      </w:pPr>
      <w:r>
        <w:rPr>
          <w:b w:val="0"/>
          <w:i w:val="0"/>
        </w:rPr>
        <w:t>313</w:t>
      </w:r>
    </w:p>
    <w:p>
      <w:pPr>
        <w:spacing w:after="80"/>
        <w:ind w:left="360"/>
      </w:pPr>
      <w:r>
        <w:rPr>
          <w:b w:val="0"/>
          <w:i w:val="0"/>
        </w:rPr>
        <w:t>314</w:t>
      </w:r>
    </w:p>
    <w:p>
      <w:pPr>
        <w:spacing w:after="80"/>
        <w:ind w:left="360"/>
      </w:pPr>
      <w:r>
        <w:rPr>
          <w:b w:val="0"/>
          <w:i w:val="0"/>
        </w:rPr>
        <w:t>315</w:t>
      </w:r>
    </w:p>
    <w:p>
      <w:pPr>
        <w:spacing w:after="80"/>
        <w:ind w:left="360"/>
      </w:pPr>
      <w:r>
        <w:rPr>
          <w:b w:val="0"/>
          <w:i w:val="0"/>
        </w:rPr>
        <w:t>316</w:t>
      </w:r>
    </w:p>
    <w:p>
      <w:pPr>
        <w:spacing w:after="80"/>
        <w:ind w:left="360"/>
      </w:pPr>
      <w:r>
        <w:rPr>
          <w:b w:val="0"/>
          <w:i w:val="0"/>
        </w:rPr>
        <w:t>317</w:t>
      </w:r>
    </w:p>
    <w:p>
      <w:pPr>
        <w:spacing w:after="80"/>
        <w:ind w:left="360"/>
      </w:pPr>
      <w:r>
        <w:rPr>
          <w:b w:val="0"/>
          <w:i w:val="0"/>
        </w:rPr>
        <w:t>318</w:t>
      </w:r>
    </w:p>
    <w:p>
      <w:pPr>
        <w:spacing w:after="80"/>
        <w:ind w:left="360"/>
      </w:pPr>
      <w:r>
        <w:rPr>
          <w:b w:val="0"/>
          <w:i w:val="0"/>
        </w:rPr>
        <w:t>319</w:t>
      </w:r>
    </w:p>
    <w:p>
      <w:pPr>
        <w:spacing w:after="80"/>
        <w:ind w:left="360"/>
      </w:pPr>
      <w:r>
        <w:rPr>
          <w:b w:val="0"/>
          <w:i w:val="0"/>
        </w:rPr>
        <w:t>320</w:t>
      </w:r>
    </w:p>
    <w:p>
      <w:pPr>
        <w:spacing w:after="80"/>
        <w:ind w:left="360"/>
      </w:pPr>
      <w:r>
        <w:rPr>
          <w:b w:val="0"/>
          <w:i w:val="0"/>
        </w:rPr>
        <w:t>321</w:t>
      </w:r>
    </w:p>
    <w:p>
      <w:pPr>
        <w:spacing w:after="80"/>
        <w:ind w:left="360"/>
      </w:pPr>
      <w:r>
        <w:rPr>
          <w:b w:val="0"/>
          <w:i w:val="0"/>
        </w:rPr>
        <w:t>322</w:t>
      </w:r>
    </w:p>
    <w:p>
      <w:pPr>
        <w:spacing w:after="80"/>
        <w:ind w:left="360"/>
      </w:pPr>
      <w:r>
        <w:rPr>
          <w:b w:val="0"/>
          <w:i w:val="0"/>
        </w:rPr>
        <w:t>323</w:t>
      </w:r>
    </w:p>
    <w:p>
      <w:pPr>
        <w:spacing w:after="80"/>
        <w:ind w:left="360"/>
      </w:pPr>
      <w:r>
        <w:rPr>
          <w:b w:val="0"/>
          <w:i w:val="0"/>
        </w:rPr>
        <w:t>324</w:t>
      </w:r>
    </w:p>
    <w:p>
      <w:pPr>
        <w:spacing w:after="80"/>
        <w:ind w:left="360"/>
      </w:pPr>
      <w:r>
        <w:rPr>
          <w:b w:val="0"/>
          <w:i w:val="0"/>
        </w:rPr>
        <w:t>325</w:t>
      </w:r>
    </w:p>
    <w:p>
      <w:pPr>
        <w:spacing w:after="80"/>
        <w:ind w:left="360"/>
      </w:pPr>
      <w:r>
        <w:rPr>
          <w:b w:val="0"/>
          <w:i w:val="0"/>
        </w:rPr>
        <w:t>326</w:t>
      </w:r>
    </w:p>
    <w:p>
      <w:pPr>
        <w:spacing w:after="80"/>
        <w:ind w:left="360"/>
      </w:pPr>
      <w:r>
        <w:rPr>
          <w:b w:val="0"/>
          <w:i w:val="0"/>
        </w:rPr>
        <w:t>327</w:t>
      </w:r>
    </w:p>
    <w:p>
      <w:pPr>
        <w:spacing w:after="80"/>
        <w:ind w:left="360"/>
      </w:pPr>
      <w:r>
        <w:rPr>
          <w:b w:val="0"/>
          <w:i w:val="0"/>
        </w:rPr>
        <w:t>328</w:t>
      </w:r>
    </w:p>
    <w:p>
      <w:pPr>
        <w:spacing w:after="80"/>
        <w:ind w:left="360"/>
      </w:pPr>
      <w:r>
        <w:rPr>
          <w:b w:val="0"/>
          <w:i w:val="0"/>
        </w:rPr>
        <w:t>329</w:t>
      </w:r>
    </w:p>
    <w:p>
      <w:pPr>
        <w:spacing w:after="80"/>
        <w:ind w:left="360"/>
      </w:pPr>
      <w:r>
        <w:rPr>
          <w:b w:val="0"/>
          <w:i w:val="0"/>
        </w:rPr>
        <w:t>330</w:t>
      </w:r>
    </w:p>
    <w:p>
      <w:pPr>
        <w:spacing w:after="80"/>
        <w:ind w:left="360"/>
      </w:pPr>
      <w:r>
        <w:rPr>
          <w:b w:val="0"/>
          <w:i w:val="0"/>
        </w:rPr>
        <w:t>331</w:t>
      </w:r>
    </w:p>
    <w:p>
      <w:pPr>
        <w:spacing w:after="80"/>
        <w:ind w:left="360"/>
      </w:pPr>
      <w:r>
        <w:rPr>
          <w:b w:val="0"/>
          <w:i w:val="0"/>
        </w:rPr>
        <w:t>332</w:t>
      </w:r>
    </w:p>
    <w:p>
      <w:pPr>
        <w:spacing w:after="80"/>
        <w:ind w:left="360"/>
      </w:pPr>
      <w:r>
        <w:rPr>
          <w:b w:val="0"/>
          <w:i w:val="0"/>
        </w:rPr>
        <w:t>333</w:t>
      </w:r>
    </w:p>
    <w:p>
      <w:pPr>
        <w:spacing w:after="80"/>
        <w:ind w:left="360"/>
      </w:pPr>
      <w:r>
        <w:rPr>
          <w:b w:val="0"/>
          <w:i w:val="0"/>
        </w:rPr>
        <w:t>334</w:t>
      </w:r>
    </w:p>
    <w:p>
      <w:pPr>
        <w:spacing w:after="80"/>
        <w:ind w:left="360"/>
      </w:pPr>
      <w:r>
        <w:rPr>
          <w:b w:val="0"/>
          <w:i w:val="0"/>
        </w:rPr>
        <w:t>335</w:t>
      </w:r>
    </w:p>
    <w:p>
      <w:pPr>
        <w:spacing w:after="80"/>
        <w:ind w:left="360"/>
      </w:pPr>
      <w:r>
        <w:rPr>
          <w:b w:val="0"/>
          <w:i w:val="0"/>
        </w:rPr>
        <w:t>336</w:t>
      </w:r>
    </w:p>
    <w:p>
      <w:pPr>
        <w:spacing w:after="80"/>
        <w:ind w:left="360"/>
      </w:pPr>
      <w:r>
        <w:rPr>
          <w:b w:val="0"/>
          <w:i w:val="0"/>
        </w:rPr>
        <w:t>337</w:t>
      </w:r>
    </w:p>
    <w:p>
      <w:pPr>
        <w:spacing w:after="80"/>
        <w:ind w:left="360"/>
      </w:pPr>
      <w:r>
        <w:rPr>
          <w:b w:val="0"/>
          <w:i w:val="0"/>
        </w:rPr>
        <w:t>338</w:t>
      </w:r>
    </w:p>
    <w:p>
      <w:pPr>
        <w:spacing w:after="80"/>
        <w:ind w:left="360"/>
      </w:pPr>
      <w:r>
        <w:rPr>
          <w:b w:val="0"/>
          <w:i w:val="0"/>
        </w:rPr>
        <w:t>339</w:t>
      </w:r>
    </w:p>
    <w:p>
      <w:pPr>
        <w:spacing w:after="80"/>
        <w:ind w:left="360"/>
      </w:pPr>
      <w:r>
        <w:rPr>
          <w:b w:val="0"/>
          <w:i w:val="0"/>
        </w:rPr>
        <w:t>340</w:t>
      </w:r>
    </w:p>
    <w:p>
      <w:pPr>
        <w:spacing w:after="80"/>
        <w:ind w:left="360"/>
      </w:pPr>
      <w:r>
        <w:rPr>
          <w:b w:val="0"/>
          <w:i w:val="0"/>
        </w:rPr>
        <w:t>341</w:t>
      </w:r>
    </w:p>
    <w:p>
      <w:pPr>
        <w:spacing w:after="80"/>
        <w:ind w:left="360"/>
      </w:pPr>
      <w:r>
        <w:rPr>
          <w:b w:val="0"/>
          <w:i w:val="0"/>
        </w:rPr>
        <w:t>342</w:t>
      </w:r>
    </w:p>
    <w:p>
      <w:pPr>
        <w:spacing w:after="80"/>
        <w:ind w:left="360"/>
      </w:pPr>
      <w:r>
        <w:rPr>
          <w:b w:val="0"/>
          <w:i w:val="0"/>
        </w:rPr>
        <w:t>343</w:t>
      </w:r>
    </w:p>
    <w:p>
      <w:pPr>
        <w:spacing w:after="80"/>
        <w:ind w:left="360"/>
      </w:pPr>
      <w:r>
        <w:rPr>
          <w:b w:val="0"/>
          <w:i w:val="0"/>
        </w:rPr>
        <w:t>344</w:t>
      </w:r>
    </w:p>
    <w:p>
      <w:pPr>
        <w:spacing w:after="80"/>
        <w:ind w:left="360"/>
      </w:pPr>
      <w:r>
        <w:rPr>
          <w:b w:val="0"/>
          <w:i w:val="0"/>
        </w:rPr>
        <w:t>345</w:t>
      </w:r>
    </w:p>
    <w:p>
      <w:pPr>
        <w:spacing w:after="80"/>
        <w:ind w:left="360"/>
      </w:pPr>
      <w:r>
        <w:rPr>
          <w:b w:val="0"/>
          <w:i w:val="0"/>
        </w:rPr>
        <w:t>346</w:t>
      </w:r>
    </w:p>
    <w:p>
      <w:pPr>
        <w:spacing w:after="80"/>
        <w:ind w:left="360"/>
      </w:pPr>
      <w:r>
        <w:rPr>
          <w:b w:val="0"/>
          <w:i w:val="0"/>
        </w:rPr>
        <w:t>347</w:t>
      </w:r>
    </w:p>
    <w:p>
      <w:pPr>
        <w:spacing w:after="80"/>
        <w:ind w:left="360"/>
      </w:pPr>
      <w:r>
        <w:rPr>
          <w:b w:val="0"/>
          <w:i w:val="0"/>
        </w:rPr>
        <w:t>349</w:t>
      </w:r>
    </w:p>
    <w:p>
      <w:pPr>
        <w:spacing w:after="80"/>
        <w:ind w:left="360"/>
      </w:pPr>
      <w:r>
        <w:rPr>
          <w:b w:val="0"/>
          <w:i w:val="0"/>
        </w:rPr>
        <w:t>350</w:t>
      </w:r>
    </w:p>
    <w:p>
      <w:pPr>
        <w:spacing w:after="80"/>
        <w:ind w:left="360"/>
      </w:pPr>
      <w:r>
        <w:rPr>
          <w:b w:val="0"/>
          <w:i w:val="0"/>
        </w:rPr>
        <w:t>351</w:t>
      </w:r>
    </w:p>
    <w:p>
      <w:pPr>
        <w:spacing w:after="80"/>
        <w:ind w:left="360"/>
      </w:pPr>
      <w:r>
        <w:rPr>
          <w:b w:val="0"/>
          <w:i w:val="0"/>
        </w:rPr>
        <w:t>352</w:t>
      </w:r>
    </w:p>
    <w:p>
      <w:pPr>
        <w:spacing w:after="80"/>
        <w:ind w:left="360"/>
      </w:pPr>
      <w:r>
        <w:rPr>
          <w:b w:val="0"/>
          <w:i w:val="0"/>
        </w:rPr>
        <w:t>353</w:t>
      </w:r>
    </w:p>
    <w:p>
      <w:pPr>
        <w:spacing w:after="80"/>
        <w:ind w:left="360"/>
      </w:pPr>
      <w:r>
        <w:rPr>
          <w:b w:val="0"/>
          <w:i w:val="0"/>
        </w:rPr>
        <w:t>354</w:t>
      </w:r>
    </w:p>
    <w:p>
      <w:pPr>
        <w:spacing w:after="80"/>
        <w:ind w:left="360"/>
      </w:pPr>
      <w:r>
        <w:rPr>
          <w:b w:val="0"/>
          <w:i w:val="0"/>
        </w:rPr>
        <w:t>355</w:t>
      </w:r>
    </w:p>
    <w:p>
      <w:pPr>
        <w:spacing w:after="80"/>
        <w:ind w:left="360"/>
      </w:pPr>
      <w:r>
        <w:rPr>
          <w:b w:val="0"/>
          <w:i w:val="0"/>
        </w:rPr>
        <w:t>356</w:t>
      </w:r>
    </w:p>
    <w:p>
      <w:pPr>
        <w:spacing w:after="80"/>
        <w:ind w:left="360"/>
      </w:pPr>
      <w:r>
        <w:rPr>
          <w:b w:val="0"/>
          <w:i w:val="0"/>
        </w:rPr>
        <w:t>357</w:t>
      </w:r>
    </w:p>
    <w:p>
      <w:pPr>
        <w:spacing w:after="80"/>
        <w:ind w:left="360"/>
      </w:pPr>
      <w:r>
        <w:rPr>
          <w:b w:val="0"/>
          <w:i w:val="0"/>
        </w:rPr>
        <w:t>358</w:t>
      </w:r>
    </w:p>
    <w:p>
      <w:pPr>
        <w:spacing w:after="80"/>
        <w:ind w:left="360"/>
      </w:pPr>
      <w:r>
        <w:rPr>
          <w:b w:val="0"/>
          <w:i w:val="0"/>
        </w:rPr>
        <w:t>359</w:t>
      </w:r>
    </w:p>
    <w:p>
      <w:pPr>
        <w:spacing w:after="80"/>
        <w:ind w:left="360"/>
      </w:pPr>
      <w:r>
        <w:rPr>
          <w:b w:val="0"/>
          <w:i w:val="0"/>
        </w:rPr>
        <w:t>360</w:t>
      </w:r>
    </w:p>
    <w:p>
      <w:pPr>
        <w:spacing w:after="80"/>
        <w:ind w:left="360"/>
      </w:pPr>
      <w:r>
        <w:rPr>
          <w:b w:val="0"/>
          <w:i w:val="0"/>
        </w:rPr>
        <w:t>361</w:t>
      </w:r>
    </w:p>
    <w:p>
      <w:pPr>
        <w:spacing w:after="80"/>
        <w:ind w:left="360"/>
      </w:pPr>
      <w:r>
        <w:rPr>
          <w:b w:val="0"/>
          <w:i w:val="0"/>
        </w:rPr>
        <w:t>362</w:t>
      </w:r>
    </w:p>
    <w:p>
      <w:pPr>
        <w:spacing w:after="80"/>
        <w:ind w:left="360"/>
      </w:pPr>
      <w:r>
        <w:rPr>
          <w:b w:val="0"/>
          <w:i w:val="0"/>
        </w:rPr>
        <w:t>363</w:t>
      </w:r>
    </w:p>
    <w:p>
      <w:pPr>
        <w:spacing w:after="80"/>
        <w:ind w:left="360"/>
      </w:pPr>
      <w:r>
        <w:rPr>
          <w:b w:val="0"/>
          <w:i w:val="0"/>
        </w:rPr>
        <w:t>364</w:t>
      </w:r>
    </w:p>
    <w:p>
      <w:pPr>
        <w:spacing w:after="80"/>
        <w:ind w:left="360"/>
      </w:pPr>
      <w:r>
        <w:rPr>
          <w:b w:val="0"/>
          <w:i w:val="0"/>
        </w:rPr>
        <w:t>365</w:t>
      </w:r>
    </w:p>
    <w:p>
      <w:pPr>
        <w:spacing w:after="80"/>
        <w:ind w:left="360"/>
      </w:pPr>
      <w:r>
        <w:rPr>
          <w:b w:val="0"/>
          <w:i w:val="0"/>
        </w:rPr>
        <w:t>366</w:t>
      </w:r>
    </w:p>
    <w:p>
      <w:pPr>
        <w:spacing w:after="80"/>
        <w:ind w:left="360"/>
      </w:pPr>
      <w:r>
        <w:rPr>
          <w:b w:val="0"/>
          <w:i w:val="0"/>
        </w:rPr>
        <w:t>367</w:t>
      </w:r>
    </w:p>
    <w:p>
      <w:pPr>
        <w:spacing w:after="80"/>
        <w:ind w:left="360"/>
      </w:pPr>
      <w:r>
        <w:rPr>
          <w:b w:val="0"/>
          <w:i w:val="0"/>
        </w:rPr>
        <w:t>368</w:t>
      </w:r>
    </w:p>
    <w:p>
      <w:pPr>
        <w:spacing w:after="80"/>
        <w:ind w:left="360"/>
      </w:pPr>
      <w:r>
        <w:rPr>
          <w:b w:val="0"/>
          <w:i w:val="0"/>
        </w:rPr>
        <w:t>369</w:t>
      </w:r>
    </w:p>
    <w:p>
      <w:pPr>
        <w:spacing w:after="80"/>
        <w:ind w:left="360"/>
      </w:pPr>
      <w:r>
        <w:rPr>
          <w:b w:val="0"/>
          <w:i w:val="0"/>
        </w:rPr>
        <w:t>370</w:t>
      </w:r>
    </w:p>
    <w:p>
      <w:pPr>
        <w:spacing w:after="80"/>
        <w:ind w:left="360"/>
      </w:pPr>
      <w:r>
        <w:rPr>
          <w:b w:val="0"/>
          <w:i w:val="0"/>
        </w:rPr>
        <w:t>371</w:t>
      </w:r>
    </w:p>
    <w:p>
      <w:pPr>
        <w:spacing w:after="80"/>
        <w:ind w:left="360"/>
      </w:pPr>
      <w:r>
        <w:rPr>
          <w:b w:val="0"/>
          <w:i w:val="0"/>
        </w:rPr>
        <w:t>372</w:t>
      </w:r>
    </w:p>
    <w:p>
      <w:pPr>
        <w:spacing w:after="80"/>
        <w:ind w:left="360"/>
      </w:pPr>
      <w:r>
        <w:rPr>
          <w:b w:val="0"/>
          <w:i w:val="0"/>
        </w:rPr>
        <w:t>373</w:t>
      </w:r>
    </w:p>
    <w:p>
      <w:pPr>
        <w:spacing w:after="80"/>
        <w:ind w:left="360"/>
      </w:pPr>
      <w:r>
        <w:rPr>
          <w:b w:val="0"/>
          <w:i w:val="0"/>
        </w:rPr>
        <w:t>374</w:t>
      </w:r>
    </w:p>
    <w:p>
      <w:pPr>
        <w:spacing w:after="80"/>
        <w:ind w:left="360"/>
      </w:pPr>
      <w:r>
        <w:rPr>
          <w:b w:val="0"/>
          <w:i w:val="0"/>
        </w:rPr>
        <w:t>375</w:t>
      </w:r>
    </w:p>
    <w:p>
      <w:pPr>
        <w:spacing w:after="80"/>
        <w:ind w:left="360"/>
      </w:pPr>
      <w:r>
        <w:rPr>
          <w:b w:val="0"/>
          <w:i w:val="0"/>
        </w:rPr>
        <w:t>376</w:t>
      </w:r>
    </w:p>
    <w:p>
      <w:pPr>
        <w:spacing w:after="80"/>
        <w:ind w:left="360"/>
      </w:pPr>
      <w:r>
        <w:rPr>
          <w:b w:val="0"/>
          <w:i w:val="0"/>
        </w:rPr>
        <w:t>377</w:t>
      </w:r>
    </w:p>
    <w:p>
      <w:pPr>
        <w:spacing w:after="80"/>
        <w:ind w:left="360"/>
      </w:pPr>
      <w:r>
        <w:rPr>
          <w:b w:val="0"/>
          <w:i w:val="0"/>
        </w:rPr>
        <w:t>378</w:t>
      </w:r>
    </w:p>
    <w:p>
      <w:pPr>
        <w:spacing w:after="80"/>
        <w:ind w:left="360"/>
      </w:pPr>
      <w:r>
        <w:rPr>
          <w:b w:val="0"/>
          <w:i w:val="0"/>
        </w:rPr>
        <w:t>379</w:t>
      </w:r>
    </w:p>
    <w:p>
      <w:pPr>
        <w:spacing w:after="80"/>
        <w:ind w:left="360"/>
      </w:pPr>
      <w:r>
        <w:rPr>
          <w:b w:val="0"/>
          <w:i w:val="0"/>
        </w:rPr>
        <w:t>380</w:t>
      </w:r>
    </w:p>
    <w:p>
      <w:pPr>
        <w:spacing w:after="80"/>
        <w:ind w:left="360"/>
      </w:pPr>
      <w:r>
        <w:rPr>
          <w:b w:val="0"/>
          <w:i w:val="0"/>
        </w:rPr>
        <w:t>381</w:t>
      </w:r>
    </w:p>
    <w:p>
      <w:pPr>
        <w:spacing w:after="80"/>
        <w:ind w:left="360"/>
      </w:pPr>
      <w:r>
        <w:rPr>
          <w:b w:val="0"/>
          <w:i w:val="0"/>
        </w:rPr>
        <w:t>382</w:t>
      </w:r>
    </w:p>
    <w:p>
      <w:pPr>
        <w:spacing w:after="80"/>
        <w:ind w:left="360"/>
      </w:pPr>
      <w:r>
        <w:rPr>
          <w:b w:val="0"/>
          <w:i w:val="0"/>
        </w:rPr>
        <w:t>383</w:t>
      </w:r>
    </w:p>
    <w:p>
      <w:pPr>
        <w:spacing w:after="80"/>
        <w:ind w:left="360"/>
      </w:pPr>
      <w:r>
        <w:rPr>
          <w:b w:val="0"/>
          <w:i w:val="0"/>
        </w:rPr>
        <w:t>384</w:t>
      </w:r>
    </w:p>
    <w:p>
      <w:pPr>
        <w:spacing w:after="80"/>
        <w:ind w:left="360"/>
      </w:pPr>
      <w:r>
        <w:rPr>
          <w:b w:val="0"/>
          <w:i w:val="0"/>
        </w:rPr>
        <w:t>385</w:t>
      </w:r>
    </w:p>
    <w:p>
      <w:pPr>
        <w:spacing w:after="80"/>
        <w:ind w:left="360"/>
      </w:pPr>
      <w:r>
        <w:rPr>
          <w:b w:val="0"/>
          <w:i w:val="0"/>
        </w:rPr>
        <w:t>386</w:t>
      </w:r>
    </w:p>
    <w:p>
      <w:pPr>
        <w:spacing w:after="80"/>
        <w:ind w:left="360"/>
      </w:pPr>
      <w:r>
        <w:rPr>
          <w:b w:val="0"/>
          <w:i w:val="0"/>
        </w:rPr>
        <w:t>387</w:t>
      </w:r>
    </w:p>
    <w:p>
      <w:pPr>
        <w:spacing w:after="80"/>
        <w:ind w:left="360"/>
      </w:pPr>
      <w:r>
        <w:rPr>
          <w:b w:val="0"/>
          <w:i w:val="0"/>
        </w:rPr>
        <w:t>388</w:t>
      </w:r>
    </w:p>
    <w:p>
      <w:pPr>
        <w:spacing w:after="80"/>
        <w:ind w:left="360"/>
      </w:pPr>
      <w:r>
        <w:rPr>
          <w:b w:val="0"/>
          <w:i w:val="0"/>
        </w:rPr>
        <w:t>389</w:t>
      </w:r>
    </w:p>
    <w:p>
      <w:pPr>
        <w:spacing w:after="80"/>
        <w:ind w:left="360"/>
      </w:pPr>
      <w:r>
        <w:rPr>
          <w:b w:val="0"/>
          <w:i w:val="0"/>
        </w:rPr>
        <w:t>390</w:t>
      </w:r>
    </w:p>
    <w:p>
      <w:pPr>
        <w:spacing w:after="80"/>
        <w:ind w:left="360"/>
      </w:pPr>
      <w:r>
        <w:rPr>
          <w:b w:val="0"/>
          <w:i w:val="0"/>
        </w:rPr>
        <w:t>391</w:t>
      </w:r>
    </w:p>
    <w:p>
      <w:pPr>
        <w:spacing w:after="80"/>
        <w:ind w:left="360"/>
      </w:pPr>
      <w:r>
        <w:rPr>
          <w:b w:val="0"/>
          <w:i w:val="0"/>
        </w:rPr>
        <w:t>392</w:t>
      </w:r>
    </w:p>
    <w:p>
      <w:pPr>
        <w:spacing w:after="80"/>
        <w:ind w:left="360"/>
      </w:pPr>
      <w:r>
        <w:rPr>
          <w:b w:val="0"/>
          <w:i w:val="0"/>
        </w:rPr>
        <w:t>393</w:t>
      </w:r>
    </w:p>
    <w:p>
      <w:pPr>
        <w:spacing w:after="80"/>
        <w:ind w:left="360"/>
      </w:pPr>
      <w:r>
        <w:rPr>
          <w:b w:val="0"/>
          <w:i w:val="0"/>
        </w:rPr>
        <w:t>394</w:t>
      </w:r>
    </w:p>
    <w:p>
      <w:pPr>
        <w:spacing w:after="80"/>
        <w:ind w:left="360"/>
      </w:pPr>
      <w:r>
        <w:rPr>
          <w:b w:val="0"/>
          <w:i w:val="0"/>
        </w:rPr>
        <w:t>395</w:t>
      </w:r>
    </w:p>
    <w:p>
      <w:pPr>
        <w:spacing w:after="80"/>
        <w:ind w:left="360"/>
      </w:pPr>
      <w:r>
        <w:rPr>
          <w:b w:val="0"/>
          <w:i w:val="0"/>
        </w:rPr>
        <w:t>396</w:t>
      </w:r>
    </w:p>
    <w:p>
      <w:pPr>
        <w:spacing w:after="80"/>
        <w:ind w:left="360"/>
      </w:pPr>
      <w:r>
        <w:rPr>
          <w:b w:val="0"/>
          <w:i w:val="0"/>
        </w:rPr>
        <w:t>397</w:t>
      </w:r>
    </w:p>
    <w:p>
      <w:pPr>
        <w:spacing w:after="80"/>
        <w:ind w:left="360"/>
      </w:pPr>
      <w:r>
        <w:rPr>
          <w:b w:val="0"/>
          <w:i w:val="0"/>
        </w:rPr>
        <w:t>398</w:t>
      </w:r>
    </w:p>
    <w:p>
      <w:pPr>
        <w:spacing w:after="80"/>
        <w:ind w:left="360"/>
      </w:pPr>
      <w:r>
        <w:rPr>
          <w:b w:val="0"/>
          <w:i w:val="0"/>
        </w:rPr>
        <w:t>399</w:t>
      </w:r>
    </w:p>
    <w:p>
      <w:pPr>
        <w:spacing w:after="80"/>
        <w:ind w:left="360"/>
      </w:pPr>
      <w:r>
        <w:rPr>
          <w:b w:val="0"/>
          <w:i w:val="0"/>
        </w:rPr>
        <w:t>400</w:t>
      </w:r>
    </w:p>
    <w:p>
      <w:pPr>
        <w:spacing w:after="80"/>
        <w:ind w:left="360"/>
      </w:pPr>
      <w:r>
        <w:rPr>
          <w:b w:val="0"/>
          <w:i w:val="0"/>
        </w:rPr>
        <w:t>401</w:t>
      </w:r>
    </w:p>
    <w:p>
      <w:pPr>
        <w:spacing w:after="80"/>
        <w:ind w:left="360"/>
      </w:pPr>
      <w:r>
        <w:rPr>
          <w:b w:val="0"/>
          <w:i w:val="0"/>
        </w:rPr>
        <w:t>402</w:t>
      </w:r>
    </w:p>
    <w:p>
      <w:pPr>
        <w:spacing w:after="80"/>
        <w:ind w:left="360"/>
      </w:pPr>
      <w:r>
        <w:rPr>
          <w:b w:val="0"/>
          <w:i w:val="0"/>
        </w:rPr>
        <w:t>403</w:t>
      </w:r>
    </w:p>
    <w:p>
      <w:pPr>
        <w:spacing w:after="80"/>
        <w:ind w:left="360"/>
      </w:pPr>
      <w:r>
        <w:rPr>
          <w:b w:val="0"/>
          <w:i w:val="0"/>
        </w:rPr>
        <w:t>404</w:t>
      </w:r>
    </w:p>
    <w:p>
      <w:pPr>
        <w:spacing w:after="80"/>
        <w:ind w:left="360"/>
      </w:pPr>
      <w:r>
        <w:rPr>
          <w:b w:val="0"/>
          <w:i w:val="0"/>
        </w:rPr>
        <w:t>405</w:t>
      </w:r>
    </w:p>
    <w:p>
      <w:pPr>
        <w:spacing w:after="80"/>
        <w:ind w:left="360"/>
      </w:pPr>
      <w:r>
        <w:rPr>
          <w:b w:val="0"/>
          <w:i w:val="0"/>
        </w:rPr>
        <w:t>406</w:t>
      </w:r>
    </w:p>
    <w:p>
      <w:pPr>
        <w:spacing w:after="80"/>
        <w:ind w:left="360"/>
      </w:pPr>
      <w:r>
        <w:rPr>
          <w:b w:val="0"/>
          <w:i w:val="0"/>
        </w:rPr>
        <w:t>407</w:t>
      </w:r>
    </w:p>
    <w:p>
      <w:pPr>
        <w:spacing w:after="80"/>
        <w:ind w:left="360"/>
      </w:pPr>
      <w:r>
        <w:rPr>
          <w:b w:val="0"/>
          <w:i w:val="0"/>
        </w:rPr>
        <w:t>408</w:t>
      </w:r>
    </w:p>
    <w:p>
      <w:pPr>
        <w:spacing w:after="80"/>
        <w:ind w:left="360"/>
      </w:pPr>
      <w:r>
        <w:rPr>
          <w:b w:val="0"/>
          <w:i w:val="0"/>
        </w:rPr>
        <w:t>409</w:t>
      </w:r>
    </w:p>
    <w:p>
      <w:pPr>
        <w:spacing w:after="80"/>
        <w:ind w:left="360"/>
      </w:pPr>
      <w:r>
        <w:rPr>
          <w:b w:val="0"/>
          <w:i w:val="0"/>
        </w:rPr>
        <w:t>410</w:t>
      </w:r>
    </w:p>
    <w:p>
      <w:pPr>
        <w:spacing w:after="80"/>
        <w:ind w:left="360"/>
      </w:pPr>
      <w:r>
        <w:rPr>
          <w:b w:val="0"/>
          <w:i w:val="0"/>
        </w:rPr>
        <w:t>411</w:t>
      </w:r>
    </w:p>
    <w:p>
      <w:pPr>
        <w:spacing w:after="80"/>
        <w:ind w:left="360"/>
      </w:pPr>
      <w:r>
        <w:rPr>
          <w:b w:val="0"/>
          <w:i w:val="0"/>
        </w:rPr>
        <w:t>412</w:t>
      </w:r>
    </w:p>
    <w:p>
      <w:pPr>
        <w:spacing w:after="80"/>
        <w:ind w:left="360"/>
      </w:pPr>
      <w:r>
        <w:rPr>
          <w:b w:val="0"/>
          <w:i w:val="0"/>
        </w:rPr>
        <w:t>413</w:t>
      </w:r>
    </w:p>
    <w:p>
      <w:pPr>
        <w:spacing w:after="80"/>
        <w:ind w:left="360"/>
      </w:pPr>
      <w:r>
        <w:rPr>
          <w:b w:val="0"/>
          <w:i w:val="0"/>
        </w:rPr>
        <w:t>414</w:t>
      </w:r>
    </w:p>
    <w:p>
      <w:pPr>
        <w:spacing w:after="80"/>
        <w:ind w:left="360"/>
      </w:pPr>
      <w:r>
        <w:rPr>
          <w:b w:val="0"/>
          <w:i w:val="0"/>
        </w:rPr>
        <w:t>415</w:t>
      </w:r>
    </w:p>
    <w:p>
      <w:pPr>
        <w:spacing w:after="80"/>
        <w:ind w:left="360"/>
      </w:pPr>
      <w:r>
        <w:rPr>
          <w:b w:val="0"/>
          <w:i w:val="0"/>
        </w:rPr>
        <w:t>416</w:t>
      </w:r>
    </w:p>
    <w:p>
      <w:pPr>
        <w:spacing w:after="80"/>
        <w:ind w:left="360"/>
      </w:pPr>
      <w:r>
        <w:rPr>
          <w:b w:val="0"/>
          <w:i w:val="0"/>
        </w:rPr>
        <w:t>417</w:t>
      </w:r>
    </w:p>
    <w:p>
      <w:pPr>
        <w:spacing w:after="80"/>
        <w:ind w:left="360"/>
      </w:pPr>
      <w:r>
        <w:rPr>
          <w:b w:val="0"/>
          <w:i w:val="0"/>
        </w:rPr>
        <w:t>418</w:t>
      </w:r>
    </w:p>
    <w:p>
      <w:pPr>
        <w:spacing w:after="80"/>
        <w:ind w:left="360"/>
      </w:pPr>
      <w:r>
        <w:rPr>
          <w:b w:val="0"/>
          <w:i w:val="0"/>
        </w:rPr>
        <w:t>419</w:t>
      </w:r>
    </w:p>
    <w:p>
      <w:pPr>
        <w:spacing w:after="80"/>
        <w:ind w:left="360"/>
      </w:pPr>
      <w:r>
        <w:rPr>
          <w:b w:val="0"/>
          <w:i w:val="0"/>
        </w:rPr>
        <w:t>420</w:t>
      </w:r>
    </w:p>
    <w:p>
      <w:pPr>
        <w:spacing w:after="80"/>
        <w:ind w:left="360"/>
      </w:pPr>
      <w:r>
        <w:rPr>
          <w:b w:val="0"/>
          <w:i w:val="0"/>
        </w:rPr>
        <w:t>421</w:t>
      </w:r>
    </w:p>
    <w:p>
      <w:pPr>
        <w:spacing w:after="80"/>
        <w:ind w:left="360"/>
      </w:pPr>
      <w:r>
        <w:rPr>
          <w:b w:val="0"/>
          <w:i w:val="0"/>
        </w:rPr>
        <w:t>422</w:t>
      </w:r>
    </w:p>
    <w:p>
      <w:pPr>
        <w:spacing w:after="80"/>
        <w:ind w:left="360"/>
      </w:pPr>
      <w:r>
        <w:rPr>
          <w:b w:val="0"/>
          <w:i w:val="0"/>
        </w:rPr>
        <w:t>423</w:t>
      </w:r>
    </w:p>
    <w:p>
      <w:pPr>
        <w:spacing w:after="80"/>
        <w:ind w:left="360"/>
      </w:pPr>
      <w:r>
        <w:rPr>
          <w:b w:val="0"/>
          <w:i w:val="0"/>
        </w:rPr>
        <w:t>424</w:t>
      </w:r>
    </w:p>
    <w:p>
      <w:pPr>
        <w:spacing w:after="80"/>
        <w:ind w:left="360"/>
      </w:pPr>
      <w:r>
        <w:rPr>
          <w:b w:val="0"/>
          <w:i w:val="0"/>
        </w:rPr>
        <w:t>425</w:t>
      </w:r>
    </w:p>
    <w:p>
      <w:pPr>
        <w:spacing w:after="80"/>
        <w:ind w:left="360"/>
      </w:pPr>
      <w:r>
        <w:rPr>
          <w:b w:val="0"/>
          <w:i w:val="0"/>
        </w:rPr>
        <w:t>426</w:t>
      </w:r>
    </w:p>
    <w:p>
      <w:pPr>
        <w:spacing w:after="80"/>
        <w:ind w:left="360"/>
      </w:pPr>
      <w:r>
        <w:rPr>
          <w:b w:val="0"/>
          <w:i w:val="0"/>
        </w:rPr>
        <w:t>427</w:t>
      </w:r>
    </w:p>
    <w:p>
      <w:pPr>
        <w:spacing w:after="80"/>
        <w:ind w:left="360"/>
      </w:pPr>
      <w:r>
        <w:rPr>
          <w:b w:val="0"/>
          <w:i w:val="0"/>
        </w:rPr>
        <w:t>428</w:t>
      </w:r>
    </w:p>
    <w:p>
      <w:pPr>
        <w:spacing w:after="80"/>
        <w:ind w:left="360"/>
      </w:pPr>
      <w:r>
        <w:rPr>
          <w:b w:val="0"/>
          <w:i w:val="0"/>
        </w:rPr>
        <w:t>429</w:t>
      </w:r>
    </w:p>
    <w:p>
      <w:pPr>
        <w:spacing w:after="80"/>
        <w:ind w:left="360"/>
      </w:pPr>
      <w:r>
        <w:rPr>
          <w:b w:val="0"/>
          <w:i w:val="0"/>
        </w:rPr>
        <w:t>430</w:t>
      </w:r>
    </w:p>
    <w:p>
      <w:pPr>
        <w:spacing w:after="80"/>
        <w:ind w:left="360"/>
      </w:pPr>
      <w:r>
        <w:rPr>
          <w:b w:val="0"/>
          <w:i w:val="0"/>
        </w:rPr>
        <w:t>431</w:t>
      </w:r>
    </w:p>
    <w:p>
      <w:pPr>
        <w:spacing w:after="80"/>
        <w:ind w:left="360"/>
      </w:pPr>
      <w:r>
        <w:rPr>
          <w:b w:val="0"/>
          <w:i w:val="0"/>
        </w:rPr>
        <w:t>432</w:t>
      </w:r>
    </w:p>
    <w:p>
      <w:pPr>
        <w:spacing w:after="80"/>
        <w:ind w:left="360"/>
      </w:pPr>
      <w:r>
        <w:rPr>
          <w:b w:val="0"/>
          <w:i w:val="0"/>
        </w:rPr>
        <w:t>433</w:t>
      </w:r>
    </w:p>
    <w:p>
      <w:pPr>
        <w:spacing w:after="80"/>
        <w:ind w:left="360"/>
      </w:pPr>
      <w:r>
        <w:rPr>
          <w:b w:val="0"/>
          <w:i w:val="0"/>
        </w:rPr>
        <w:t>435</w:t>
      </w:r>
    </w:p>
    <w:p>
      <w:pPr>
        <w:spacing w:after="80"/>
        <w:ind w:left="360"/>
      </w:pPr>
      <w:r>
        <w:rPr>
          <w:b w:val="0"/>
          <w:i w:val="0"/>
        </w:rPr>
        <w:t>436</w:t>
      </w:r>
    </w:p>
    <w:p>
      <w:pPr>
        <w:spacing w:after="80"/>
        <w:ind w:left="360"/>
      </w:pPr>
      <w:r>
        <w:rPr>
          <w:b w:val="0"/>
          <w:i w:val="0"/>
        </w:rPr>
        <w:t>437</w:t>
      </w:r>
    </w:p>
    <w:p>
      <w:pPr>
        <w:spacing w:after="80"/>
        <w:ind w:left="360"/>
      </w:pPr>
      <w:r>
        <w:rPr>
          <w:b w:val="0"/>
          <w:i w:val="0"/>
        </w:rPr>
        <w:t>438</w:t>
      </w:r>
    </w:p>
    <w:p>
      <w:pPr>
        <w:spacing w:after="80"/>
        <w:ind w:left="360"/>
      </w:pPr>
      <w:r>
        <w:rPr>
          <w:b w:val="0"/>
          <w:i w:val="0"/>
        </w:rPr>
        <w:t>439</w:t>
      </w:r>
    </w:p>
    <w:p>
      <w:pPr>
        <w:spacing w:after="80"/>
        <w:ind w:left="360"/>
      </w:pPr>
      <w:r>
        <w:rPr>
          <w:b w:val="0"/>
          <w:i w:val="0"/>
        </w:rPr>
        <w:t>440</w:t>
      </w:r>
    </w:p>
    <w:p>
      <w:pPr>
        <w:spacing w:after="80"/>
        <w:ind w:left="360"/>
      </w:pPr>
      <w:r>
        <w:rPr>
          <w:b w:val="0"/>
          <w:i w:val="0"/>
        </w:rPr>
        <w:t>441</w:t>
      </w:r>
    </w:p>
    <w:p>
      <w:pPr>
        <w:spacing w:after="80"/>
        <w:ind w:left="360"/>
      </w:pPr>
      <w:r>
        <w:rPr>
          <w:b w:val="0"/>
          <w:i w:val="0"/>
        </w:rPr>
        <w:t>442</w:t>
      </w:r>
    </w:p>
    <w:p>
      <w:pPr>
        <w:spacing w:after="80"/>
        <w:ind w:left="360"/>
      </w:pPr>
      <w:r>
        <w:rPr>
          <w:b w:val="0"/>
          <w:i w:val="0"/>
        </w:rPr>
        <w:t>443</w:t>
      </w:r>
    </w:p>
    <w:p>
      <w:pPr>
        <w:spacing w:after="80"/>
        <w:ind w:left="360"/>
      </w:pPr>
      <w:r>
        <w:rPr>
          <w:b w:val="0"/>
          <w:i w:val="0"/>
        </w:rPr>
        <w:t>444</w:t>
      </w:r>
    </w:p>
    <w:p>
      <w:pPr>
        <w:spacing w:after="80"/>
        <w:ind w:left="360"/>
      </w:pPr>
      <w:r>
        <w:rPr>
          <w:b w:val="0"/>
          <w:i w:val="0"/>
        </w:rPr>
        <w:t>445</w:t>
      </w:r>
    </w:p>
    <w:p>
      <w:pPr>
        <w:spacing w:after="80"/>
        <w:ind w:left="360"/>
      </w:pPr>
      <w:r>
        <w:rPr>
          <w:b w:val="0"/>
          <w:i w:val="0"/>
        </w:rPr>
        <w:t>446</w:t>
      </w:r>
    </w:p>
    <w:p>
      <w:pPr>
        <w:spacing w:after="80"/>
        <w:ind w:left="360"/>
      </w:pPr>
      <w:r>
        <w:rPr>
          <w:b w:val="0"/>
          <w:i w:val="0"/>
        </w:rPr>
        <w:t>447</w:t>
      </w:r>
    </w:p>
    <w:p>
      <w:pPr>
        <w:spacing w:after="80"/>
        <w:ind w:left="360"/>
      </w:pPr>
      <w:r>
        <w:rPr>
          <w:b w:val="0"/>
          <w:i w:val="0"/>
        </w:rPr>
        <w:t>448</w:t>
      </w:r>
    </w:p>
    <w:p>
      <w:pPr>
        <w:spacing w:after="80"/>
        <w:ind w:left="360"/>
      </w:pPr>
      <w:r>
        <w:rPr>
          <w:b w:val="0"/>
          <w:i w:val="0"/>
        </w:rPr>
        <w:t>449</w:t>
      </w:r>
    </w:p>
    <w:p>
      <w:pPr>
        <w:spacing w:after="80"/>
        <w:ind w:left="360"/>
      </w:pPr>
      <w:r>
        <w:rPr>
          <w:b w:val="0"/>
          <w:i w:val="0"/>
        </w:rPr>
        <w:t>450</w:t>
      </w:r>
    </w:p>
    <w:p>
      <w:pPr>
        <w:spacing w:after="80"/>
        <w:ind w:left="360"/>
      </w:pPr>
      <w:r>
        <w:rPr>
          <w:b w:val="0"/>
          <w:i w:val="0"/>
        </w:rPr>
        <w:t>451</w:t>
      </w:r>
    </w:p>
    <w:p>
      <w:pPr>
        <w:spacing w:after="80"/>
        <w:ind w:left="360"/>
      </w:pPr>
      <w:r>
        <w:rPr>
          <w:b w:val="0"/>
          <w:i w:val="0"/>
        </w:rPr>
        <w:t>452</w:t>
      </w:r>
    </w:p>
    <w:p>
      <w:pPr>
        <w:spacing w:after="80"/>
        <w:ind w:left="360"/>
      </w:pPr>
      <w:r>
        <w:rPr>
          <w:b w:val="0"/>
          <w:i w:val="0"/>
        </w:rPr>
        <w:t>453</w:t>
      </w:r>
    </w:p>
    <w:p>
      <w:pPr>
        <w:spacing w:after="80"/>
        <w:ind w:left="360"/>
      </w:pPr>
      <w:r>
        <w:rPr>
          <w:b w:val="0"/>
          <w:i w:val="0"/>
        </w:rPr>
        <w:t>454</w:t>
      </w:r>
    </w:p>
    <w:p>
      <w:pPr>
        <w:spacing w:after="80"/>
        <w:ind w:left="360"/>
      </w:pPr>
      <w:r>
        <w:rPr>
          <w:b w:val="0"/>
          <w:i w:val="0"/>
        </w:rPr>
        <w:t>455</w:t>
      </w:r>
    </w:p>
    <w:p>
      <w:pPr>
        <w:spacing w:after="80"/>
        <w:ind w:left="360"/>
      </w:pPr>
      <w:r>
        <w:rPr>
          <w:b w:val="0"/>
          <w:i w:val="0"/>
        </w:rPr>
        <w:t>456</w:t>
      </w:r>
    </w:p>
    <w:p>
      <w:pPr>
        <w:spacing w:after="80"/>
        <w:ind w:left="360"/>
      </w:pPr>
      <w:r>
        <w:rPr>
          <w:b w:val="0"/>
          <w:i w:val="0"/>
        </w:rPr>
        <w:t>457</w:t>
      </w:r>
    </w:p>
    <w:p>
      <w:pPr>
        <w:spacing w:after="80"/>
        <w:ind w:left="360"/>
      </w:pPr>
      <w:r>
        <w:rPr>
          <w:b w:val="0"/>
          <w:i w:val="0"/>
        </w:rPr>
        <w:t>458</w:t>
      </w:r>
    </w:p>
    <w:p>
      <w:pPr>
        <w:spacing w:after="80"/>
        <w:ind w:left="360"/>
      </w:pPr>
      <w:r>
        <w:rPr>
          <w:b w:val="0"/>
          <w:i w:val="0"/>
        </w:rPr>
        <w:t>459</w:t>
      </w:r>
    </w:p>
    <w:p>
      <w:pPr>
        <w:spacing w:after="80"/>
        <w:ind w:left="360"/>
      </w:pPr>
      <w:r>
        <w:rPr>
          <w:b w:val="0"/>
          <w:i w:val="0"/>
        </w:rPr>
        <w:t>460</w:t>
      </w:r>
    </w:p>
    <w:p>
      <w:pPr>
        <w:spacing w:after="80"/>
        <w:ind w:left="360"/>
      </w:pPr>
      <w:r>
        <w:rPr>
          <w:b w:val="0"/>
          <w:i w:val="0"/>
        </w:rPr>
        <w:t>461</w:t>
      </w:r>
    </w:p>
    <w:p>
      <w:pPr>
        <w:spacing w:after="80"/>
        <w:ind w:left="360"/>
      </w:pPr>
      <w:r>
        <w:rPr>
          <w:b w:val="0"/>
          <w:i w:val="0"/>
        </w:rPr>
        <w:t>462</w:t>
      </w:r>
    </w:p>
    <w:p>
      <w:pPr>
        <w:spacing w:after="80"/>
        <w:ind w:left="360"/>
      </w:pPr>
      <w:r>
        <w:rPr>
          <w:b w:val="0"/>
          <w:i w:val="0"/>
        </w:rPr>
        <w:t>463</w:t>
      </w:r>
    </w:p>
    <w:p>
      <w:pPr>
        <w:spacing w:after="80"/>
        <w:ind w:left="360"/>
      </w:pPr>
      <w:r>
        <w:rPr>
          <w:b w:val="0"/>
          <w:i w:val="0"/>
        </w:rPr>
        <w:t>464</w:t>
      </w:r>
    </w:p>
    <w:p>
      <w:pPr>
        <w:spacing w:after="80"/>
        <w:ind w:left="360"/>
      </w:pPr>
      <w:r>
        <w:rPr>
          <w:b w:val="0"/>
          <w:i w:val="0"/>
        </w:rPr>
        <w:t>465</w:t>
      </w:r>
    </w:p>
    <w:p>
      <w:pPr>
        <w:spacing w:after="80"/>
        <w:ind w:left="360"/>
      </w:pPr>
      <w:r>
        <w:rPr>
          <w:b w:val="0"/>
          <w:i w:val="0"/>
        </w:rPr>
        <w:t>466</w:t>
      </w:r>
    </w:p>
    <w:p>
      <w:pPr>
        <w:spacing w:after="80"/>
        <w:ind w:left="360"/>
      </w:pPr>
      <w:r>
        <w:rPr>
          <w:b w:val="0"/>
          <w:i w:val="0"/>
        </w:rPr>
        <w:t>467</w:t>
      </w:r>
    </w:p>
    <w:p>
      <w:pPr>
        <w:spacing w:after="80"/>
        <w:ind w:left="360"/>
      </w:pPr>
      <w:r>
        <w:rPr>
          <w:b w:val="0"/>
          <w:i w:val="0"/>
        </w:rPr>
        <w:t>468</w:t>
      </w:r>
    </w:p>
    <w:p>
      <w:pPr>
        <w:spacing w:after="80"/>
        <w:ind w:left="360"/>
      </w:pPr>
      <w:r>
        <w:rPr>
          <w:b w:val="0"/>
          <w:i w:val="0"/>
        </w:rPr>
        <w:t>469</w:t>
      </w:r>
    </w:p>
    <w:p>
      <w:pPr>
        <w:spacing w:after="80"/>
        <w:ind w:left="360"/>
      </w:pPr>
      <w:r>
        <w:rPr>
          <w:b w:val="0"/>
          <w:i w:val="0"/>
        </w:rPr>
        <w:t>470</w:t>
      </w:r>
    </w:p>
    <w:p>
      <w:pPr>
        <w:spacing w:after="80"/>
        <w:ind w:left="360"/>
      </w:pPr>
      <w:r>
        <w:rPr>
          <w:b w:val="0"/>
          <w:i w:val="0"/>
        </w:rPr>
        <w:t>471</w:t>
      </w:r>
    </w:p>
    <w:p>
      <w:pPr>
        <w:spacing w:after="80"/>
        <w:ind w:left="360"/>
      </w:pPr>
      <w:r>
        <w:rPr>
          <w:b w:val="0"/>
          <w:i w:val="0"/>
        </w:rPr>
        <w:t>472</w:t>
      </w:r>
    </w:p>
    <w:p>
      <w:pPr>
        <w:spacing w:after="80"/>
        <w:ind w:left="360"/>
      </w:pPr>
      <w:r>
        <w:rPr>
          <w:b w:val="0"/>
          <w:i w:val="0"/>
        </w:rPr>
        <w:t>473</w:t>
      </w:r>
    </w:p>
    <w:p>
      <w:pPr>
        <w:spacing w:after="80"/>
        <w:ind w:left="360"/>
      </w:pPr>
      <w:r>
        <w:rPr>
          <w:b w:val="0"/>
          <w:i w:val="0"/>
        </w:rPr>
        <w:t>474</w:t>
      </w:r>
    </w:p>
    <w:p>
      <w:pPr>
        <w:spacing w:after="80"/>
        <w:ind w:left="360"/>
      </w:pPr>
      <w:r>
        <w:rPr>
          <w:b w:val="0"/>
          <w:i w:val="0"/>
        </w:rPr>
        <w:t>475</w:t>
      </w:r>
    </w:p>
    <w:p>
      <w:pPr>
        <w:spacing w:after="80"/>
        <w:ind w:left="360"/>
      </w:pPr>
      <w:r>
        <w:rPr>
          <w:b w:val="0"/>
          <w:i w:val="0"/>
        </w:rPr>
        <w:t>476</w:t>
      </w:r>
    </w:p>
    <w:p>
      <w:pPr>
        <w:spacing w:after="80"/>
        <w:ind w:left="360"/>
      </w:pPr>
      <w:r>
        <w:rPr>
          <w:b w:val="0"/>
          <w:i w:val="0"/>
        </w:rPr>
        <w:t>477</w:t>
      </w:r>
    </w:p>
    <w:p>
      <w:pPr>
        <w:spacing w:after="80"/>
        <w:ind w:left="360"/>
      </w:pPr>
      <w:r>
        <w:rPr>
          <w:b w:val="0"/>
          <w:i w:val="0"/>
        </w:rPr>
        <w:t>478</w:t>
      </w:r>
    </w:p>
    <w:p>
      <w:pPr>
        <w:spacing w:after="80"/>
        <w:ind w:left="360"/>
      </w:pPr>
      <w:r>
        <w:rPr>
          <w:b w:val="0"/>
          <w:i w:val="0"/>
        </w:rPr>
        <w:t>479</w:t>
      </w:r>
    </w:p>
    <w:p>
      <w:pPr>
        <w:spacing w:after="80"/>
        <w:ind w:left="360"/>
      </w:pPr>
      <w:r>
        <w:rPr>
          <w:b w:val="0"/>
          <w:i w:val="0"/>
        </w:rPr>
        <w:t>480</w:t>
      </w:r>
    </w:p>
    <w:p>
      <w:pPr>
        <w:spacing w:after="80"/>
        <w:ind w:left="360"/>
      </w:pPr>
      <w:r>
        <w:rPr>
          <w:b w:val="0"/>
          <w:i w:val="0"/>
        </w:rPr>
        <w:t>481</w:t>
      </w:r>
    </w:p>
    <w:p>
      <w:pPr>
        <w:spacing w:after="80"/>
        <w:ind w:left="360"/>
      </w:pPr>
      <w:r>
        <w:rPr>
          <w:b w:val="0"/>
          <w:i w:val="0"/>
        </w:rPr>
        <w:t>482</w:t>
      </w:r>
    </w:p>
    <w:p>
      <w:pPr>
        <w:spacing w:after="80"/>
        <w:ind w:left="360"/>
      </w:pPr>
      <w:r>
        <w:rPr>
          <w:b w:val="0"/>
          <w:i w:val="0"/>
        </w:rPr>
        <w:t>483</w:t>
      </w:r>
    </w:p>
    <w:p>
      <w:pPr>
        <w:spacing w:after="80"/>
        <w:ind w:left="360"/>
      </w:pPr>
      <w:r>
        <w:rPr>
          <w:b w:val="0"/>
          <w:i w:val="0"/>
        </w:rPr>
        <w:t>484</w:t>
      </w:r>
    </w:p>
    <w:p>
      <w:pPr>
        <w:spacing w:after="80"/>
        <w:ind w:left="360"/>
      </w:pPr>
      <w:r>
        <w:rPr>
          <w:b w:val="0"/>
          <w:i w:val="0"/>
        </w:rPr>
        <w:t>485</w:t>
      </w:r>
    </w:p>
    <w:p>
      <w:pPr>
        <w:spacing w:after="80"/>
        <w:ind w:left="360"/>
      </w:pPr>
      <w:r>
        <w:rPr>
          <w:b w:val="0"/>
          <w:i w:val="0"/>
        </w:rPr>
        <w:t>486</w:t>
      </w:r>
    </w:p>
    <w:p>
      <w:pPr>
        <w:spacing w:after="80"/>
        <w:ind w:left="360"/>
      </w:pPr>
      <w:r>
        <w:rPr>
          <w:b w:val="0"/>
          <w:i w:val="0"/>
        </w:rPr>
        <w:t>487</w:t>
      </w:r>
    </w:p>
    <w:p>
      <w:pPr>
        <w:spacing w:after="80"/>
        <w:ind w:left="360"/>
      </w:pPr>
      <w:r>
        <w:rPr>
          <w:b w:val="0"/>
          <w:i w:val="0"/>
        </w:rPr>
        <w:t>488</w:t>
      </w:r>
    </w:p>
    <w:p>
      <w:pPr>
        <w:spacing w:after="80"/>
        <w:ind w:left="360"/>
      </w:pPr>
      <w:r>
        <w:rPr>
          <w:b w:val="0"/>
          <w:i w:val="0"/>
        </w:rPr>
        <w:t>489</w:t>
      </w:r>
    </w:p>
    <w:p>
      <w:pPr>
        <w:spacing w:after="80"/>
        <w:ind w:left="360"/>
      </w:pPr>
      <w:r>
        <w:rPr>
          <w:b w:val="0"/>
          <w:i w:val="0"/>
        </w:rPr>
        <w:t>490</w:t>
      </w:r>
    </w:p>
    <w:p>
      <w:pPr>
        <w:spacing w:after="80"/>
        <w:ind w:left="360"/>
      </w:pPr>
      <w:r>
        <w:rPr>
          <w:b w:val="0"/>
          <w:i w:val="0"/>
        </w:rPr>
        <w:t>491</w:t>
      </w:r>
    </w:p>
    <w:p>
      <w:pPr>
        <w:spacing w:after="80"/>
        <w:ind w:left="360"/>
      </w:pPr>
      <w:r>
        <w:rPr>
          <w:b w:val="0"/>
          <w:i w:val="0"/>
        </w:rPr>
        <w:t>492</w:t>
      </w:r>
    </w:p>
    <w:p>
      <w:pPr>
        <w:spacing w:after="80"/>
        <w:ind w:left="360"/>
      </w:pPr>
      <w:r>
        <w:rPr>
          <w:b w:val="0"/>
          <w:i w:val="0"/>
        </w:rPr>
        <w:t>493</w:t>
      </w:r>
    </w:p>
    <w:p>
      <w:pPr>
        <w:spacing w:after="80"/>
        <w:ind w:left="360"/>
      </w:pPr>
      <w:r>
        <w:rPr>
          <w:b w:val="0"/>
          <w:i w:val="0"/>
        </w:rPr>
        <w:t>494</w:t>
      </w:r>
    </w:p>
    <w:p>
      <w:pPr>
        <w:spacing w:after="80"/>
        <w:ind w:left="360"/>
      </w:pPr>
      <w:r>
        <w:rPr>
          <w:b w:val="0"/>
          <w:i w:val="0"/>
        </w:rPr>
        <w:t>495</w:t>
      </w:r>
    </w:p>
    <w:p>
      <w:pPr>
        <w:spacing w:after="80"/>
        <w:ind w:left="360"/>
      </w:pPr>
      <w:r>
        <w:rPr>
          <w:b w:val="0"/>
          <w:i w:val="0"/>
        </w:rPr>
        <w:t>496</w:t>
      </w:r>
    </w:p>
    <w:p>
      <w:pPr>
        <w:spacing w:after="80"/>
        <w:ind w:left="360"/>
      </w:pPr>
      <w:r>
        <w:rPr>
          <w:b w:val="0"/>
          <w:i w:val="0"/>
        </w:rPr>
        <w:t>497</w:t>
      </w:r>
    </w:p>
    <w:p>
      <w:pPr>
        <w:spacing w:after="80"/>
        <w:ind w:left="360"/>
      </w:pPr>
      <w:r>
        <w:rPr>
          <w:b w:val="0"/>
          <w:i w:val="0"/>
        </w:rPr>
        <w:t>498</w:t>
      </w:r>
    </w:p>
    <w:p>
      <w:pPr>
        <w:spacing w:after="80"/>
        <w:ind w:left="360"/>
      </w:pPr>
      <w:r>
        <w:rPr>
          <w:b w:val="0"/>
          <w:i w:val="0"/>
        </w:rPr>
        <w:t>499</w:t>
      </w:r>
    </w:p>
    <w:p>
      <w:pPr>
        <w:spacing w:after="80"/>
        <w:ind w:left="360"/>
      </w:pPr>
      <w:r>
        <w:rPr>
          <w:b w:val="0"/>
          <w:i w:val="0"/>
        </w:rPr>
        <w:t>500</w:t>
      </w:r>
    </w:p>
    <w:p>
      <w:pPr>
        <w:spacing w:after="80"/>
        <w:ind w:left="360"/>
      </w:pPr>
      <w:r>
        <w:rPr>
          <w:b w:val="0"/>
          <w:i w:val="0"/>
        </w:rPr>
        <w:t>501</w:t>
      </w:r>
    </w:p>
    <w:p>
      <w:pPr>
        <w:spacing w:after="80"/>
        <w:ind w:left="360"/>
      </w:pPr>
      <w:r>
        <w:rPr>
          <w:b w:val="0"/>
          <w:i w:val="0"/>
        </w:rPr>
        <w:t>502</w:t>
      </w:r>
    </w:p>
    <w:p>
      <w:pPr>
        <w:spacing w:after="80"/>
        <w:ind w:left="360"/>
      </w:pPr>
      <w:r>
        <w:rPr>
          <w:b w:val="0"/>
          <w:i w:val="0"/>
        </w:rPr>
        <w:t>503</w:t>
      </w:r>
    </w:p>
    <w:p>
      <w:pPr>
        <w:spacing w:after="80"/>
        <w:ind w:left="360"/>
      </w:pPr>
      <w:r>
        <w:rPr>
          <w:b w:val="0"/>
          <w:i w:val="0"/>
        </w:rPr>
        <w:t>504</w:t>
      </w:r>
    </w:p>
    <w:p>
      <w:pPr>
        <w:spacing w:after="80"/>
        <w:ind w:left="360"/>
      </w:pPr>
      <w:r>
        <w:rPr>
          <w:b w:val="0"/>
          <w:i w:val="0"/>
        </w:rPr>
        <w:t>505</w:t>
      </w:r>
    </w:p>
    <w:p>
      <w:pPr>
        <w:spacing w:after="80"/>
        <w:ind w:left="360"/>
      </w:pPr>
      <w:r>
        <w:rPr>
          <w:b w:val="0"/>
          <w:i w:val="0"/>
        </w:rPr>
        <w:t>506</w:t>
      </w:r>
    </w:p>
    <w:p>
      <w:pPr>
        <w:spacing w:after="80"/>
        <w:ind w:left="360"/>
      </w:pPr>
      <w:r>
        <w:rPr>
          <w:b w:val="0"/>
          <w:i w:val="0"/>
        </w:rPr>
        <w:t>507</w:t>
      </w:r>
    </w:p>
    <w:p>
      <w:pPr>
        <w:spacing w:after="80"/>
        <w:ind w:left="360"/>
      </w:pPr>
      <w:r>
        <w:rPr>
          <w:b w:val="0"/>
          <w:i w:val="0"/>
        </w:rPr>
        <w:t>508</w:t>
      </w:r>
    </w:p>
    <w:p>
      <w:pPr>
        <w:spacing w:after="80"/>
        <w:ind w:left="360"/>
      </w:pPr>
      <w:r>
        <w:rPr>
          <w:b w:val="0"/>
          <w:i w:val="0"/>
        </w:rPr>
        <w:t>509</w:t>
      </w:r>
    </w:p>
    <w:p>
      <w:pPr>
        <w:spacing w:after="80"/>
        <w:ind w:left="360"/>
      </w:pPr>
      <w:r>
        <w:rPr>
          <w:b w:val="0"/>
          <w:i w:val="0"/>
        </w:rPr>
        <w:t>510</w:t>
      </w:r>
    </w:p>
    <w:p>
      <w:pPr>
        <w:spacing w:after="80"/>
        <w:ind w:left="360"/>
      </w:pPr>
      <w:r>
        <w:rPr>
          <w:b w:val="0"/>
          <w:i w:val="0"/>
        </w:rPr>
        <w:t>511</w:t>
      </w:r>
    </w:p>
    <w:p>
      <w:pPr>
        <w:spacing w:after="80"/>
        <w:ind w:left="360"/>
      </w:pPr>
      <w:r>
        <w:rPr>
          <w:b w:val="0"/>
          <w:i w:val="0"/>
        </w:rPr>
        <w:t>512</w:t>
      </w:r>
    </w:p>
    <w:p>
      <w:pPr>
        <w:spacing w:after="80"/>
        <w:ind w:left="360"/>
      </w:pPr>
      <w:r>
        <w:rPr>
          <w:b w:val="0"/>
          <w:i w:val="0"/>
        </w:rPr>
        <w:t>513</w:t>
      </w:r>
    </w:p>
    <w:p>
      <w:pPr>
        <w:spacing w:after="80"/>
        <w:ind w:left="360"/>
      </w:pPr>
      <w:r>
        <w:rPr>
          <w:b w:val="0"/>
          <w:i w:val="0"/>
        </w:rPr>
        <w:t>514</w:t>
      </w:r>
    </w:p>
    <w:p>
      <w:pPr>
        <w:spacing w:after="80"/>
        <w:ind w:left="360"/>
      </w:pPr>
      <w:r>
        <w:rPr>
          <w:b w:val="0"/>
          <w:i w:val="0"/>
        </w:rPr>
        <w:t>515</w:t>
      </w:r>
    </w:p>
    <w:p>
      <w:pPr>
        <w:spacing w:after="80"/>
        <w:ind w:left="360"/>
      </w:pPr>
      <w:r>
        <w:rPr>
          <w:b w:val="0"/>
          <w:i w:val="0"/>
        </w:rPr>
        <w:t>516</w:t>
      </w:r>
    </w:p>
    <w:p>
      <w:pPr>
        <w:spacing w:after="80"/>
        <w:ind w:left="360"/>
      </w:pPr>
      <w:r>
        <w:rPr>
          <w:b w:val="0"/>
          <w:i w:val="0"/>
        </w:rPr>
        <w:t>517</w:t>
      </w:r>
    </w:p>
    <w:p>
      <w:pPr>
        <w:spacing w:after="80"/>
        <w:ind w:left="360"/>
      </w:pPr>
      <w:r>
        <w:rPr>
          <w:b w:val="0"/>
          <w:i w:val="0"/>
        </w:rPr>
        <w:t>518</w:t>
      </w:r>
    </w:p>
    <w:p>
      <w:pPr>
        <w:spacing w:after="80"/>
        <w:ind w:left="360"/>
      </w:pPr>
      <w:r>
        <w:rPr>
          <w:b w:val="0"/>
          <w:i w:val="0"/>
        </w:rPr>
        <w:t>519</w:t>
      </w:r>
    </w:p>
    <w:p>
      <w:pPr>
        <w:spacing w:after="80"/>
        <w:ind w:left="360"/>
      </w:pPr>
      <w:r>
        <w:rPr>
          <w:b w:val="0"/>
          <w:i w:val="0"/>
        </w:rPr>
        <w:t>520</w:t>
      </w:r>
    </w:p>
    <w:p>
      <w:pPr>
        <w:spacing w:after="80"/>
        <w:ind w:left="360"/>
      </w:pPr>
      <w:r>
        <w:rPr>
          <w:b w:val="0"/>
          <w:i w:val="0"/>
        </w:rPr>
        <w:t>521</w:t>
      </w:r>
    </w:p>
    <w:p>
      <w:pPr>
        <w:spacing w:after="80"/>
        <w:ind w:left="360"/>
      </w:pPr>
      <w:r>
        <w:rPr>
          <w:b w:val="0"/>
          <w:i w:val="0"/>
        </w:rPr>
        <w:t>522</w:t>
      </w:r>
    </w:p>
    <w:p>
      <w:pPr>
        <w:spacing w:after="80"/>
        <w:ind w:left="360"/>
      </w:pPr>
      <w:r>
        <w:rPr>
          <w:b w:val="0"/>
          <w:i w:val="0"/>
        </w:rPr>
        <w:t>523</w:t>
      </w:r>
    </w:p>
    <w:p>
      <w:pPr>
        <w:spacing w:after="80"/>
        <w:ind w:left="360"/>
      </w:pPr>
      <w:r>
        <w:rPr>
          <w:b w:val="0"/>
          <w:i w:val="0"/>
        </w:rPr>
        <w:t>524</w:t>
      </w:r>
    </w:p>
    <w:p>
      <w:pPr>
        <w:spacing w:after="80"/>
        <w:ind w:left="360"/>
      </w:pPr>
      <w:r>
        <w:rPr>
          <w:b w:val="0"/>
          <w:i w:val="0"/>
        </w:rPr>
        <w:t>525</w:t>
      </w:r>
    </w:p>
    <w:p>
      <w:pPr>
        <w:spacing w:after="80"/>
        <w:ind w:left="360"/>
      </w:pPr>
      <w:r>
        <w:rPr>
          <w:b w:val="0"/>
          <w:i w:val="0"/>
        </w:rPr>
        <w:t>526</w:t>
      </w:r>
    </w:p>
    <w:p>
      <w:pPr>
        <w:spacing w:after="80"/>
        <w:ind w:left="360"/>
      </w:pPr>
      <w:r>
        <w:rPr>
          <w:b w:val="0"/>
          <w:i w:val="0"/>
        </w:rPr>
        <w:t>527</w:t>
      </w:r>
    </w:p>
    <w:p>
      <w:pPr>
        <w:spacing w:after="80"/>
        <w:ind w:left="360"/>
      </w:pPr>
      <w:r>
        <w:rPr>
          <w:b w:val="0"/>
          <w:i w:val="0"/>
        </w:rPr>
        <w:t>528</w:t>
      </w:r>
    </w:p>
    <w:p>
      <w:pPr>
        <w:spacing w:after="80"/>
        <w:ind w:left="360"/>
      </w:pPr>
      <w:r>
        <w:rPr>
          <w:b w:val="0"/>
          <w:i w:val="0"/>
        </w:rPr>
        <w:t>529</w:t>
      </w:r>
    </w:p>
    <w:p>
      <w:pPr>
        <w:spacing w:after="80"/>
        <w:ind w:left="360"/>
      </w:pPr>
      <w:r>
        <w:rPr>
          <w:b w:val="0"/>
          <w:i w:val="0"/>
        </w:rPr>
        <w:t>530</w:t>
      </w:r>
    </w:p>
    <w:p>
      <w:pPr>
        <w:spacing w:after="80"/>
        <w:ind w:left="360"/>
      </w:pPr>
      <w:r>
        <w:rPr>
          <w:b w:val="0"/>
          <w:i w:val="0"/>
        </w:rPr>
        <w:t>531</w:t>
      </w:r>
    </w:p>
    <w:p>
      <w:pPr>
        <w:spacing w:after="80"/>
        <w:ind w:left="360"/>
      </w:pPr>
      <w:r>
        <w:rPr>
          <w:b w:val="0"/>
          <w:i w:val="0"/>
        </w:rPr>
        <w:t>532</w:t>
      </w:r>
    </w:p>
    <w:p>
      <w:pPr>
        <w:spacing w:after="80"/>
        <w:ind w:left="360"/>
      </w:pPr>
      <w:r>
        <w:rPr>
          <w:b w:val="0"/>
          <w:i w:val="0"/>
        </w:rPr>
        <w:t>533</w:t>
      </w:r>
    </w:p>
    <w:p>
      <w:pPr>
        <w:spacing w:after="80"/>
        <w:ind w:left="360"/>
      </w:pPr>
      <w:r>
        <w:rPr>
          <w:b w:val="0"/>
          <w:i w:val="0"/>
        </w:rPr>
        <w:t>534</w:t>
      </w:r>
    </w:p>
    <w:p>
      <w:pPr>
        <w:spacing w:after="80"/>
        <w:ind w:left="360"/>
      </w:pPr>
      <w:r>
        <w:rPr>
          <w:b w:val="0"/>
          <w:i w:val="0"/>
        </w:rPr>
        <w:t>535</w:t>
      </w:r>
    </w:p>
    <w:p>
      <w:pPr>
        <w:spacing w:after="80"/>
        <w:ind w:left="360"/>
      </w:pPr>
      <w:r>
        <w:rPr>
          <w:b w:val="0"/>
          <w:i w:val="0"/>
        </w:rPr>
        <w:t>536</w:t>
      </w:r>
    </w:p>
    <w:p>
      <w:pPr>
        <w:spacing w:after="80"/>
        <w:ind w:left="360"/>
      </w:pPr>
      <w:r>
        <w:rPr>
          <w:b w:val="0"/>
          <w:i w:val="0"/>
        </w:rPr>
        <w:t>537</w:t>
      </w:r>
    </w:p>
    <w:p>
      <w:pPr>
        <w:spacing w:after="80"/>
        <w:ind w:left="360"/>
      </w:pPr>
      <w:r>
        <w:rPr>
          <w:b w:val="0"/>
          <w:i w:val="0"/>
        </w:rPr>
        <w:t>538</w:t>
      </w:r>
    </w:p>
    <w:p>
      <w:pPr>
        <w:spacing w:after="80"/>
        <w:ind w:left="360"/>
      </w:pPr>
      <w:r>
        <w:rPr>
          <w:b w:val="0"/>
          <w:i w:val="0"/>
        </w:rPr>
        <w:t>539</w:t>
      </w:r>
    </w:p>
    <w:p>
      <w:pPr>
        <w:spacing w:after="80"/>
        <w:ind w:left="360"/>
      </w:pPr>
      <w:r>
        <w:rPr>
          <w:b w:val="0"/>
          <w:i w:val="0"/>
        </w:rPr>
        <w:t>540</w:t>
      </w:r>
    </w:p>
    <w:p>
      <w:pPr>
        <w:spacing w:after="80"/>
        <w:ind w:left="360"/>
      </w:pPr>
      <w:r>
        <w:rPr>
          <w:b w:val="0"/>
          <w:i w:val="0"/>
        </w:rPr>
        <w:t>541</w:t>
      </w:r>
    </w:p>
    <w:p>
      <w:pPr>
        <w:spacing w:after="80"/>
        <w:ind w:left="360"/>
      </w:pPr>
      <w:r>
        <w:rPr>
          <w:b w:val="0"/>
          <w:i w:val="0"/>
        </w:rPr>
        <w:t>542</w:t>
      </w:r>
    </w:p>
    <w:p>
      <w:pPr>
        <w:spacing w:after="80"/>
        <w:ind w:left="360"/>
      </w:pPr>
      <w:r>
        <w:rPr>
          <w:b w:val="0"/>
          <w:i w:val="0"/>
        </w:rPr>
        <w:t>543</w:t>
      </w:r>
    </w:p>
    <w:p>
      <w:pPr>
        <w:spacing w:after="80"/>
        <w:ind w:left="360"/>
      </w:pPr>
      <w:r>
        <w:rPr>
          <w:b w:val="0"/>
          <w:i w:val="0"/>
        </w:rPr>
        <w:t>544</w:t>
      </w:r>
    </w:p>
    <w:p>
      <w:pPr>
        <w:spacing w:after="80"/>
        <w:ind w:left="360"/>
      </w:pPr>
      <w:r>
        <w:rPr>
          <w:b w:val="0"/>
          <w:i w:val="0"/>
        </w:rPr>
        <w:t>545</w:t>
      </w:r>
    </w:p>
    <w:p>
      <w:pPr>
        <w:spacing w:after="80"/>
        <w:ind w:left="360"/>
      </w:pPr>
      <w:r>
        <w:rPr>
          <w:b w:val="0"/>
          <w:i w:val="0"/>
        </w:rPr>
        <w:t>546</w:t>
      </w:r>
    </w:p>
    <w:p>
      <w:pPr>
        <w:spacing w:after="80"/>
        <w:ind w:left="360"/>
      </w:pPr>
      <w:r>
        <w:rPr>
          <w:b w:val="0"/>
          <w:i w:val="0"/>
        </w:rPr>
        <w:t>547</w:t>
      </w:r>
    </w:p>
    <w:p>
      <w:pPr>
        <w:spacing w:after="80"/>
        <w:ind w:left="360"/>
      </w:pPr>
      <w:r>
        <w:rPr>
          <w:b w:val="0"/>
          <w:i w:val="0"/>
        </w:rPr>
        <w:t>548</w:t>
      </w:r>
    </w:p>
    <w:p>
      <w:pPr>
        <w:spacing w:after="80"/>
        <w:ind w:left="360"/>
      </w:pPr>
      <w:r>
        <w:rPr>
          <w:b w:val="0"/>
          <w:i w:val="0"/>
        </w:rPr>
        <w:t>549</w:t>
      </w:r>
    </w:p>
    <w:p>
      <w:pPr>
        <w:spacing w:after="80"/>
        <w:ind w:left="360"/>
      </w:pPr>
      <w:r>
        <w:rPr>
          <w:b w:val="0"/>
          <w:i w:val="0"/>
        </w:rPr>
        <w:t>550</w:t>
      </w:r>
    </w:p>
    <w:p>
      <w:pPr>
        <w:spacing w:after="80"/>
        <w:ind w:left="360"/>
      </w:pPr>
      <w:r>
        <w:rPr>
          <w:b w:val="0"/>
          <w:i w:val="0"/>
        </w:rPr>
        <w:t>551</w:t>
      </w:r>
    </w:p>
    <w:p>
      <w:pPr>
        <w:spacing w:after="80"/>
        <w:ind w:left="360"/>
      </w:pPr>
      <w:r>
        <w:rPr>
          <w:b w:val="0"/>
          <w:i w:val="0"/>
        </w:rPr>
        <w:t>552</w:t>
      </w:r>
    </w:p>
    <w:p>
      <w:pPr>
        <w:spacing w:after="80"/>
        <w:ind w:left="360"/>
      </w:pPr>
      <w:r>
        <w:rPr>
          <w:b w:val="0"/>
          <w:i w:val="0"/>
        </w:rPr>
        <w:t>553</w:t>
      </w:r>
    </w:p>
    <w:p>
      <w:pPr>
        <w:spacing w:after="80"/>
        <w:ind w:left="360"/>
      </w:pPr>
      <w:r>
        <w:rPr>
          <w:b w:val="0"/>
          <w:i w:val="0"/>
        </w:rPr>
        <w:t>554</w:t>
      </w:r>
    </w:p>
    <w:p>
      <w:pPr>
        <w:spacing w:after="80"/>
        <w:ind w:left="360"/>
      </w:pPr>
      <w:r>
        <w:rPr>
          <w:b w:val="0"/>
          <w:i w:val="0"/>
        </w:rPr>
        <w:t>555</w:t>
      </w:r>
    </w:p>
    <w:p>
      <w:pPr>
        <w:spacing w:after="80"/>
        <w:ind w:left="360"/>
      </w:pPr>
      <w:r>
        <w:rPr>
          <w:b w:val="0"/>
          <w:i w:val="0"/>
        </w:rPr>
        <w:t>556</w:t>
      </w:r>
    </w:p>
    <w:p>
      <w:pPr>
        <w:spacing w:after="80"/>
        <w:ind w:left="360"/>
      </w:pPr>
      <w:r>
        <w:rPr>
          <w:b w:val="0"/>
          <w:i w:val="0"/>
        </w:rPr>
        <w:t>557</w:t>
      </w:r>
    </w:p>
    <w:p>
      <w:pPr>
        <w:spacing w:after="80"/>
        <w:ind w:left="360"/>
      </w:pPr>
      <w:r>
        <w:rPr>
          <w:b w:val="0"/>
          <w:i w:val="0"/>
        </w:rPr>
        <w:t>558</w:t>
      </w:r>
    </w:p>
    <w:p>
      <w:pPr>
        <w:spacing w:after="80"/>
        <w:ind w:left="360"/>
      </w:pPr>
      <w:r>
        <w:rPr>
          <w:b w:val="0"/>
          <w:i w:val="0"/>
        </w:rPr>
        <w:t>559</w:t>
      </w:r>
    </w:p>
    <w:p>
      <w:pPr>
        <w:spacing w:after="80"/>
        <w:ind w:left="360"/>
      </w:pPr>
      <w:r>
        <w:rPr>
          <w:b w:val="0"/>
          <w:i w:val="0"/>
        </w:rPr>
        <w:t>560</w:t>
      </w:r>
    </w:p>
    <w:p>
      <w:pPr>
        <w:spacing w:after="80"/>
        <w:ind w:left="360"/>
      </w:pPr>
      <w:r>
        <w:rPr>
          <w:b w:val="0"/>
          <w:i w:val="0"/>
        </w:rPr>
        <w:t>561</w:t>
      </w:r>
    </w:p>
    <w:p>
      <w:pPr>
        <w:spacing w:after="80"/>
        <w:ind w:left="360"/>
      </w:pPr>
      <w:r>
        <w:rPr>
          <w:b w:val="0"/>
          <w:i w:val="0"/>
        </w:rPr>
        <w:t>562</w:t>
      </w:r>
    </w:p>
    <w:p>
      <w:pPr>
        <w:spacing w:after="80"/>
        <w:ind w:left="360"/>
      </w:pPr>
      <w:r>
        <w:rPr>
          <w:b w:val="0"/>
          <w:i w:val="0"/>
        </w:rPr>
        <w:t>563</w:t>
      </w:r>
    </w:p>
    <w:p>
      <w:pPr>
        <w:spacing w:after="80"/>
        <w:ind w:left="360"/>
      </w:pPr>
      <w:r>
        <w:rPr>
          <w:b w:val="0"/>
          <w:i w:val="0"/>
        </w:rPr>
        <w:t>564</w:t>
      </w:r>
    </w:p>
    <w:p>
      <w:pPr>
        <w:spacing w:after="80"/>
        <w:ind w:left="360"/>
      </w:pPr>
      <w:r>
        <w:rPr>
          <w:b w:val="0"/>
          <w:i w:val="0"/>
        </w:rPr>
        <w:t>565</w:t>
      </w:r>
    </w:p>
    <w:p>
      <w:pPr>
        <w:spacing w:after="80"/>
        <w:ind w:left="360"/>
      </w:pPr>
      <w:r>
        <w:rPr>
          <w:b w:val="0"/>
          <w:i w:val="0"/>
        </w:rPr>
        <w:t>566</w:t>
      </w:r>
    </w:p>
    <w:p>
      <w:pPr>
        <w:spacing w:after="80"/>
        <w:ind w:left="360"/>
      </w:pPr>
      <w:r>
        <w:rPr>
          <w:b w:val="0"/>
          <w:i w:val="0"/>
        </w:rPr>
        <w:t>567</w:t>
      </w:r>
    </w:p>
    <w:p>
      <w:pPr>
        <w:spacing w:after="80"/>
        <w:ind w:left="360"/>
      </w:pPr>
      <w:r>
        <w:rPr>
          <w:b w:val="0"/>
          <w:i w:val="0"/>
        </w:rPr>
        <w:t>568</w:t>
      </w:r>
    </w:p>
    <w:p>
      <w:pPr>
        <w:spacing w:after="80"/>
        <w:ind w:left="360"/>
      </w:pPr>
      <w:r>
        <w:rPr>
          <w:b w:val="0"/>
          <w:i w:val="0"/>
        </w:rPr>
        <w:t>569</w:t>
      </w:r>
    </w:p>
    <w:p>
      <w:pPr>
        <w:spacing w:after="80"/>
        <w:ind w:left="360"/>
      </w:pPr>
      <w:r>
        <w:rPr>
          <w:b w:val="0"/>
          <w:i w:val="0"/>
        </w:rPr>
        <w:t>570</w:t>
      </w:r>
    </w:p>
    <w:p>
      <w:pPr>
        <w:spacing w:after="80"/>
        <w:ind w:left="360"/>
      </w:pPr>
      <w:r>
        <w:rPr>
          <w:b w:val="0"/>
          <w:i w:val="0"/>
        </w:rPr>
        <w:t>571</w:t>
      </w:r>
    </w:p>
    <w:p>
      <w:pPr>
        <w:spacing w:after="80"/>
        <w:ind w:left="360"/>
      </w:pPr>
      <w:r>
        <w:rPr>
          <w:b w:val="0"/>
          <w:i w:val="0"/>
        </w:rPr>
        <w:t>572</w:t>
      </w:r>
    </w:p>
    <w:p>
      <w:pPr>
        <w:spacing w:after="80"/>
        <w:ind w:left="360"/>
      </w:pPr>
      <w:r>
        <w:rPr>
          <w:b w:val="0"/>
          <w:i w:val="0"/>
        </w:rPr>
        <w:t>573</w:t>
      </w:r>
    </w:p>
    <w:p>
      <w:pPr>
        <w:spacing w:after="80"/>
        <w:ind w:left="360"/>
      </w:pPr>
      <w:r>
        <w:rPr>
          <w:b w:val="0"/>
          <w:i w:val="0"/>
        </w:rPr>
        <w:t>574</w:t>
      </w:r>
    </w:p>
    <w:p>
      <w:pPr>
        <w:spacing w:after="80"/>
        <w:ind w:left="360"/>
      </w:pPr>
      <w:r>
        <w:rPr>
          <w:b w:val="0"/>
          <w:i w:val="0"/>
        </w:rPr>
        <w:t>575</w:t>
      </w:r>
    </w:p>
    <w:p>
      <w:pPr>
        <w:spacing w:after="80"/>
        <w:ind w:left="360"/>
      </w:pPr>
      <w:r>
        <w:rPr>
          <w:b w:val="0"/>
          <w:i w:val="0"/>
        </w:rPr>
        <w:t>576</w:t>
      </w:r>
    </w:p>
    <w:p>
      <w:pPr>
        <w:spacing w:after="80"/>
        <w:ind w:left="360"/>
      </w:pPr>
      <w:r>
        <w:rPr>
          <w:b w:val="0"/>
          <w:i w:val="0"/>
        </w:rPr>
        <w:t>577</w:t>
      </w:r>
    </w:p>
    <w:p>
      <w:pPr>
        <w:spacing w:after="80"/>
        <w:ind w:left="360"/>
      </w:pPr>
      <w:r>
        <w:rPr>
          <w:b w:val="0"/>
          <w:i w:val="0"/>
        </w:rPr>
        <w:t>578</w:t>
      </w:r>
    </w:p>
    <w:p>
      <w:pPr>
        <w:spacing w:after="80"/>
        <w:ind w:left="360"/>
      </w:pPr>
      <w:r>
        <w:rPr>
          <w:b w:val="0"/>
          <w:i w:val="0"/>
        </w:rPr>
        <w:t>579</w:t>
      </w:r>
    </w:p>
    <w:p>
      <w:pPr>
        <w:spacing w:after="80"/>
        <w:ind w:left="360"/>
      </w:pPr>
      <w:r>
        <w:rPr>
          <w:b w:val="0"/>
          <w:i w:val="0"/>
        </w:rPr>
        <w:t>580</w:t>
      </w:r>
    </w:p>
    <w:p>
      <w:pPr>
        <w:spacing w:after="80"/>
        <w:ind w:left="360"/>
      </w:pPr>
      <w:r>
        <w:rPr>
          <w:b w:val="0"/>
          <w:i w:val="0"/>
        </w:rPr>
        <w:t>581</w:t>
      </w:r>
    </w:p>
    <w:p>
      <w:pPr>
        <w:spacing w:after="80"/>
        <w:ind w:left="360"/>
      </w:pPr>
      <w:r>
        <w:rPr>
          <w:b w:val="0"/>
          <w:i w:val="0"/>
        </w:rPr>
        <w:t>582</w:t>
      </w:r>
    </w:p>
    <w:p>
      <w:pPr>
        <w:spacing w:after="80"/>
        <w:ind w:left="360"/>
      </w:pPr>
      <w:r>
        <w:rPr>
          <w:b w:val="0"/>
          <w:i w:val="0"/>
        </w:rPr>
        <w:t>583</w:t>
      </w:r>
    </w:p>
    <w:p>
      <w:pPr>
        <w:spacing w:after="80"/>
        <w:ind w:left="360"/>
      </w:pPr>
      <w:r>
        <w:rPr>
          <w:b w:val="0"/>
          <w:i w:val="0"/>
        </w:rPr>
        <w:t>584</w:t>
      </w:r>
    </w:p>
    <w:p>
      <w:pPr>
        <w:spacing w:after="80"/>
        <w:ind w:left="360"/>
      </w:pPr>
      <w:r>
        <w:rPr>
          <w:b w:val="0"/>
          <w:i w:val="0"/>
        </w:rPr>
        <w:t>585</w:t>
      </w:r>
    </w:p>
    <w:p>
      <w:pPr>
        <w:spacing w:after="80"/>
        <w:ind w:left="360"/>
      </w:pPr>
      <w:r>
        <w:rPr>
          <w:b w:val="0"/>
          <w:i w:val="0"/>
        </w:rPr>
        <w:t>586</w:t>
      </w:r>
    </w:p>
    <w:p>
      <w:pPr>
        <w:spacing w:after="80"/>
        <w:ind w:left="360"/>
      </w:pPr>
      <w:r>
        <w:rPr>
          <w:b w:val="0"/>
          <w:i w:val="0"/>
        </w:rPr>
        <w:t>587</w:t>
      </w:r>
    </w:p>
    <w:p>
      <w:pPr>
        <w:spacing w:after="80"/>
        <w:ind w:left="360"/>
      </w:pPr>
      <w:r>
        <w:rPr>
          <w:b w:val="0"/>
          <w:i w:val="0"/>
        </w:rPr>
        <w:t>588</w:t>
      </w:r>
    </w:p>
    <w:p>
      <w:pPr>
        <w:spacing w:after="80"/>
        <w:ind w:left="360"/>
      </w:pPr>
      <w:r>
        <w:rPr>
          <w:b w:val="0"/>
          <w:i w:val="0"/>
        </w:rPr>
        <w:t>589</w:t>
      </w:r>
    </w:p>
    <w:p>
      <w:pPr>
        <w:spacing w:after="80"/>
        <w:ind w:left="360"/>
      </w:pPr>
      <w:r>
        <w:rPr>
          <w:b w:val="0"/>
          <w:i w:val="0"/>
        </w:rPr>
        <w:t>590</w:t>
      </w:r>
    </w:p>
    <w:p>
      <w:pPr>
        <w:spacing w:after="80"/>
        <w:ind w:left="360"/>
      </w:pPr>
      <w:r>
        <w:rPr>
          <w:b w:val="0"/>
          <w:i w:val="0"/>
        </w:rPr>
        <w:t>591</w:t>
      </w:r>
    </w:p>
    <w:p>
      <w:pPr>
        <w:spacing w:after="80"/>
        <w:ind w:left="360"/>
      </w:pPr>
      <w:r>
        <w:rPr>
          <w:b w:val="0"/>
          <w:i w:val="0"/>
        </w:rPr>
        <w:t>592</w:t>
      </w:r>
    </w:p>
    <w:p>
      <w:pPr>
        <w:spacing w:after="80"/>
        <w:ind w:left="360"/>
      </w:pPr>
      <w:r>
        <w:rPr>
          <w:b w:val="0"/>
          <w:i w:val="0"/>
        </w:rPr>
        <w:t>593</w:t>
      </w:r>
    </w:p>
    <w:p>
      <w:pPr>
        <w:spacing w:after="80"/>
        <w:ind w:left="360"/>
      </w:pPr>
      <w:r>
        <w:rPr>
          <w:b w:val="0"/>
          <w:i w:val="0"/>
        </w:rPr>
        <w:t>594</w:t>
      </w:r>
    </w:p>
    <w:p>
      <w:pPr>
        <w:spacing w:after="80"/>
        <w:ind w:left="360"/>
      </w:pPr>
      <w:r>
        <w:rPr>
          <w:b w:val="0"/>
          <w:i w:val="0"/>
        </w:rPr>
        <w:t>595</w:t>
      </w:r>
    </w:p>
    <w:p>
      <w:pPr>
        <w:spacing w:after="80"/>
        <w:ind w:left="360"/>
      </w:pPr>
      <w:r>
        <w:rPr>
          <w:b w:val="0"/>
          <w:i w:val="0"/>
        </w:rPr>
        <w:t>596</w:t>
      </w:r>
    </w:p>
    <w:p>
      <w:pPr>
        <w:spacing w:after="80"/>
        <w:ind w:left="360"/>
      </w:pPr>
      <w:r>
        <w:rPr>
          <w:b w:val="0"/>
          <w:i w:val="0"/>
        </w:rPr>
        <w:t>597</w:t>
      </w:r>
    </w:p>
    <w:p>
      <w:pPr>
        <w:spacing w:after="80"/>
        <w:ind w:left="360"/>
      </w:pPr>
      <w:r>
        <w:rPr>
          <w:b w:val="0"/>
          <w:i w:val="0"/>
        </w:rPr>
        <w:t>598</w:t>
      </w:r>
    </w:p>
    <w:p>
      <w:pPr>
        <w:spacing w:after="80"/>
        <w:ind w:left="360"/>
      </w:pPr>
      <w:r>
        <w:rPr>
          <w:b w:val="0"/>
          <w:i w:val="0"/>
        </w:rPr>
        <w:t>599</w:t>
      </w:r>
    </w:p>
    <w:p>
      <w:pPr>
        <w:spacing w:after="80"/>
        <w:ind w:left="360"/>
      </w:pPr>
      <w:r>
        <w:rPr>
          <w:b w:val="0"/>
          <w:i w:val="0"/>
        </w:rPr>
        <w:t>600</w:t>
      </w:r>
    </w:p>
    <w:p>
      <w:pPr>
        <w:spacing w:after="80"/>
        <w:ind w:left="360"/>
      </w:pPr>
      <w:r>
        <w:rPr>
          <w:b w:val="0"/>
          <w:i w:val="0"/>
        </w:rPr>
        <w:t>601</w:t>
      </w:r>
    </w:p>
    <w:p>
      <w:pPr>
        <w:spacing w:after="80"/>
        <w:ind w:left="360"/>
      </w:pPr>
      <w:r>
        <w:rPr>
          <w:b w:val="0"/>
          <w:i w:val="0"/>
        </w:rPr>
        <w:t>602</w:t>
      </w:r>
    </w:p>
    <w:p>
      <w:pPr>
        <w:spacing w:after="80"/>
        <w:ind w:left="360"/>
      </w:pPr>
      <w:r>
        <w:rPr>
          <w:b w:val="0"/>
          <w:i w:val="0"/>
        </w:rPr>
        <w:t>603</w:t>
      </w:r>
    </w:p>
    <w:p>
      <w:pPr>
        <w:spacing w:after="80"/>
        <w:ind w:left="360"/>
      </w:pPr>
      <w:r>
        <w:rPr>
          <w:b w:val="0"/>
          <w:i w:val="0"/>
        </w:rPr>
        <w:t>604</w:t>
      </w:r>
    </w:p>
    <w:p>
      <w:pPr>
        <w:spacing w:after="80"/>
        <w:ind w:left="360"/>
      </w:pPr>
      <w:r>
        <w:rPr>
          <w:b w:val="0"/>
          <w:i w:val="0"/>
        </w:rPr>
        <w:t>605</w:t>
      </w:r>
    </w:p>
    <w:p>
      <w:pPr>
        <w:spacing w:after="80"/>
        <w:ind w:left="360"/>
      </w:pPr>
      <w:r>
        <w:rPr>
          <w:b w:val="0"/>
          <w:i w:val="0"/>
        </w:rPr>
        <w:t>606</w:t>
      </w:r>
    </w:p>
    <w:p>
      <w:pPr>
        <w:spacing w:after="80"/>
        <w:ind w:left="360"/>
      </w:pPr>
      <w:r>
        <w:rPr>
          <w:b w:val="0"/>
          <w:i w:val="0"/>
        </w:rPr>
        <w:t>607</w:t>
      </w:r>
    </w:p>
    <w:p>
      <w:pPr>
        <w:spacing w:after="80"/>
        <w:ind w:left="360"/>
      </w:pPr>
      <w:r>
        <w:rPr>
          <w:b w:val="0"/>
          <w:i w:val="0"/>
        </w:rPr>
        <w:t>608</w:t>
      </w:r>
    </w:p>
    <w:p>
      <w:pPr>
        <w:spacing w:after="80"/>
        <w:ind w:left="360"/>
      </w:pPr>
      <w:r>
        <w:rPr>
          <w:b w:val="0"/>
          <w:i w:val="0"/>
        </w:rPr>
        <w:t>609</w:t>
      </w:r>
    </w:p>
    <w:p>
      <w:pPr>
        <w:spacing w:after="80"/>
        <w:ind w:left="360"/>
      </w:pPr>
      <w:r>
        <w:rPr>
          <w:b w:val="0"/>
          <w:i w:val="0"/>
        </w:rPr>
        <w:t>610</w:t>
      </w:r>
    </w:p>
    <w:p>
      <w:pPr>
        <w:spacing w:after="80"/>
        <w:ind w:left="360"/>
      </w:pPr>
      <w:r>
        <w:rPr>
          <w:b w:val="0"/>
          <w:i w:val="0"/>
        </w:rPr>
        <w:t>611</w:t>
      </w:r>
    </w:p>
    <w:p>
      <w:pPr>
        <w:spacing w:after="80"/>
        <w:ind w:left="360"/>
      </w:pPr>
      <w:r>
        <w:rPr>
          <w:b w:val="0"/>
          <w:i w:val="0"/>
        </w:rPr>
        <w:t>612</w:t>
      </w:r>
    </w:p>
    <w:p>
      <w:pPr>
        <w:spacing w:after="80"/>
        <w:ind w:left="360"/>
      </w:pPr>
      <w:r>
        <w:rPr>
          <w:b w:val="0"/>
          <w:i w:val="0"/>
        </w:rPr>
        <w:t>613</w:t>
      </w:r>
    </w:p>
    <w:p>
      <w:pPr>
        <w:spacing w:after="80"/>
        <w:ind w:left="360"/>
      </w:pPr>
      <w:r>
        <w:rPr>
          <w:b w:val="0"/>
          <w:i w:val="0"/>
        </w:rPr>
        <w:t>614</w:t>
      </w:r>
    </w:p>
    <w:p>
      <w:pPr>
        <w:spacing w:after="80"/>
        <w:ind w:left="360"/>
      </w:pPr>
      <w:r>
        <w:rPr>
          <w:b w:val="0"/>
          <w:i w:val="0"/>
        </w:rPr>
        <w:t>615</w:t>
      </w:r>
    </w:p>
    <w:p>
      <w:pPr>
        <w:spacing w:after="80"/>
        <w:ind w:left="360"/>
      </w:pPr>
      <w:r>
        <w:rPr>
          <w:b w:val="0"/>
          <w:i w:val="0"/>
        </w:rPr>
        <w:t>616</w:t>
      </w:r>
    </w:p>
    <w:p>
      <w:pPr>
        <w:spacing w:after="80"/>
        <w:ind w:left="360"/>
      </w:pPr>
      <w:r>
        <w:rPr>
          <w:b w:val="0"/>
          <w:i w:val="0"/>
        </w:rPr>
        <w:t>617</w:t>
      </w:r>
    </w:p>
    <w:p>
      <w:pPr>
        <w:spacing w:after="80"/>
        <w:ind w:left="360"/>
      </w:pPr>
      <w:r>
        <w:rPr>
          <w:b w:val="0"/>
          <w:i w:val="0"/>
        </w:rPr>
        <w:t>618</w:t>
      </w:r>
    </w:p>
    <w:p>
      <w:pPr>
        <w:spacing w:after="80"/>
        <w:ind w:left="360"/>
      </w:pPr>
      <w:r>
        <w:rPr>
          <w:b w:val="0"/>
          <w:i w:val="0"/>
        </w:rPr>
        <w:t>619</w:t>
      </w:r>
    </w:p>
    <w:p>
      <w:pPr>
        <w:spacing w:after="80"/>
        <w:ind w:left="360"/>
      </w:pPr>
      <w:r>
        <w:rPr>
          <w:b w:val="0"/>
          <w:i w:val="0"/>
        </w:rPr>
        <w:t>620</w:t>
      </w:r>
    </w:p>
    <w:p>
      <w:pPr>
        <w:spacing w:after="80"/>
        <w:ind w:left="360"/>
      </w:pPr>
      <w:r>
        <w:rPr>
          <w:b w:val="0"/>
          <w:i w:val="0"/>
        </w:rPr>
        <w:t>621</w:t>
      </w:r>
    </w:p>
    <w:p>
      <w:pPr>
        <w:spacing w:after="80"/>
        <w:ind w:left="360"/>
      </w:pPr>
      <w:r>
        <w:rPr>
          <w:b w:val="0"/>
          <w:i w:val="0"/>
        </w:rPr>
        <w:t>622</w:t>
      </w:r>
    </w:p>
    <w:p>
      <w:pPr>
        <w:spacing w:after="80"/>
        <w:ind w:left="360"/>
      </w:pPr>
      <w:r>
        <w:rPr>
          <w:b w:val="0"/>
          <w:i w:val="0"/>
        </w:rPr>
        <w:t>623</w:t>
      </w:r>
    </w:p>
    <w:p>
      <w:pPr>
        <w:spacing w:after="80"/>
        <w:ind w:left="360"/>
      </w:pPr>
      <w:r>
        <w:rPr>
          <w:b w:val="0"/>
          <w:i w:val="0"/>
        </w:rPr>
        <w:t>624</w:t>
      </w:r>
    </w:p>
    <w:p>
      <w:pPr>
        <w:spacing w:after="80"/>
        <w:ind w:left="360"/>
      </w:pPr>
      <w:r>
        <w:rPr>
          <w:b w:val="0"/>
          <w:i w:val="0"/>
        </w:rPr>
        <w:t>625</w:t>
      </w:r>
    </w:p>
    <w:p>
      <w:pPr>
        <w:spacing w:after="80"/>
        <w:ind w:left="360"/>
      </w:pPr>
      <w:r>
        <w:rPr>
          <w:b w:val="0"/>
          <w:i w:val="0"/>
        </w:rPr>
        <w:t>626</w:t>
      </w:r>
    </w:p>
    <w:p>
      <w:pPr>
        <w:spacing w:after="80"/>
        <w:ind w:left="360"/>
      </w:pPr>
      <w:r>
        <w:rPr>
          <w:b w:val="0"/>
          <w:i w:val="0"/>
        </w:rPr>
        <w:t>627</w:t>
      </w:r>
    </w:p>
    <w:p>
      <w:pPr>
        <w:spacing w:after="80"/>
        <w:ind w:left="360"/>
      </w:pPr>
      <w:r>
        <w:rPr>
          <w:b w:val="0"/>
          <w:i w:val="0"/>
        </w:rPr>
        <w:t>628</w:t>
      </w:r>
    </w:p>
    <w:p>
      <w:pPr>
        <w:spacing w:after="80"/>
        <w:ind w:left="360"/>
      </w:pPr>
      <w:r>
        <w:rPr>
          <w:b w:val="0"/>
          <w:i w:val="0"/>
        </w:rPr>
        <w:t>629</w:t>
      </w:r>
    </w:p>
    <w:p>
      <w:pPr>
        <w:spacing w:after="80"/>
        <w:ind w:left="360"/>
      </w:pPr>
      <w:r>
        <w:rPr>
          <w:b w:val="0"/>
          <w:i w:val="0"/>
        </w:rPr>
        <w:t>630</w:t>
      </w:r>
    </w:p>
    <w:p>
      <w:pPr>
        <w:spacing w:after="80"/>
        <w:ind w:left="360"/>
      </w:pPr>
      <w:r>
        <w:rPr>
          <w:b w:val="0"/>
          <w:i w:val="0"/>
        </w:rPr>
        <w:t>631</w:t>
      </w:r>
    </w:p>
    <w:p>
      <w:pPr>
        <w:spacing w:after="80"/>
        <w:ind w:left="360"/>
      </w:pPr>
      <w:r>
        <w:rPr>
          <w:b w:val="0"/>
          <w:i w:val="0"/>
        </w:rPr>
        <w:t>632</w:t>
      </w:r>
    </w:p>
    <w:p>
      <w:pPr>
        <w:spacing w:after="80"/>
        <w:ind w:left="360"/>
      </w:pPr>
      <w:r>
        <w:rPr>
          <w:b w:val="0"/>
          <w:i w:val="0"/>
        </w:rPr>
        <w:t>633</w:t>
      </w:r>
    </w:p>
    <w:p>
      <w:pPr>
        <w:spacing w:after="80"/>
        <w:ind w:left="360"/>
      </w:pPr>
      <w:r>
        <w:rPr>
          <w:b w:val="0"/>
          <w:i w:val="0"/>
        </w:rPr>
        <w:t>634</w:t>
      </w:r>
    </w:p>
    <w:p>
      <w:pPr>
        <w:spacing w:after="80"/>
        <w:ind w:left="360"/>
      </w:pPr>
      <w:r>
        <w:rPr>
          <w:b w:val="0"/>
          <w:i w:val="0"/>
        </w:rPr>
        <w:t>635</w:t>
      </w:r>
    </w:p>
    <w:p>
      <w:pPr>
        <w:spacing w:after="80"/>
        <w:ind w:left="360"/>
      </w:pPr>
      <w:r>
        <w:rPr>
          <w:b w:val="0"/>
          <w:i w:val="0"/>
        </w:rPr>
        <w:t>636</w:t>
      </w:r>
    </w:p>
    <w:p>
      <w:pPr>
        <w:spacing w:after="80"/>
        <w:ind w:left="360"/>
      </w:pPr>
      <w:r>
        <w:rPr>
          <w:b w:val="0"/>
          <w:i w:val="0"/>
        </w:rPr>
        <w:t>637</w:t>
      </w:r>
    </w:p>
    <w:p>
      <w:pPr>
        <w:spacing w:after="80"/>
        <w:ind w:left="360"/>
      </w:pPr>
      <w:r>
        <w:rPr>
          <w:b w:val="0"/>
          <w:i w:val="0"/>
        </w:rPr>
        <w:t>638</w:t>
      </w:r>
    </w:p>
    <w:p>
      <w:pPr>
        <w:spacing w:after="80"/>
        <w:ind w:left="360"/>
      </w:pPr>
      <w:r>
        <w:rPr>
          <w:b w:val="0"/>
          <w:i w:val="0"/>
        </w:rPr>
        <w:t>639</w:t>
      </w:r>
    </w:p>
    <w:p>
      <w:pPr>
        <w:spacing w:after="80"/>
        <w:ind w:left="360"/>
      </w:pPr>
      <w:r>
        <w:rPr>
          <w:b w:val="0"/>
          <w:i w:val="0"/>
        </w:rPr>
        <w:t>640</w:t>
      </w:r>
    </w:p>
    <w:p>
      <w:pPr>
        <w:spacing w:after="80"/>
        <w:ind w:left="360"/>
      </w:pPr>
      <w:r>
        <w:rPr>
          <w:b w:val="0"/>
          <w:i w:val="0"/>
        </w:rPr>
        <w:t>641</w:t>
      </w:r>
    </w:p>
    <w:p>
      <w:pPr>
        <w:spacing w:after="80"/>
        <w:ind w:left="360"/>
      </w:pPr>
      <w:r>
        <w:rPr>
          <w:b w:val="0"/>
          <w:i w:val="0"/>
        </w:rPr>
        <w:t>642</w:t>
      </w:r>
    </w:p>
    <w:p>
      <w:pPr>
        <w:spacing w:after="80"/>
        <w:ind w:left="360"/>
      </w:pPr>
      <w:r>
        <w:rPr>
          <w:b w:val="0"/>
          <w:i w:val="0"/>
        </w:rPr>
        <w:t>643</w:t>
      </w:r>
    </w:p>
    <w:p>
      <w:pPr>
        <w:spacing w:after="80"/>
        <w:ind w:left="360"/>
      </w:pPr>
      <w:r>
        <w:rPr>
          <w:b w:val="0"/>
          <w:i w:val="0"/>
        </w:rPr>
        <w:t>644</w:t>
      </w:r>
    </w:p>
    <w:p>
      <w:pPr>
        <w:spacing w:after="80"/>
        <w:ind w:left="360"/>
      </w:pPr>
      <w:r>
        <w:rPr>
          <w:b w:val="0"/>
          <w:i w:val="0"/>
        </w:rPr>
        <w:t>645</w:t>
      </w:r>
    </w:p>
    <w:p>
      <w:pPr>
        <w:spacing w:after="80"/>
        <w:ind w:left="360"/>
      </w:pPr>
      <w:r>
        <w:rPr>
          <w:b w:val="0"/>
          <w:i w:val="0"/>
        </w:rPr>
        <w:t>646</w:t>
      </w:r>
    </w:p>
    <w:p>
      <w:pPr>
        <w:spacing w:after="80"/>
        <w:ind w:left="360"/>
      </w:pPr>
      <w:r>
        <w:rPr>
          <w:b w:val="0"/>
          <w:i w:val="0"/>
        </w:rPr>
        <w:t>647</w:t>
      </w:r>
    </w:p>
    <w:p>
      <w:pPr>
        <w:spacing w:after="80"/>
        <w:ind w:left="360"/>
      </w:pPr>
      <w:r>
        <w:rPr>
          <w:b w:val="0"/>
          <w:i w:val="0"/>
        </w:rPr>
        <w:t>648</w:t>
      </w:r>
    </w:p>
    <w:p>
      <w:pPr>
        <w:spacing w:after="80"/>
        <w:ind w:left="360"/>
      </w:pPr>
      <w:r>
        <w:rPr>
          <w:b w:val="0"/>
          <w:i w:val="0"/>
        </w:rPr>
        <w:t>649</w:t>
      </w:r>
    </w:p>
    <w:p>
      <w:pPr>
        <w:spacing w:after="80"/>
        <w:ind w:left="360"/>
      </w:pPr>
      <w:r>
        <w:rPr>
          <w:b w:val="0"/>
          <w:i w:val="0"/>
        </w:rPr>
        <w:t>650</w:t>
      </w:r>
    </w:p>
    <w:p>
      <w:pPr>
        <w:spacing w:after="80"/>
        <w:ind w:left="360"/>
      </w:pPr>
      <w:r>
        <w:rPr>
          <w:b w:val="0"/>
          <w:i w:val="0"/>
        </w:rPr>
        <w:t>651</w:t>
      </w:r>
    </w:p>
    <w:p>
      <w:pPr>
        <w:spacing w:after="80"/>
        <w:ind w:left="360"/>
      </w:pPr>
      <w:r>
        <w:rPr>
          <w:b w:val="0"/>
          <w:i w:val="0"/>
        </w:rPr>
        <w:t>652</w:t>
      </w:r>
    </w:p>
    <w:p>
      <w:pPr>
        <w:spacing w:after="80"/>
        <w:ind w:left="360"/>
      </w:pPr>
      <w:r>
        <w:rPr>
          <w:b w:val="0"/>
          <w:i w:val="0"/>
        </w:rPr>
        <w:t>653</w:t>
      </w:r>
    </w:p>
    <w:p>
      <w:pPr>
        <w:spacing w:after="80"/>
        <w:ind w:left="360"/>
      </w:pPr>
      <w:r>
        <w:rPr>
          <w:b w:val="0"/>
          <w:i w:val="0"/>
        </w:rPr>
        <w:t>654</w:t>
      </w:r>
    </w:p>
    <w:p>
      <w:pPr>
        <w:spacing w:after="80"/>
        <w:ind w:left="360"/>
      </w:pPr>
      <w:r>
        <w:rPr>
          <w:b w:val="0"/>
          <w:i w:val="0"/>
        </w:rPr>
        <w:t>655</w:t>
      </w:r>
    </w:p>
    <w:p>
      <w:pPr>
        <w:spacing w:after="80"/>
        <w:ind w:left="360"/>
      </w:pPr>
      <w:r>
        <w:rPr>
          <w:b w:val="0"/>
          <w:i w:val="0"/>
        </w:rPr>
        <w:t>656</w:t>
      </w:r>
    </w:p>
    <w:p>
      <w:pPr>
        <w:spacing w:after="80"/>
        <w:ind w:left="360"/>
      </w:pPr>
      <w:r>
        <w:rPr>
          <w:b w:val="0"/>
          <w:i w:val="0"/>
        </w:rPr>
        <w:t>657</w:t>
      </w:r>
    </w:p>
    <w:p>
      <w:pPr>
        <w:spacing w:after="80"/>
        <w:ind w:left="360"/>
      </w:pPr>
      <w:r>
        <w:rPr>
          <w:b w:val="0"/>
          <w:i w:val="0"/>
        </w:rPr>
        <w:t>658</w:t>
      </w:r>
    </w:p>
    <w:p>
      <w:pPr>
        <w:spacing w:after="80"/>
        <w:ind w:left="360"/>
      </w:pPr>
      <w:r>
        <w:rPr>
          <w:b w:val="0"/>
          <w:i w:val="0"/>
        </w:rPr>
        <w:t>659</w:t>
      </w:r>
    </w:p>
    <w:p>
      <w:pPr>
        <w:spacing w:after="80"/>
        <w:ind w:left="360"/>
      </w:pPr>
      <w:r>
        <w:rPr>
          <w:b w:val="0"/>
          <w:i w:val="0"/>
        </w:rPr>
        <w:t>660</w:t>
      </w:r>
    </w:p>
    <w:p>
      <w:pPr>
        <w:spacing w:after="80"/>
        <w:ind w:left="360"/>
      </w:pPr>
      <w:r>
        <w:rPr>
          <w:b w:val="0"/>
          <w:i w:val="0"/>
        </w:rPr>
        <w:t>661</w:t>
      </w:r>
    </w:p>
    <w:p>
      <w:pPr>
        <w:spacing w:after="80"/>
        <w:ind w:left="360"/>
      </w:pPr>
      <w:r>
        <w:rPr>
          <w:b w:val="0"/>
          <w:i w:val="0"/>
        </w:rPr>
        <w:t>662</w:t>
      </w:r>
    </w:p>
    <w:p>
      <w:pPr>
        <w:spacing w:after="80"/>
        <w:ind w:left="360"/>
      </w:pPr>
      <w:r>
        <w:rPr>
          <w:b w:val="0"/>
          <w:i w:val="0"/>
        </w:rPr>
        <w:t>663</w:t>
      </w:r>
    </w:p>
    <w:p>
      <w:pPr>
        <w:spacing w:after="80"/>
        <w:ind w:left="360"/>
      </w:pPr>
      <w:r>
        <w:rPr>
          <w:b w:val="0"/>
          <w:i w:val="0"/>
        </w:rPr>
        <w:t>664</w:t>
      </w:r>
    </w:p>
    <w:p>
      <w:pPr>
        <w:spacing w:after="80"/>
        <w:ind w:left="360"/>
      </w:pPr>
      <w:r>
        <w:rPr>
          <w:b w:val="0"/>
          <w:i w:val="0"/>
        </w:rPr>
        <w:t>665</w:t>
      </w:r>
    </w:p>
    <w:p>
      <w:pPr>
        <w:spacing w:after="80"/>
        <w:ind w:left="360"/>
      </w:pPr>
      <w:r>
        <w:rPr>
          <w:b w:val="0"/>
          <w:i w:val="0"/>
        </w:rPr>
        <w:t>666</w:t>
      </w:r>
    </w:p>
    <w:p>
      <w:pPr>
        <w:spacing w:after="80"/>
        <w:ind w:left="360"/>
      </w:pPr>
      <w:r>
        <w:rPr>
          <w:b w:val="0"/>
          <w:i w:val="0"/>
        </w:rPr>
        <w:t>667</w:t>
      </w:r>
    </w:p>
    <w:p>
      <w:pPr>
        <w:spacing w:after="80"/>
        <w:ind w:left="360"/>
      </w:pPr>
      <w:r>
        <w:rPr>
          <w:b w:val="0"/>
          <w:i w:val="0"/>
        </w:rPr>
        <w:t>668</w:t>
      </w:r>
    </w:p>
    <w:p>
      <w:pPr>
        <w:spacing w:after="80"/>
        <w:ind w:left="360"/>
      </w:pPr>
      <w:r>
        <w:rPr>
          <w:b w:val="0"/>
          <w:i w:val="0"/>
        </w:rPr>
        <w:t>669</w:t>
      </w:r>
    </w:p>
    <w:p>
      <w:pPr>
        <w:spacing w:after="80"/>
        <w:ind w:left="360"/>
      </w:pPr>
      <w:r>
        <w:rPr>
          <w:b w:val="0"/>
          <w:i w:val="0"/>
        </w:rPr>
        <w:t>670</w:t>
      </w:r>
    </w:p>
    <w:p>
      <w:pPr>
        <w:spacing w:after="80"/>
        <w:ind w:left="360"/>
      </w:pPr>
      <w:r>
        <w:rPr>
          <w:b w:val="0"/>
          <w:i w:val="0"/>
        </w:rPr>
        <w:t>671</w:t>
      </w:r>
    </w:p>
    <w:p>
      <w:pPr>
        <w:spacing w:after="80"/>
        <w:ind w:left="360"/>
      </w:pPr>
      <w:r>
        <w:rPr>
          <w:b w:val="0"/>
          <w:i w:val="0"/>
        </w:rPr>
        <w:t>672</w:t>
      </w:r>
    </w:p>
    <w:p>
      <w:pPr>
        <w:spacing w:after="80"/>
        <w:ind w:left="360"/>
      </w:pPr>
      <w:r>
        <w:rPr>
          <w:b w:val="0"/>
          <w:i w:val="0"/>
        </w:rPr>
        <w:t>673</w:t>
      </w:r>
    </w:p>
    <w:p>
      <w:pPr>
        <w:spacing w:after="80"/>
        <w:ind w:left="360"/>
      </w:pPr>
      <w:r>
        <w:rPr>
          <w:b w:val="0"/>
          <w:i w:val="0"/>
        </w:rPr>
        <w:t>674</w:t>
      </w:r>
    </w:p>
    <w:p>
      <w:pPr>
        <w:spacing w:after="80"/>
        <w:ind w:left="360"/>
      </w:pPr>
      <w:r>
        <w:rPr>
          <w:b w:val="0"/>
          <w:i w:val="0"/>
        </w:rPr>
        <w:t>675</w:t>
      </w:r>
    </w:p>
    <w:p>
      <w:pPr>
        <w:spacing w:after="80"/>
        <w:ind w:left="360"/>
      </w:pPr>
      <w:r>
        <w:rPr>
          <w:b w:val="0"/>
          <w:i w:val="0"/>
        </w:rPr>
        <w:t>676</w:t>
      </w:r>
    </w:p>
    <w:p>
      <w:pPr>
        <w:spacing w:after="80"/>
        <w:ind w:left="360"/>
      </w:pPr>
      <w:r>
        <w:rPr>
          <w:b w:val="0"/>
          <w:i w:val="0"/>
        </w:rPr>
        <w:t>677</w:t>
      </w:r>
    </w:p>
    <w:p>
      <w:pPr>
        <w:spacing w:after="80"/>
        <w:ind w:left="360"/>
      </w:pPr>
      <w:r>
        <w:rPr>
          <w:b w:val="0"/>
          <w:i w:val="0"/>
        </w:rPr>
        <w:t>678</w:t>
      </w:r>
    </w:p>
    <w:p>
      <w:pPr>
        <w:spacing w:after="80"/>
        <w:ind w:left="360"/>
      </w:pPr>
      <w:r>
        <w:rPr>
          <w:b w:val="0"/>
          <w:i w:val="0"/>
        </w:rPr>
        <w:t>679</w:t>
      </w:r>
    </w:p>
    <w:p>
      <w:pPr>
        <w:spacing w:after="80"/>
        <w:ind w:left="360"/>
      </w:pPr>
      <w:r>
        <w:rPr>
          <w:b w:val="0"/>
          <w:i w:val="0"/>
        </w:rPr>
        <w:t>680</w:t>
      </w:r>
    </w:p>
    <w:p>
      <w:pPr>
        <w:spacing w:after="80"/>
        <w:ind w:left="360"/>
      </w:pPr>
      <w:r>
        <w:rPr>
          <w:b w:val="0"/>
          <w:i w:val="0"/>
        </w:rPr>
        <w:t>681</w:t>
      </w:r>
    </w:p>
    <w:p>
      <w:pPr>
        <w:spacing w:after="80"/>
        <w:ind w:left="360"/>
      </w:pPr>
      <w:r>
        <w:rPr>
          <w:b w:val="0"/>
          <w:i w:val="0"/>
        </w:rPr>
        <w:t>682</w:t>
      </w:r>
    </w:p>
    <w:p>
      <w:pPr>
        <w:spacing w:after="80"/>
        <w:ind w:left="360"/>
      </w:pPr>
      <w:r>
        <w:rPr>
          <w:b w:val="0"/>
          <w:i w:val="0"/>
        </w:rPr>
        <w:t>683</w:t>
      </w:r>
    </w:p>
    <w:p>
      <w:pPr>
        <w:spacing w:after="80"/>
        <w:ind w:left="360"/>
      </w:pPr>
      <w:r>
        <w:rPr>
          <w:b w:val="0"/>
          <w:i w:val="0"/>
        </w:rPr>
        <w:t>684</w:t>
      </w:r>
    </w:p>
    <w:p>
      <w:pPr>
        <w:spacing w:after="80"/>
        <w:ind w:left="360"/>
      </w:pPr>
      <w:r>
        <w:rPr>
          <w:b w:val="0"/>
          <w:i w:val="0"/>
        </w:rPr>
        <w:t>685</w:t>
      </w:r>
    </w:p>
    <w:p>
      <w:pPr>
        <w:spacing w:after="80"/>
        <w:ind w:left="360"/>
      </w:pPr>
      <w:r>
        <w:rPr>
          <w:b w:val="0"/>
          <w:i w:val="0"/>
        </w:rPr>
        <w:t>686</w:t>
      </w:r>
    </w:p>
    <w:p>
      <w:pPr>
        <w:spacing w:after="80"/>
        <w:ind w:left="360"/>
      </w:pPr>
      <w:r>
        <w:rPr>
          <w:b w:val="0"/>
          <w:i w:val="0"/>
        </w:rPr>
        <w:t>687</w:t>
      </w:r>
    </w:p>
    <w:p>
      <w:pPr>
        <w:spacing w:after="80"/>
        <w:ind w:left="360"/>
      </w:pPr>
      <w:r>
        <w:rPr>
          <w:b w:val="0"/>
          <w:i w:val="0"/>
        </w:rPr>
        <w:t>688</w:t>
      </w:r>
    </w:p>
    <w:p>
      <w:pPr>
        <w:spacing w:after="80"/>
        <w:ind w:left="360"/>
      </w:pPr>
      <w:r>
        <w:rPr>
          <w:b w:val="0"/>
          <w:i w:val="0"/>
        </w:rPr>
        <w:t>689</w:t>
      </w:r>
    </w:p>
    <w:p>
      <w:pPr>
        <w:spacing w:after="80"/>
        <w:ind w:left="360"/>
      </w:pPr>
      <w:r>
        <w:rPr>
          <w:b w:val="0"/>
          <w:i w:val="0"/>
        </w:rPr>
        <w:t>690</w:t>
      </w:r>
    </w:p>
    <w:p>
      <w:pPr>
        <w:spacing w:after="80"/>
        <w:ind w:left="360"/>
      </w:pPr>
      <w:r>
        <w:rPr>
          <w:b w:val="0"/>
          <w:i w:val="0"/>
        </w:rPr>
        <w:t>691</w:t>
      </w:r>
    </w:p>
    <w:p>
      <w:pPr>
        <w:spacing w:after="80"/>
        <w:ind w:left="360"/>
      </w:pPr>
      <w:r>
        <w:rPr>
          <w:b w:val="0"/>
          <w:i w:val="0"/>
        </w:rPr>
        <w:t>692</w:t>
      </w:r>
    </w:p>
    <w:p>
      <w:pPr>
        <w:spacing w:after="80"/>
        <w:ind w:left="360"/>
      </w:pPr>
      <w:r>
        <w:rPr>
          <w:b w:val="0"/>
          <w:i w:val="0"/>
        </w:rPr>
        <w:t>693</w:t>
      </w:r>
    </w:p>
    <w:p>
      <w:pPr>
        <w:spacing w:after="80"/>
        <w:ind w:left="360"/>
      </w:pPr>
      <w:r>
        <w:rPr>
          <w:b w:val="0"/>
          <w:i w:val="0"/>
        </w:rPr>
        <w:t>694</w:t>
      </w:r>
    </w:p>
    <w:p>
      <w:pPr>
        <w:spacing w:after="80"/>
        <w:ind w:left="360"/>
      </w:pPr>
      <w:r>
        <w:rPr>
          <w:b w:val="0"/>
          <w:i w:val="0"/>
        </w:rPr>
        <w:t>695</w:t>
      </w:r>
    </w:p>
    <w:p>
      <w:pPr>
        <w:spacing w:after="80"/>
        <w:ind w:left="360"/>
      </w:pPr>
      <w:r>
        <w:rPr>
          <w:b w:val="0"/>
          <w:i w:val="0"/>
        </w:rPr>
        <w:t>696</w:t>
      </w:r>
    </w:p>
    <w:p>
      <w:pPr>
        <w:spacing w:after="80"/>
        <w:ind w:left="360"/>
      </w:pPr>
      <w:r>
        <w:rPr>
          <w:b w:val="0"/>
          <w:i w:val="0"/>
        </w:rPr>
        <w:t>697</w:t>
      </w:r>
    </w:p>
    <w:p>
      <w:pPr>
        <w:spacing w:after="80"/>
        <w:ind w:left="360"/>
      </w:pPr>
      <w:r>
        <w:rPr>
          <w:b w:val="0"/>
          <w:i w:val="0"/>
        </w:rPr>
        <w:t>698</w:t>
      </w:r>
    </w:p>
    <w:p>
      <w:pPr>
        <w:spacing w:after="80"/>
        <w:ind w:left="360"/>
      </w:pPr>
      <w:r>
        <w:rPr>
          <w:b w:val="0"/>
          <w:i w:val="0"/>
        </w:rPr>
        <w:t>699</w:t>
      </w:r>
    </w:p>
    <w:p>
      <w:pPr>
        <w:spacing w:after="80"/>
        <w:ind w:left="360"/>
      </w:pPr>
      <w:r>
        <w:rPr>
          <w:b w:val="0"/>
          <w:i w:val="0"/>
        </w:rPr>
        <w:t>700</w:t>
      </w:r>
    </w:p>
    <w:p>
      <w:pPr>
        <w:spacing w:after="80"/>
        <w:ind w:left="360"/>
      </w:pPr>
      <w:r>
        <w:rPr>
          <w:b w:val="0"/>
          <w:i w:val="0"/>
        </w:rPr>
        <w:t>701</w:t>
      </w:r>
    </w:p>
    <w:p>
      <w:pPr>
        <w:spacing w:after="80"/>
        <w:ind w:left="360"/>
      </w:pPr>
      <w:r>
        <w:rPr>
          <w:b w:val="0"/>
          <w:i w:val="0"/>
        </w:rPr>
        <w:t>702</w:t>
      </w:r>
    </w:p>
    <w:p>
      <w:pPr>
        <w:spacing w:after="80"/>
        <w:ind w:left="360"/>
      </w:pPr>
      <w:r>
        <w:rPr>
          <w:b w:val="0"/>
          <w:i w:val="0"/>
        </w:rPr>
        <w:t>703</w:t>
      </w:r>
    </w:p>
    <w:p>
      <w:pPr>
        <w:spacing w:after="80"/>
        <w:ind w:left="360"/>
      </w:pPr>
      <w:r>
        <w:rPr>
          <w:b w:val="0"/>
          <w:i w:val="0"/>
        </w:rPr>
        <w:t>704</w:t>
      </w:r>
    </w:p>
    <w:p>
      <w:pPr>
        <w:spacing w:after="80"/>
        <w:ind w:left="360"/>
      </w:pPr>
      <w:r>
        <w:rPr>
          <w:b w:val="0"/>
          <w:i w:val="0"/>
        </w:rPr>
        <w:t>705</w:t>
      </w:r>
    </w:p>
    <w:p>
      <w:pPr>
        <w:spacing w:after="80"/>
        <w:ind w:left="360"/>
      </w:pPr>
      <w:r>
        <w:rPr>
          <w:b w:val="0"/>
          <w:i w:val="0"/>
        </w:rPr>
        <w:t>706</w:t>
      </w:r>
    </w:p>
    <w:p>
      <w:pPr>
        <w:spacing w:after="80"/>
        <w:ind w:left="360"/>
      </w:pPr>
      <w:r>
        <w:rPr>
          <w:b w:val="0"/>
          <w:i w:val="0"/>
        </w:rPr>
        <w:t>707</w:t>
      </w:r>
    </w:p>
    <w:p>
      <w:pPr>
        <w:spacing w:after="80"/>
        <w:ind w:left="360"/>
      </w:pPr>
      <w:r>
        <w:rPr>
          <w:b w:val="0"/>
          <w:i w:val="0"/>
        </w:rPr>
        <w:t>708</w:t>
      </w:r>
    </w:p>
    <w:p>
      <w:pPr>
        <w:spacing w:after="80"/>
        <w:ind w:left="360"/>
      </w:pPr>
      <w:r>
        <w:rPr>
          <w:b w:val="0"/>
          <w:i w:val="0"/>
        </w:rPr>
        <w:t>709</w:t>
      </w:r>
    </w:p>
    <w:p>
      <w:pPr>
        <w:spacing w:after="80"/>
        <w:ind w:left="360"/>
      </w:pPr>
      <w:r>
        <w:rPr>
          <w:b w:val="0"/>
          <w:i w:val="0"/>
        </w:rPr>
        <w:t>710</w:t>
      </w:r>
    </w:p>
    <w:p>
      <w:pPr>
        <w:spacing w:after="80"/>
        <w:ind w:left="360"/>
      </w:pPr>
      <w:r>
        <w:rPr>
          <w:b w:val="0"/>
          <w:i w:val="0"/>
        </w:rPr>
        <w:t>711</w:t>
      </w:r>
    </w:p>
    <w:p>
      <w:pPr>
        <w:spacing w:after="80"/>
        <w:ind w:left="360"/>
      </w:pPr>
      <w:r>
        <w:rPr>
          <w:b w:val="0"/>
          <w:i w:val="0"/>
        </w:rPr>
        <w:t>712</w:t>
      </w:r>
    </w:p>
    <w:p>
      <w:pPr>
        <w:spacing w:after="80"/>
        <w:ind w:left="360"/>
      </w:pPr>
      <w:r>
        <w:rPr>
          <w:b w:val="0"/>
          <w:i w:val="0"/>
        </w:rPr>
        <w:t>713</w:t>
      </w:r>
    </w:p>
    <w:p>
      <w:pPr>
        <w:spacing w:after="80"/>
        <w:ind w:left="360"/>
      </w:pPr>
      <w:r>
        <w:rPr>
          <w:b w:val="0"/>
          <w:i w:val="0"/>
        </w:rPr>
        <w:t>714</w:t>
      </w:r>
    </w:p>
    <w:p>
      <w:pPr>
        <w:spacing w:after="80"/>
        <w:ind w:left="360"/>
      </w:pPr>
      <w:r>
        <w:rPr>
          <w:b w:val="0"/>
          <w:i w:val="0"/>
        </w:rPr>
        <w:t>715</w:t>
      </w:r>
    </w:p>
    <w:p>
      <w:pPr>
        <w:spacing w:after="80"/>
        <w:ind w:left="360"/>
      </w:pPr>
      <w:r>
        <w:rPr>
          <w:b w:val="0"/>
          <w:i w:val="0"/>
        </w:rPr>
        <w:t>716</w:t>
      </w:r>
    </w:p>
    <w:p>
      <w:pPr>
        <w:spacing w:after="80"/>
        <w:ind w:left="360"/>
      </w:pPr>
      <w:r>
        <w:rPr>
          <w:b w:val="0"/>
          <w:i w:val="0"/>
        </w:rPr>
        <w:t>717</w:t>
      </w:r>
    </w:p>
    <w:p>
      <w:pPr>
        <w:spacing w:after="80"/>
        <w:ind w:left="360"/>
      </w:pPr>
      <w:r>
        <w:rPr>
          <w:b w:val="0"/>
          <w:i w:val="0"/>
        </w:rPr>
        <w:t>718</w:t>
      </w:r>
    </w:p>
    <w:p>
      <w:pPr>
        <w:spacing w:after="80"/>
        <w:ind w:left="360"/>
      </w:pPr>
      <w:r>
        <w:rPr>
          <w:b w:val="0"/>
          <w:i w:val="0"/>
        </w:rPr>
        <w:t>719</w:t>
      </w:r>
    </w:p>
    <w:p>
      <w:pPr>
        <w:spacing w:after="80"/>
        <w:ind w:left="360"/>
      </w:pPr>
      <w:r>
        <w:rPr>
          <w:b w:val="0"/>
          <w:i w:val="0"/>
        </w:rPr>
        <w:t>720</w:t>
      </w:r>
    </w:p>
    <w:p>
      <w:pPr>
        <w:spacing w:after="80"/>
        <w:ind w:left="360"/>
      </w:pPr>
      <w:r>
        <w:rPr>
          <w:b w:val="0"/>
          <w:i w:val="0"/>
        </w:rPr>
        <w:t>721</w:t>
      </w:r>
    </w:p>
    <w:p>
      <w:pPr>
        <w:spacing w:after="80"/>
        <w:ind w:left="360"/>
      </w:pPr>
      <w:r>
        <w:rPr>
          <w:b w:val="0"/>
          <w:i w:val="0"/>
        </w:rPr>
        <w:t>722</w:t>
      </w:r>
    </w:p>
    <w:p>
      <w:pPr>
        <w:spacing w:after="80"/>
        <w:ind w:left="360"/>
      </w:pPr>
      <w:r>
        <w:rPr>
          <w:b w:val="0"/>
          <w:i w:val="0"/>
        </w:rPr>
        <w:t>723</w:t>
      </w:r>
    </w:p>
    <w:p>
      <w:pPr>
        <w:spacing w:after="80"/>
        <w:ind w:left="360"/>
      </w:pPr>
      <w:r>
        <w:rPr>
          <w:b w:val="0"/>
          <w:i w:val="0"/>
        </w:rPr>
        <w:t>724</w:t>
      </w:r>
    </w:p>
    <w:p>
      <w:pPr>
        <w:spacing w:after="80"/>
        <w:ind w:left="360"/>
      </w:pPr>
      <w:r>
        <w:rPr>
          <w:b w:val="0"/>
          <w:i w:val="0"/>
        </w:rPr>
        <w:t>725</w:t>
      </w:r>
    </w:p>
    <w:p>
      <w:pPr>
        <w:spacing w:after="80"/>
        <w:ind w:left="360"/>
      </w:pPr>
      <w:r>
        <w:rPr>
          <w:b w:val="0"/>
          <w:i w:val="0"/>
        </w:rPr>
        <w:t>726</w:t>
      </w:r>
    </w:p>
    <w:p>
      <w:pPr>
        <w:spacing w:after="80"/>
        <w:ind w:left="360"/>
      </w:pPr>
      <w:r>
        <w:rPr>
          <w:b w:val="0"/>
          <w:i w:val="0"/>
        </w:rPr>
        <w:t>727</w:t>
      </w:r>
    </w:p>
    <w:p>
      <w:pPr>
        <w:spacing w:after="80"/>
        <w:ind w:left="360"/>
      </w:pPr>
      <w:r>
        <w:rPr>
          <w:b w:val="0"/>
          <w:i w:val="0"/>
        </w:rPr>
        <w:t>728</w:t>
      </w:r>
    </w:p>
    <w:p>
      <w:pPr>
        <w:spacing w:after="80"/>
        <w:ind w:left="360"/>
      </w:pPr>
      <w:r>
        <w:rPr>
          <w:b w:val="0"/>
          <w:i w:val="0"/>
        </w:rPr>
        <w:t>729</w:t>
      </w:r>
    </w:p>
    <w:p>
      <w:pPr>
        <w:spacing w:after="80"/>
        <w:ind w:left="360"/>
      </w:pPr>
      <w:r>
        <w:rPr>
          <w:b w:val="0"/>
          <w:i w:val="0"/>
        </w:rPr>
        <w:t>730</w:t>
      </w:r>
    </w:p>
    <w:p>
      <w:pPr>
        <w:spacing w:after="80"/>
        <w:ind w:left="360"/>
      </w:pPr>
      <w:r>
        <w:rPr>
          <w:b w:val="0"/>
          <w:i w:val="0"/>
        </w:rPr>
        <w:t>731</w:t>
      </w:r>
    </w:p>
    <w:p>
      <w:pPr>
        <w:spacing w:after="80"/>
        <w:ind w:left="360"/>
      </w:pPr>
      <w:r>
        <w:rPr>
          <w:b w:val="0"/>
          <w:i w:val="0"/>
        </w:rPr>
        <w:t>732</w:t>
      </w:r>
    </w:p>
    <w:p>
      <w:pPr>
        <w:spacing w:after="80"/>
        <w:ind w:left="360"/>
      </w:pPr>
      <w:r>
        <w:rPr>
          <w:b w:val="0"/>
          <w:i w:val="0"/>
        </w:rPr>
        <w:t>733</w:t>
      </w:r>
    </w:p>
    <w:p>
      <w:pPr>
        <w:spacing w:after="80"/>
        <w:ind w:left="360"/>
      </w:pPr>
      <w:r>
        <w:rPr>
          <w:b w:val="0"/>
          <w:i w:val="0"/>
        </w:rPr>
        <w:t>734</w:t>
      </w:r>
    </w:p>
    <w:p>
      <w:pPr>
        <w:spacing w:after="80"/>
        <w:ind w:left="360"/>
      </w:pPr>
      <w:r>
        <w:rPr>
          <w:b w:val="0"/>
          <w:i w:val="0"/>
        </w:rPr>
        <w:t>735</w:t>
      </w:r>
    </w:p>
    <w:p>
      <w:pPr>
        <w:spacing w:after="80"/>
        <w:ind w:left="360"/>
      </w:pPr>
      <w:r>
        <w:rPr>
          <w:b w:val="0"/>
          <w:i w:val="0"/>
        </w:rPr>
        <w:t>736</w:t>
      </w:r>
    </w:p>
    <w:p>
      <w:pPr>
        <w:spacing w:after="80"/>
        <w:ind w:left="360"/>
      </w:pPr>
      <w:r>
        <w:rPr>
          <w:b w:val="0"/>
          <w:i w:val="0"/>
        </w:rPr>
        <w:t>737</w:t>
      </w:r>
    </w:p>
    <w:p>
      <w:pPr>
        <w:spacing w:after="80"/>
        <w:ind w:left="360"/>
      </w:pPr>
      <w:r>
        <w:rPr>
          <w:b w:val="0"/>
          <w:i w:val="0"/>
        </w:rPr>
        <w:t>738</w:t>
      </w:r>
    </w:p>
    <w:p>
      <w:pPr>
        <w:spacing w:after="80"/>
        <w:ind w:left="360"/>
      </w:pPr>
      <w:r>
        <w:rPr>
          <w:b w:val="0"/>
          <w:i w:val="0"/>
        </w:rPr>
        <w:t>739</w:t>
      </w:r>
    </w:p>
    <w:p>
      <w:pPr>
        <w:spacing w:after="80"/>
        <w:ind w:left="360"/>
      </w:pPr>
      <w:r>
        <w:rPr>
          <w:b w:val="0"/>
          <w:i w:val="0"/>
        </w:rPr>
        <w:t>740</w:t>
      </w:r>
    </w:p>
    <w:p>
      <w:pPr>
        <w:spacing w:after="80"/>
        <w:ind w:left="360"/>
      </w:pPr>
      <w:r>
        <w:rPr>
          <w:b w:val="0"/>
          <w:i w:val="0"/>
        </w:rPr>
        <w:t>741</w:t>
      </w:r>
    </w:p>
    <w:p>
      <w:pPr>
        <w:spacing w:after="80"/>
        <w:ind w:left="360"/>
      </w:pPr>
      <w:r>
        <w:rPr>
          <w:b w:val="0"/>
          <w:i w:val="0"/>
        </w:rPr>
        <w:t>742</w:t>
      </w:r>
    </w:p>
    <w:p>
      <w:pPr>
        <w:spacing w:after="80"/>
        <w:ind w:left="360"/>
      </w:pPr>
      <w:r>
        <w:rPr>
          <w:b w:val="0"/>
          <w:i w:val="0"/>
        </w:rPr>
        <w:t>743</w:t>
      </w:r>
    </w:p>
    <w:p>
      <w:pPr>
        <w:spacing w:after="80"/>
        <w:ind w:left="360"/>
      </w:pPr>
      <w:r>
        <w:rPr>
          <w:b w:val="0"/>
          <w:i w:val="0"/>
        </w:rPr>
        <w:t>744</w:t>
      </w:r>
    </w:p>
    <w:p>
      <w:pPr>
        <w:spacing w:after="80"/>
        <w:ind w:left="360"/>
      </w:pPr>
      <w:r>
        <w:rPr>
          <w:b w:val="0"/>
          <w:i w:val="0"/>
        </w:rPr>
        <w:t>745</w:t>
      </w:r>
    </w:p>
    <w:p>
      <w:pPr>
        <w:spacing w:after="80"/>
        <w:ind w:left="360"/>
      </w:pPr>
      <w:r>
        <w:rPr>
          <w:b w:val="0"/>
          <w:i w:val="0"/>
        </w:rPr>
        <w:t>746</w:t>
      </w:r>
    </w:p>
    <w:p>
      <w:pPr>
        <w:spacing w:after="80"/>
        <w:ind w:left="360"/>
      </w:pPr>
      <w:r>
        <w:rPr>
          <w:b w:val="0"/>
          <w:i w:val="0"/>
        </w:rPr>
        <w:t>747</w:t>
      </w:r>
    </w:p>
    <w:p>
      <w:pPr>
        <w:spacing w:after="80"/>
        <w:ind w:left="360"/>
      </w:pPr>
      <w:r>
        <w:rPr>
          <w:b w:val="0"/>
          <w:i w:val="0"/>
        </w:rPr>
        <w:t>748</w:t>
      </w:r>
    </w:p>
    <w:p>
      <w:pPr>
        <w:spacing w:after="80"/>
        <w:ind w:left="360"/>
      </w:pPr>
      <w:r>
        <w:rPr>
          <w:b w:val="0"/>
          <w:i w:val="0"/>
        </w:rPr>
        <w:t>749</w:t>
      </w:r>
    </w:p>
    <w:p>
      <w:pPr>
        <w:spacing w:after="80"/>
        <w:ind w:left="360"/>
      </w:pPr>
      <w:r>
        <w:rPr>
          <w:b w:val="0"/>
          <w:i w:val="0"/>
        </w:rPr>
        <w:t>750</w:t>
      </w:r>
    </w:p>
    <w:p>
      <w:pPr>
        <w:spacing w:after="80"/>
        <w:ind w:left="360"/>
      </w:pPr>
      <w:r>
        <w:rPr>
          <w:b w:val="0"/>
          <w:i w:val="0"/>
        </w:rPr>
        <w:t>751</w:t>
      </w:r>
    </w:p>
    <w:p>
      <w:pPr>
        <w:spacing w:after="80"/>
        <w:ind w:left="360"/>
      </w:pPr>
      <w:r>
        <w:rPr>
          <w:b w:val="0"/>
          <w:i w:val="0"/>
        </w:rPr>
        <w:t>752</w:t>
      </w:r>
    </w:p>
    <w:p>
      <w:pPr>
        <w:spacing w:after="80"/>
        <w:ind w:left="360"/>
      </w:pPr>
      <w:r>
        <w:rPr>
          <w:b w:val="0"/>
          <w:i w:val="0"/>
        </w:rPr>
        <w:t>753</w:t>
      </w:r>
    </w:p>
    <w:p>
      <w:pPr>
        <w:spacing w:after="80"/>
        <w:ind w:left="360"/>
      </w:pPr>
      <w:r>
        <w:rPr>
          <w:b w:val="0"/>
          <w:i w:val="0"/>
        </w:rPr>
        <w:t>754</w:t>
      </w:r>
    </w:p>
    <w:p>
      <w:pPr>
        <w:spacing w:after="80"/>
        <w:ind w:left="360"/>
      </w:pPr>
      <w:r>
        <w:rPr>
          <w:b w:val="0"/>
          <w:i w:val="0"/>
        </w:rPr>
        <w:t>755</w:t>
      </w:r>
    </w:p>
    <w:p>
      <w:pPr>
        <w:spacing w:after="80"/>
        <w:ind w:left="360"/>
      </w:pPr>
      <w:r>
        <w:rPr>
          <w:b w:val="0"/>
          <w:i w:val="0"/>
        </w:rPr>
        <w:t>756</w:t>
      </w:r>
    </w:p>
    <w:p>
      <w:pPr>
        <w:spacing w:after="80"/>
        <w:ind w:left="360"/>
      </w:pPr>
      <w:r>
        <w:rPr>
          <w:b w:val="0"/>
          <w:i w:val="0"/>
        </w:rPr>
        <w:t>757</w:t>
      </w:r>
    </w:p>
    <w:p>
      <w:pPr>
        <w:spacing w:after="80"/>
        <w:ind w:left="360"/>
      </w:pPr>
      <w:r>
        <w:rPr>
          <w:b w:val="0"/>
          <w:i w:val="0"/>
        </w:rPr>
        <w:t>758</w:t>
      </w:r>
    </w:p>
    <w:p>
      <w:pPr>
        <w:spacing w:after="80"/>
        <w:ind w:left="360"/>
      </w:pPr>
      <w:r>
        <w:rPr>
          <w:b w:val="0"/>
          <w:i w:val="0"/>
        </w:rPr>
        <w:t>759</w:t>
      </w:r>
    </w:p>
    <w:p>
      <w:pPr>
        <w:spacing w:after="80"/>
        <w:ind w:left="360"/>
      </w:pPr>
      <w:r>
        <w:rPr>
          <w:b w:val="0"/>
          <w:i w:val="0"/>
        </w:rPr>
        <w:t>760</w:t>
      </w:r>
    </w:p>
    <w:p>
      <w:pPr>
        <w:spacing w:after="80"/>
        <w:ind w:left="360"/>
      </w:pPr>
      <w:r>
        <w:rPr>
          <w:b w:val="0"/>
          <w:i w:val="0"/>
        </w:rPr>
        <w:t>761</w:t>
      </w:r>
    </w:p>
    <w:p>
      <w:pPr>
        <w:spacing w:after="80"/>
        <w:ind w:left="360"/>
      </w:pPr>
      <w:r>
        <w:rPr>
          <w:b w:val="0"/>
          <w:i w:val="0"/>
        </w:rPr>
        <w:t>762</w:t>
      </w:r>
    </w:p>
    <w:p>
      <w:pPr>
        <w:spacing w:after="80"/>
        <w:ind w:left="360"/>
      </w:pPr>
      <w:r>
        <w:rPr>
          <w:b w:val="0"/>
          <w:i w:val="0"/>
        </w:rPr>
        <w:t>763</w:t>
      </w:r>
    </w:p>
    <w:p>
      <w:pPr>
        <w:spacing w:after="80"/>
        <w:ind w:left="360"/>
      </w:pPr>
      <w:r>
        <w:rPr>
          <w:b w:val="0"/>
          <w:i w:val="0"/>
        </w:rPr>
        <w:t>764</w:t>
      </w:r>
    </w:p>
    <w:p>
      <w:pPr>
        <w:spacing w:after="80"/>
        <w:ind w:left="360"/>
      </w:pPr>
      <w:r>
        <w:rPr>
          <w:b w:val="0"/>
          <w:i w:val="0"/>
        </w:rPr>
        <w:t>765</w:t>
      </w:r>
    </w:p>
    <w:p>
      <w:pPr>
        <w:spacing w:after="80"/>
        <w:ind w:left="360"/>
      </w:pPr>
      <w:r>
        <w:rPr>
          <w:b w:val="0"/>
          <w:i w:val="0"/>
        </w:rPr>
        <w:t>766</w:t>
      </w:r>
    </w:p>
    <w:p>
      <w:pPr>
        <w:spacing w:after="80"/>
        <w:ind w:left="360"/>
      </w:pPr>
      <w:r>
        <w:rPr>
          <w:b w:val="0"/>
          <w:i w:val="0"/>
        </w:rPr>
        <w:t>767</w:t>
      </w:r>
    </w:p>
    <w:p>
      <w:pPr>
        <w:spacing w:after="80"/>
        <w:ind w:left="360"/>
      </w:pPr>
      <w:r>
        <w:rPr>
          <w:b w:val="0"/>
          <w:i w:val="0"/>
        </w:rPr>
        <w:t>768</w:t>
      </w:r>
    </w:p>
    <w:p>
      <w:pPr>
        <w:spacing w:after="80"/>
        <w:ind w:left="360"/>
      </w:pPr>
      <w:r>
        <w:rPr>
          <w:b w:val="0"/>
          <w:i w:val="0"/>
        </w:rPr>
        <w:t>769</w:t>
      </w:r>
    </w:p>
    <w:p>
      <w:pPr>
        <w:spacing w:after="80"/>
        <w:ind w:left="360"/>
      </w:pPr>
      <w:r>
        <w:rPr>
          <w:b w:val="0"/>
          <w:i w:val="0"/>
        </w:rPr>
        <w:t>770</w:t>
      </w:r>
    </w:p>
    <w:p>
      <w:pPr>
        <w:spacing w:after="80"/>
        <w:ind w:left="360"/>
      </w:pPr>
      <w:r>
        <w:rPr>
          <w:b w:val="0"/>
          <w:i w:val="0"/>
        </w:rPr>
        <w:t>771</w:t>
      </w:r>
    </w:p>
    <w:p>
      <w:pPr>
        <w:spacing w:after="80"/>
        <w:ind w:left="360"/>
      </w:pPr>
      <w:r>
        <w:rPr>
          <w:b w:val="0"/>
          <w:i w:val="0"/>
        </w:rPr>
        <w:t>772</w:t>
      </w:r>
    </w:p>
    <w:p>
      <w:pPr>
        <w:spacing w:after="80"/>
        <w:ind w:left="360"/>
      </w:pPr>
      <w:r>
        <w:rPr>
          <w:b w:val="0"/>
          <w:i w:val="0"/>
        </w:rPr>
        <w:t>773</w:t>
      </w:r>
    </w:p>
    <w:p>
      <w:pPr>
        <w:spacing w:after="80"/>
        <w:ind w:left="360"/>
      </w:pPr>
      <w:r>
        <w:rPr>
          <w:b w:val="0"/>
          <w:i w:val="0"/>
        </w:rPr>
        <w:t>774</w:t>
      </w:r>
    </w:p>
    <w:p>
      <w:pPr>
        <w:spacing w:after="80"/>
        <w:ind w:left="360"/>
      </w:pPr>
      <w:r>
        <w:rPr>
          <w:b w:val="0"/>
          <w:i w:val="0"/>
        </w:rPr>
        <w:t>775</w:t>
      </w:r>
    </w:p>
    <w:p>
      <w:pPr>
        <w:spacing w:after="80"/>
        <w:ind w:left="360"/>
      </w:pPr>
      <w:r>
        <w:rPr>
          <w:b w:val="0"/>
          <w:i w:val="0"/>
        </w:rPr>
        <w:t>776</w:t>
      </w:r>
    </w:p>
    <w:p>
      <w:pPr>
        <w:spacing w:after="80"/>
        <w:ind w:left="360"/>
      </w:pPr>
      <w:r>
        <w:rPr>
          <w:b w:val="0"/>
          <w:i w:val="0"/>
        </w:rPr>
        <w:t>777</w:t>
      </w:r>
    </w:p>
    <w:p>
      <w:pPr>
        <w:spacing w:after="80"/>
        <w:ind w:left="360"/>
      </w:pPr>
      <w:r>
        <w:rPr>
          <w:b w:val="0"/>
          <w:i w:val="0"/>
        </w:rPr>
        <w:t>778</w:t>
      </w:r>
    </w:p>
    <w:p>
      <w:pPr>
        <w:spacing w:after="80"/>
        <w:ind w:left="360"/>
      </w:pPr>
      <w:r>
        <w:rPr>
          <w:b w:val="0"/>
          <w:i w:val="0"/>
        </w:rPr>
        <w:t>779</w:t>
      </w:r>
    </w:p>
    <w:p>
      <w:pPr>
        <w:spacing w:after="80"/>
        <w:ind w:left="360"/>
      </w:pPr>
      <w:r>
        <w:rPr>
          <w:b w:val="0"/>
          <w:i w:val="0"/>
        </w:rPr>
        <w:t>780</w:t>
      </w:r>
    </w:p>
    <w:p>
      <w:pPr>
        <w:spacing w:after="80"/>
        <w:ind w:left="360"/>
      </w:pPr>
      <w:r>
        <w:rPr>
          <w:b w:val="0"/>
          <w:i w:val="0"/>
        </w:rPr>
        <w:t>781</w:t>
      </w:r>
    </w:p>
    <w:p>
      <w:pPr>
        <w:spacing w:after="80"/>
        <w:ind w:left="360"/>
      </w:pPr>
      <w:r>
        <w:rPr>
          <w:b w:val="0"/>
          <w:i w:val="0"/>
        </w:rPr>
        <w:t>782</w:t>
      </w:r>
    </w:p>
    <w:p>
      <w:pPr>
        <w:spacing w:after="80"/>
        <w:ind w:left="360"/>
      </w:pPr>
      <w:r>
        <w:rPr>
          <w:b w:val="0"/>
          <w:i w:val="0"/>
        </w:rPr>
        <w:t>783</w:t>
      </w:r>
    </w:p>
    <w:p>
      <w:pPr>
        <w:spacing w:after="80"/>
        <w:ind w:left="360"/>
      </w:pPr>
      <w:r>
        <w:rPr>
          <w:b w:val="0"/>
          <w:i w:val="0"/>
        </w:rPr>
        <w:t>784</w:t>
      </w:r>
    </w:p>
    <w:p>
      <w:pPr>
        <w:spacing w:after="80"/>
        <w:ind w:left="360"/>
      </w:pPr>
      <w:r>
        <w:rPr>
          <w:b w:val="0"/>
          <w:i w:val="0"/>
        </w:rPr>
        <w:t>785</w:t>
      </w:r>
    </w:p>
    <w:p>
      <w:pPr>
        <w:spacing w:after="80"/>
        <w:ind w:left="360"/>
      </w:pPr>
      <w:r>
        <w:rPr>
          <w:b w:val="0"/>
          <w:i w:val="0"/>
        </w:rPr>
        <w:t>786</w:t>
      </w:r>
    </w:p>
    <w:p>
      <w:pPr>
        <w:spacing w:after="80"/>
        <w:ind w:left="360"/>
      </w:pPr>
      <w:r>
        <w:rPr>
          <w:b w:val="0"/>
          <w:i w:val="0"/>
        </w:rPr>
        <w:t>787</w:t>
      </w:r>
    </w:p>
    <w:p>
      <w:pPr>
        <w:spacing w:after="80"/>
        <w:ind w:left="360"/>
      </w:pPr>
      <w:r>
        <w:rPr>
          <w:b w:val="0"/>
          <w:i w:val="0"/>
        </w:rPr>
        <w:t>788</w:t>
      </w:r>
    </w:p>
    <w:p>
      <w:pPr>
        <w:spacing w:after="80"/>
        <w:ind w:left="360"/>
      </w:pPr>
      <w:r>
        <w:rPr>
          <w:b w:val="0"/>
          <w:i w:val="0"/>
        </w:rPr>
        <w:t>789</w:t>
      </w:r>
    </w:p>
    <w:p>
      <w:pPr>
        <w:spacing w:after="80"/>
        <w:ind w:left="360"/>
      </w:pPr>
      <w:r>
        <w:rPr>
          <w:b w:val="0"/>
          <w:i w:val="0"/>
        </w:rPr>
        <w:t>790</w:t>
      </w:r>
    </w:p>
    <w:p>
      <w:pPr>
        <w:spacing w:after="80"/>
        <w:ind w:left="360"/>
      </w:pPr>
      <w:r>
        <w:rPr>
          <w:b w:val="0"/>
          <w:i w:val="0"/>
        </w:rPr>
        <w:t>791</w:t>
      </w:r>
    </w:p>
    <w:p>
      <w:pPr>
        <w:spacing w:after="80"/>
        <w:ind w:left="360"/>
      </w:pPr>
      <w:r>
        <w:rPr>
          <w:b w:val="0"/>
          <w:i w:val="0"/>
        </w:rPr>
        <w:t>792</w:t>
      </w:r>
    </w:p>
    <w:p>
      <w:pPr>
        <w:spacing w:after="80"/>
        <w:ind w:left="360"/>
      </w:pPr>
      <w:r>
        <w:rPr>
          <w:b w:val="0"/>
          <w:i w:val="0"/>
        </w:rPr>
        <w:t>793</w:t>
      </w:r>
    </w:p>
    <w:p>
      <w:pPr>
        <w:spacing w:after="80"/>
        <w:ind w:left="360"/>
      </w:pPr>
      <w:r>
        <w:rPr>
          <w:b w:val="0"/>
          <w:i w:val="0"/>
        </w:rPr>
        <w:t>794</w:t>
      </w:r>
    </w:p>
    <w:p>
      <w:pPr>
        <w:spacing w:after="80"/>
        <w:ind w:left="360"/>
      </w:pPr>
      <w:r>
        <w:rPr>
          <w:b w:val="0"/>
          <w:i w:val="0"/>
        </w:rPr>
        <w:t>795</w:t>
      </w:r>
    </w:p>
    <w:p>
      <w:pPr>
        <w:spacing w:after="80"/>
        <w:ind w:left="360"/>
      </w:pPr>
      <w:r>
        <w:rPr>
          <w:b w:val="0"/>
          <w:i w:val="0"/>
        </w:rPr>
        <w:t>796</w:t>
      </w:r>
    </w:p>
    <w:p>
      <w:pPr>
        <w:spacing w:after="80"/>
        <w:ind w:left="360"/>
      </w:pPr>
      <w:r>
        <w:rPr>
          <w:b w:val="0"/>
          <w:i w:val="0"/>
        </w:rPr>
        <w:t>797</w:t>
      </w:r>
    </w:p>
    <w:p>
      <w:pPr>
        <w:spacing w:after="80"/>
        <w:ind w:left="360"/>
      </w:pPr>
      <w:r>
        <w:rPr>
          <w:b w:val="0"/>
          <w:i w:val="0"/>
        </w:rPr>
        <w:t>798</w:t>
      </w:r>
    </w:p>
    <w:p>
      <w:pPr>
        <w:spacing w:after="80"/>
        <w:ind w:left="360"/>
      </w:pPr>
      <w:r>
        <w:rPr>
          <w:b w:val="0"/>
          <w:i w:val="0"/>
        </w:rPr>
        <w:t>799</w:t>
      </w:r>
    </w:p>
    <w:p>
      <w:pPr>
        <w:spacing w:after="80"/>
        <w:ind w:left="360"/>
      </w:pPr>
      <w:r>
        <w:rPr>
          <w:b w:val="0"/>
          <w:i w:val="0"/>
        </w:rPr>
        <w:t>800</w:t>
      </w:r>
    </w:p>
    <w:p>
      <w:pPr>
        <w:spacing w:after="80"/>
        <w:ind w:left="360"/>
      </w:pPr>
      <w:r>
        <w:rPr>
          <w:b w:val="0"/>
          <w:i w:val="0"/>
        </w:rPr>
        <w:t>801</w:t>
      </w:r>
    </w:p>
    <w:p>
      <w:pPr>
        <w:spacing w:after="80"/>
        <w:ind w:left="360"/>
      </w:pPr>
      <w:r>
        <w:rPr>
          <w:b w:val="0"/>
          <w:i w:val="0"/>
        </w:rPr>
        <w:t>802</w:t>
      </w:r>
    </w:p>
    <w:p>
      <w:pPr>
        <w:spacing w:after="80"/>
        <w:ind w:left="360"/>
      </w:pPr>
      <w:r>
        <w:rPr>
          <w:b w:val="0"/>
          <w:i w:val="0"/>
        </w:rPr>
        <w:t>803</w:t>
      </w:r>
    </w:p>
    <w:p>
      <w:pPr>
        <w:spacing w:after="80"/>
        <w:ind w:left="360"/>
      </w:pPr>
      <w:r>
        <w:rPr>
          <w:b w:val="0"/>
          <w:i w:val="0"/>
        </w:rPr>
        <w:t>804</w:t>
      </w:r>
    </w:p>
    <w:p>
      <w:pPr>
        <w:spacing w:after="80"/>
        <w:ind w:left="360"/>
      </w:pPr>
      <w:r>
        <w:rPr>
          <w:b w:val="0"/>
          <w:i w:val="0"/>
        </w:rPr>
        <w:t>805</w:t>
      </w:r>
    </w:p>
    <w:p>
      <w:pPr>
        <w:spacing w:after="80"/>
        <w:ind w:left="360"/>
      </w:pPr>
      <w:r>
        <w:rPr>
          <w:b w:val="0"/>
          <w:i w:val="0"/>
        </w:rPr>
        <w:t>806</w:t>
      </w:r>
    </w:p>
    <w:p>
      <w:pPr>
        <w:spacing w:after="80"/>
        <w:ind w:left="360"/>
      </w:pPr>
      <w:r>
        <w:rPr>
          <w:b w:val="0"/>
          <w:i w:val="0"/>
        </w:rPr>
        <w:t>807</w:t>
      </w:r>
    </w:p>
    <w:p>
      <w:pPr>
        <w:spacing w:after="80"/>
        <w:ind w:left="360"/>
      </w:pPr>
      <w:r>
        <w:rPr>
          <w:b w:val="0"/>
          <w:i w:val="0"/>
        </w:rPr>
        <w:t>808</w:t>
      </w:r>
    </w:p>
    <w:p>
      <w:pPr>
        <w:spacing w:after="80"/>
        <w:ind w:left="360"/>
      </w:pPr>
      <w:r>
        <w:rPr>
          <w:b w:val="0"/>
          <w:i w:val="0"/>
        </w:rPr>
        <w:t>809</w:t>
      </w:r>
    </w:p>
    <w:p>
      <w:pPr>
        <w:spacing w:after="80"/>
        <w:ind w:left="360"/>
      </w:pPr>
      <w:r>
        <w:rPr>
          <w:b w:val="0"/>
          <w:i w:val="0"/>
        </w:rPr>
        <w:t>810</w:t>
      </w:r>
    </w:p>
    <w:p>
      <w:pPr>
        <w:spacing w:after="80"/>
        <w:ind w:left="360"/>
      </w:pPr>
      <w:r>
        <w:rPr>
          <w:b w:val="0"/>
          <w:i w:val="0"/>
        </w:rPr>
        <w:t>811</w:t>
      </w:r>
    </w:p>
    <w:p>
      <w:pPr>
        <w:spacing w:after="80"/>
        <w:ind w:left="360"/>
      </w:pPr>
      <w:r>
        <w:rPr>
          <w:b w:val="0"/>
          <w:i w:val="0"/>
        </w:rPr>
        <w:t>812</w:t>
      </w:r>
    </w:p>
    <w:p>
      <w:pPr>
        <w:spacing w:after="80"/>
        <w:ind w:left="360"/>
      </w:pPr>
      <w:r>
        <w:rPr>
          <w:b w:val="0"/>
          <w:i w:val="0"/>
        </w:rPr>
        <w:t>813</w:t>
      </w:r>
    </w:p>
    <w:p>
      <w:pPr>
        <w:spacing w:after="80"/>
        <w:ind w:left="360"/>
      </w:pPr>
      <w:r>
        <w:rPr>
          <w:b w:val="0"/>
          <w:i w:val="0"/>
        </w:rPr>
        <w:t>814</w:t>
      </w:r>
    </w:p>
    <w:p>
      <w:pPr>
        <w:spacing w:after="80"/>
        <w:ind w:left="360"/>
      </w:pPr>
      <w:r>
        <w:rPr>
          <w:b w:val="0"/>
          <w:i w:val="0"/>
        </w:rPr>
        <w:t>815</w:t>
      </w:r>
    </w:p>
    <w:p>
      <w:pPr>
        <w:spacing w:after="80"/>
        <w:ind w:left="360"/>
      </w:pPr>
      <w:r>
        <w:rPr>
          <w:b w:val="0"/>
          <w:i w:val="0"/>
        </w:rPr>
        <w:t>816</w:t>
      </w:r>
    </w:p>
    <w:p>
      <w:pPr>
        <w:spacing w:after="80"/>
        <w:ind w:left="360"/>
      </w:pPr>
      <w:r>
        <w:rPr>
          <w:b w:val="0"/>
          <w:i w:val="0"/>
        </w:rPr>
        <w:t>817</w:t>
      </w:r>
    </w:p>
    <w:p>
      <w:pPr>
        <w:spacing w:after="80"/>
        <w:ind w:left="360"/>
      </w:pPr>
      <w:r>
        <w:rPr>
          <w:b w:val="0"/>
          <w:i w:val="0"/>
        </w:rPr>
        <w:t>818</w:t>
      </w:r>
    </w:p>
    <w:p>
      <w:pPr>
        <w:spacing w:after="80"/>
        <w:ind w:left="360"/>
      </w:pPr>
      <w:r>
        <w:rPr>
          <w:b w:val="0"/>
          <w:i w:val="0"/>
        </w:rPr>
        <w:t>819</w:t>
      </w:r>
    </w:p>
    <w:p>
      <w:pPr>
        <w:spacing w:after="80"/>
        <w:ind w:left="360"/>
      </w:pPr>
      <w:r>
        <w:rPr>
          <w:b w:val="0"/>
          <w:i w:val="0"/>
        </w:rPr>
        <w:t>820</w:t>
      </w:r>
    </w:p>
    <w:p>
      <w:pPr>
        <w:spacing w:after="80"/>
        <w:ind w:left="360"/>
      </w:pPr>
      <w:r>
        <w:rPr>
          <w:b w:val="0"/>
          <w:i w:val="0"/>
        </w:rPr>
        <w:t>821</w:t>
      </w:r>
    </w:p>
    <w:p>
      <w:pPr>
        <w:spacing w:after="80"/>
        <w:ind w:left="360"/>
      </w:pPr>
      <w:r>
        <w:rPr>
          <w:b w:val="0"/>
          <w:i w:val="0"/>
        </w:rPr>
        <w:t>822</w:t>
      </w:r>
    </w:p>
    <w:p>
      <w:pPr>
        <w:spacing w:after="80"/>
        <w:ind w:left="360"/>
      </w:pPr>
      <w:r>
        <w:rPr>
          <w:b w:val="0"/>
          <w:i w:val="0"/>
        </w:rPr>
        <w:t>823</w:t>
      </w:r>
    </w:p>
    <w:p>
      <w:pPr>
        <w:spacing w:after="80"/>
        <w:ind w:left="360"/>
      </w:pPr>
      <w:r>
        <w:rPr>
          <w:b w:val="0"/>
          <w:i w:val="0"/>
        </w:rPr>
        <w:t>824</w:t>
      </w:r>
    </w:p>
    <w:p>
      <w:pPr>
        <w:spacing w:after="80"/>
        <w:ind w:left="360"/>
      </w:pPr>
      <w:r>
        <w:rPr>
          <w:b w:val="0"/>
          <w:i w:val="0"/>
        </w:rPr>
        <w:t>825</w:t>
      </w:r>
    </w:p>
    <w:p>
      <w:pPr>
        <w:spacing w:after="80"/>
        <w:ind w:left="360"/>
      </w:pPr>
      <w:r>
        <w:rPr>
          <w:b w:val="0"/>
          <w:i w:val="0"/>
        </w:rPr>
        <w:t>826</w:t>
      </w:r>
    </w:p>
    <w:p>
      <w:pPr>
        <w:spacing w:after="80"/>
        <w:ind w:left="360"/>
      </w:pPr>
      <w:r>
        <w:rPr>
          <w:b w:val="0"/>
          <w:i w:val="0"/>
        </w:rPr>
        <w:t>827</w:t>
      </w:r>
    </w:p>
    <w:p>
      <w:pPr>
        <w:spacing w:after="80"/>
        <w:ind w:left="360"/>
      </w:pPr>
      <w:r>
        <w:rPr>
          <w:b w:val="0"/>
          <w:i w:val="0"/>
        </w:rPr>
        <w:t>828</w:t>
      </w:r>
    </w:p>
    <w:p>
      <w:pPr>
        <w:spacing w:after="80"/>
        <w:ind w:left="360"/>
      </w:pPr>
      <w:r>
        <w:rPr>
          <w:b w:val="0"/>
          <w:i w:val="0"/>
        </w:rPr>
        <w:t>829</w:t>
      </w:r>
    </w:p>
    <w:p>
      <w:pPr>
        <w:spacing w:after="80"/>
        <w:ind w:left="360"/>
      </w:pPr>
      <w:r>
        <w:rPr>
          <w:b w:val="0"/>
          <w:i w:val="0"/>
        </w:rPr>
        <w:t>831</w:t>
      </w:r>
    </w:p>
    <w:p>
      <w:pPr>
        <w:spacing w:after="80"/>
        <w:ind w:left="360"/>
      </w:pPr>
      <w:r>
        <w:rPr>
          <w:b w:val="0"/>
          <w:i w:val="0"/>
        </w:rPr>
        <w:t>832</w:t>
      </w:r>
    </w:p>
    <w:p>
      <w:pPr>
        <w:spacing w:after="80"/>
        <w:ind w:left="360"/>
      </w:pPr>
      <w:r>
        <w:rPr>
          <w:b w:val="0"/>
          <w:i w:val="0"/>
        </w:rPr>
        <w:t>833</w:t>
      </w:r>
    </w:p>
    <w:p>
      <w:pPr>
        <w:spacing w:after="80"/>
        <w:ind w:left="360"/>
      </w:pPr>
      <w:r>
        <w:rPr>
          <w:b w:val="0"/>
          <w:i w:val="0"/>
        </w:rPr>
        <w:t>834</w:t>
      </w:r>
    </w:p>
    <w:p>
      <w:pPr>
        <w:spacing w:after="80"/>
        <w:ind w:left="360"/>
      </w:pPr>
      <w:r>
        <w:rPr>
          <w:b w:val="0"/>
          <w:i w:val="0"/>
        </w:rPr>
        <w:t>835</w:t>
      </w:r>
    </w:p>
    <w:p>
      <w:pPr>
        <w:spacing w:after="80"/>
        <w:ind w:left="360"/>
      </w:pPr>
      <w:r>
        <w:rPr>
          <w:b w:val="0"/>
          <w:i w:val="0"/>
        </w:rPr>
        <w:t>836</w:t>
      </w:r>
    </w:p>
    <w:p>
      <w:pPr>
        <w:spacing w:after="80"/>
        <w:ind w:left="360"/>
      </w:pPr>
      <w:r>
        <w:rPr>
          <w:b w:val="0"/>
          <w:i w:val="0"/>
        </w:rPr>
        <w:t>837</w:t>
      </w:r>
    </w:p>
    <w:p>
      <w:pPr>
        <w:spacing w:after="80"/>
        <w:ind w:left="360"/>
      </w:pPr>
      <w:r>
        <w:rPr>
          <w:b w:val="0"/>
          <w:i w:val="0"/>
        </w:rPr>
        <w:t>838</w:t>
      </w:r>
    </w:p>
    <w:p>
      <w:pPr>
        <w:spacing w:after="80"/>
        <w:ind w:left="360"/>
      </w:pPr>
      <w:r>
        <w:rPr>
          <w:b w:val="0"/>
          <w:i w:val="0"/>
        </w:rPr>
        <w:t>839</w:t>
      </w:r>
    </w:p>
    <w:p>
      <w:pPr>
        <w:spacing w:after="80"/>
        <w:ind w:left="360"/>
      </w:pPr>
      <w:r>
        <w:rPr>
          <w:b w:val="0"/>
          <w:i w:val="0"/>
        </w:rPr>
        <w:t>840</w:t>
      </w:r>
    </w:p>
    <w:p>
      <w:pPr>
        <w:spacing w:after="80"/>
        <w:ind w:left="360"/>
      </w:pPr>
      <w:r>
        <w:rPr>
          <w:b w:val="0"/>
          <w:i w:val="0"/>
        </w:rPr>
        <w:t>841</w:t>
      </w:r>
    </w:p>
    <w:p>
      <w:pPr>
        <w:spacing w:after="80"/>
        <w:ind w:left="360"/>
      </w:pPr>
      <w:r>
        <w:rPr>
          <w:b w:val="0"/>
          <w:i w:val="0"/>
        </w:rPr>
        <w:t>842</w:t>
      </w:r>
    </w:p>
    <w:p>
      <w:pPr>
        <w:spacing w:after="80"/>
        <w:ind w:left="360"/>
      </w:pPr>
      <w:r>
        <w:rPr>
          <w:b w:val="0"/>
          <w:i w:val="0"/>
        </w:rPr>
        <w:t>843</w:t>
      </w:r>
    </w:p>
    <w:p>
      <w:pPr>
        <w:spacing w:after="80"/>
        <w:ind w:left="360"/>
      </w:pPr>
      <w:r>
        <w:rPr>
          <w:b w:val="0"/>
          <w:i w:val="0"/>
        </w:rPr>
        <w:t>844</w:t>
      </w:r>
    </w:p>
    <w:p>
      <w:pPr>
        <w:spacing w:after="80"/>
        <w:ind w:left="360"/>
      </w:pPr>
      <w:r>
        <w:rPr>
          <w:b w:val="0"/>
          <w:i w:val="0"/>
        </w:rPr>
        <w:t>845</w:t>
      </w:r>
    </w:p>
    <w:p>
      <w:pPr>
        <w:spacing w:after="80"/>
        <w:ind w:left="360"/>
      </w:pPr>
      <w:r>
        <w:rPr>
          <w:b w:val="0"/>
          <w:i w:val="0"/>
        </w:rPr>
        <w:t>846</w:t>
      </w:r>
    </w:p>
    <w:p>
      <w:pPr>
        <w:spacing w:after="80"/>
        <w:ind w:left="360"/>
      </w:pPr>
      <w:r>
        <w:rPr>
          <w:b w:val="0"/>
          <w:i w:val="0"/>
        </w:rPr>
        <w:t>847</w:t>
      </w:r>
    </w:p>
    <w:p>
      <w:pPr>
        <w:spacing w:after="80"/>
        <w:ind w:left="360"/>
      </w:pPr>
      <w:r>
        <w:rPr>
          <w:b w:val="0"/>
          <w:i w:val="0"/>
        </w:rPr>
        <w:t>848</w:t>
      </w:r>
    </w:p>
    <w:p>
      <w:pPr>
        <w:spacing w:after="80"/>
        <w:ind w:left="360"/>
      </w:pPr>
      <w:r>
        <w:rPr>
          <w:b w:val="0"/>
          <w:i w:val="0"/>
        </w:rPr>
        <w:t>849</w:t>
      </w:r>
    </w:p>
    <w:p>
      <w:pPr>
        <w:spacing w:after="80"/>
        <w:ind w:left="360"/>
      </w:pPr>
      <w:r>
        <w:rPr>
          <w:b w:val="0"/>
          <w:i w:val="0"/>
        </w:rPr>
        <w:t>850</w:t>
      </w:r>
    </w:p>
    <w:p>
      <w:pPr>
        <w:spacing w:after="80"/>
        <w:ind w:left="360"/>
      </w:pPr>
      <w:r>
        <w:rPr>
          <w:b w:val="0"/>
          <w:i w:val="0"/>
        </w:rPr>
        <w:t>851</w:t>
      </w:r>
    </w:p>
    <w:p>
      <w:pPr>
        <w:spacing w:after="80"/>
        <w:ind w:left="360"/>
      </w:pPr>
      <w:r>
        <w:rPr>
          <w:b w:val="0"/>
          <w:i w:val="0"/>
        </w:rPr>
        <w:t>852</w:t>
      </w:r>
    </w:p>
    <w:p>
      <w:pPr>
        <w:spacing w:after="80"/>
        <w:ind w:left="360"/>
      </w:pPr>
      <w:r>
        <w:rPr>
          <w:b w:val="0"/>
          <w:i w:val="0"/>
        </w:rPr>
        <w:t>853</w:t>
      </w:r>
    </w:p>
    <w:p>
      <w:pPr>
        <w:spacing w:after="80"/>
        <w:ind w:left="360"/>
      </w:pPr>
      <w:r>
        <w:rPr>
          <w:b w:val="0"/>
          <w:i w:val="0"/>
        </w:rPr>
        <w:t>854</w:t>
      </w:r>
    </w:p>
    <w:p>
      <w:pPr>
        <w:spacing w:after="80"/>
        <w:ind w:left="360"/>
      </w:pPr>
      <w:r>
        <w:rPr>
          <w:b w:val="0"/>
          <w:i w:val="0"/>
        </w:rPr>
        <w:t>855</w:t>
      </w:r>
    </w:p>
    <w:p>
      <w:pPr>
        <w:spacing w:after="80"/>
        <w:ind w:left="360"/>
      </w:pPr>
      <w:r>
        <w:rPr>
          <w:b w:val="0"/>
          <w:i w:val="0"/>
        </w:rPr>
        <w:t>856</w:t>
      </w:r>
    </w:p>
    <w:p>
      <w:pPr>
        <w:spacing w:after="80"/>
        <w:ind w:left="360"/>
      </w:pPr>
      <w:r>
        <w:rPr>
          <w:b w:val="0"/>
          <w:i w:val="0"/>
        </w:rPr>
        <w:t>857</w:t>
      </w:r>
    </w:p>
    <w:p>
      <w:pPr>
        <w:spacing w:after="80"/>
        <w:ind w:left="360"/>
      </w:pPr>
      <w:r>
        <w:rPr>
          <w:b w:val="0"/>
          <w:i w:val="0"/>
        </w:rPr>
        <w:t>858</w:t>
      </w:r>
    </w:p>
    <w:p>
      <w:pPr>
        <w:spacing w:after="80"/>
        <w:ind w:left="360"/>
      </w:pPr>
      <w:r>
        <w:rPr>
          <w:b w:val="0"/>
          <w:i w:val="0"/>
        </w:rPr>
        <w:t>859</w:t>
      </w:r>
    </w:p>
    <w:p>
      <w:pPr>
        <w:spacing w:after="80"/>
        <w:ind w:left="360"/>
      </w:pPr>
      <w:r>
        <w:rPr>
          <w:b w:val="0"/>
          <w:i w:val="0"/>
        </w:rPr>
        <w:t>860</w:t>
      </w:r>
    </w:p>
    <w:p>
      <w:pPr>
        <w:spacing w:after="80"/>
        <w:ind w:left="360"/>
      </w:pPr>
      <w:r>
        <w:rPr>
          <w:b w:val="0"/>
          <w:i w:val="0"/>
        </w:rPr>
        <w:t>861</w:t>
      </w:r>
    </w:p>
    <w:p>
      <w:pPr>
        <w:spacing w:after="80"/>
        <w:ind w:left="360"/>
      </w:pPr>
      <w:r>
        <w:rPr>
          <w:b w:val="0"/>
          <w:i w:val="0"/>
        </w:rPr>
        <w:t>862</w:t>
      </w:r>
    </w:p>
    <w:p>
      <w:pPr>
        <w:spacing w:after="80"/>
        <w:ind w:left="360"/>
      </w:pPr>
      <w:r>
        <w:rPr>
          <w:b w:val="0"/>
          <w:i w:val="0"/>
        </w:rPr>
        <w:t>863</w:t>
      </w:r>
    </w:p>
    <w:p>
      <w:pPr>
        <w:spacing w:after="80"/>
        <w:ind w:left="360"/>
      </w:pPr>
      <w:r>
        <w:rPr>
          <w:b w:val="0"/>
          <w:i w:val="0"/>
        </w:rPr>
        <w:t>864</w:t>
      </w:r>
    </w:p>
    <w:p>
      <w:pPr>
        <w:spacing w:after="80"/>
        <w:ind w:left="360"/>
      </w:pPr>
      <w:r>
        <w:rPr>
          <w:b w:val="0"/>
          <w:i w:val="0"/>
        </w:rPr>
        <w:t>865</w:t>
      </w:r>
    </w:p>
    <w:p>
      <w:pPr>
        <w:spacing w:after="80"/>
        <w:ind w:left="360"/>
      </w:pPr>
      <w:r>
        <w:rPr>
          <w:b w:val="0"/>
          <w:i w:val="0"/>
        </w:rPr>
        <w:t>866</w:t>
      </w:r>
    </w:p>
    <w:p>
      <w:pPr>
        <w:spacing w:after="80"/>
        <w:ind w:left="360"/>
      </w:pPr>
      <w:r>
        <w:rPr>
          <w:b w:val="0"/>
          <w:i w:val="0"/>
        </w:rPr>
        <w:t>867</w:t>
      </w:r>
    </w:p>
    <w:p>
      <w:pPr>
        <w:spacing w:after="80"/>
        <w:ind w:left="360"/>
      </w:pPr>
      <w:r>
        <w:rPr>
          <w:b w:val="0"/>
          <w:i w:val="0"/>
        </w:rPr>
        <w:t>868</w:t>
      </w:r>
    </w:p>
    <w:p>
      <w:pPr>
        <w:spacing w:after="80"/>
        <w:ind w:left="360"/>
      </w:pPr>
      <w:r>
        <w:rPr>
          <w:b w:val="0"/>
          <w:i w:val="0"/>
        </w:rPr>
        <w:t>869</w:t>
      </w:r>
    </w:p>
    <w:p>
      <w:pPr>
        <w:spacing w:after="80"/>
        <w:ind w:left="360"/>
      </w:pPr>
      <w:r>
        <w:rPr>
          <w:b w:val="0"/>
          <w:i w:val="0"/>
        </w:rPr>
        <w:t>870</w:t>
      </w:r>
    </w:p>
    <w:p>
      <w:pPr>
        <w:spacing w:after="80"/>
        <w:ind w:left="360"/>
      </w:pPr>
      <w:r>
        <w:rPr>
          <w:b w:val="0"/>
          <w:i w:val="0"/>
        </w:rPr>
        <w:t>871</w:t>
      </w:r>
    </w:p>
    <w:p>
      <w:pPr>
        <w:spacing w:after="80"/>
        <w:ind w:left="360"/>
      </w:pPr>
      <w:r>
        <w:rPr>
          <w:b w:val="0"/>
          <w:i w:val="0"/>
        </w:rPr>
        <w:t>872</w:t>
      </w:r>
    </w:p>
    <w:p>
      <w:pPr>
        <w:spacing w:after="80"/>
        <w:ind w:left="360"/>
      </w:pPr>
      <w:r>
        <w:rPr>
          <w:b w:val="0"/>
          <w:i w:val="0"/>
        </w:rPr>
        <w:t>873</w:t>
      </w:r>
    </w:p>
    <w:p>
      <w:pPr>
        <w:spacing w:after="80"/>
        <w:ind w:left="360"/>
      </w:pPr>
      <w:r>
        <w:rPr>
          <w:b w:val="0"/>
          <w:i w:val="0"/>
        </w:rPr>
        <w:t>874</w:t>
      </w:r>
    </w:p>
    <w:p>
      <w:pPr>
        <w:spacing w:after="80"/>
        <w:ind w:left="360"/>
      </w:pPr>
      <w:r>
        <w:rPr>
          <w:b w:val="0"/>
          <w:i w:val="0"/>
        </w:rPr>
        <w:t>875</w:t>
      </w:r>
    </w:p>
    <w:p>
      <w:pPr>
        <w:spacing w:after="80"/>
        <w:ind w:left="360"/>
      </w:pPr>
      <w:r>
        <w:rPr>
          <w:b w:val="0"/>
          <w:i w:val="0"/>
        </w:rPr>
        <w:t>876</w:t>
      </w:r>
    </w:p>
    <w:p>
      <w:pPr>
        <w:spacing w:after="80"/>
        <w:ind w:left="360"/>
      </w:pPr>
      <w:r>
        <w:rPr>
          <w:b w:val="0"/>
          <w:i w:val="0"/>
        </w:rPr>
        <w:t>877</w:t>
      </w:r>
    </w:p>
    <w:p>
      <w:pPr>
        <w:spacing w:after="80"/>
        <w:ind w:left="360"/>
      </w:pPr>
      <w:r>
        <w:rPr>
          <w:b w:val="0"/>
          <w:i w:val="0"/>
        </w:rPr>
        <w:t>878</w:t>
      </w:r>
    </w:p>
    <w:p>
      <w:pPr>
        <w:spacing w:after="80"/>
        <w:ind w:left="360"/>
      </w:pPr>
      <w:r>
        <w:rPr>
          <w:b w:val="0"/>
          <w:i w:val="0"/>
        </w:rPr>
        <w:t>879</w:t>
      </w:r>
    </w:p>
    <w:p>
      <w:pPr>
        <w:spacing w:after="80"/>
        <w:ind w:left="360"/>
      </w:pPr>
      <w:r>
        <w:rPr>
          <w:b w:val="0"/>
          <w:i w:val="0"/>
        </w:rPr>
        <w:t>880</w:t>
      </w:r>
    </w:p>
    <w:p>
      <w:pPr>
        <w:spacing w:after="80"/>
        <w:ind w:left="360"/>
      </w:pPr>
      <w:r>
        <w:rPr>
          <w:b w:val="0"/>
          <w:i w:val="0"/>
        </w:rPr>
        <w:t>881</w:t>
      </w:r>
    </w:p>
    <w:p>
      <w:pPr>
        <w:spacing w:after="80"/>
        <w:ind w:left="360"/>
      </w:pPr>
      <w:r>
        <w:rPr>
          <w:b w:val="0"/>
          <w:i w:val="0"/>
        </w:rPr>
        <w:t>882</w:t>
      </w:r>
    </w:p>
    <w:p>
      <w:pPr>
        <w:spacing w:after="80"/>
        <w:ind w:left="360"/>
      </w:pPr>
      <w:r>
        <w:rPr>
          <w:b w:val="0"/>
          <w:i w:val="0"/>
        </w:rPr>
        <w:t>883</w:t>
      </w:r>
    </w:p>
    <w:p>
      <w:pPr>
        <w:spacing w:after="80"/>
        <w:ind w:left="360"/>
      </w:pPr>
      <w:r>
        <w:rPr>
          <w:b w:val="0"/>
          <w:i w:val="0"/>
        </w:rPr>
        <w:t>884</w:t>
      </w:r>
    </w:p>
    <w:p>
      <w:pPr>
        <w:spacing w:after="80"/>
        <w:ind w:left="360"/>
      </w:pPr>
      <w:r>
        <w:rPr>
          <w:b w:val="0"/>
          <w:i w:val="0"/>
        </w:rPr>
        <w:t>885</w:t>
      </w:r>
    </w:p>
    <w:p>
      <w:pPr>
        <w:spacing w:after="80"/>
        <w:ind w:left="360"/>
      </w:pPr>
      <w:r>
        <w:rPr>
          <w:b w:val="0"/>
          <w:i w:val="0"/>
        </w:rPr>
        <w:t>886</w:t>
      </w:r>
    </w:p>
    <w:p>
      <w:pPr>
        <w:spacing w:after="80"/>
        <w:ind w:left="360"/>
      </w:pPr>
      <w:r>
        <w:rPr>
          <w:b w:val="0"/>
          <w:i w:val="0"/>
        </w:rPr>
        <w:t>887</w:t>
      </w:r>
    </w:p>
    <w:p>
      <w:pPr>
        <w:spacing w:after="80"/>
        <w:ind w:left="360"/>
      </w:pPr>
      <w:r>
        <w:rPr>
          <w:b w:val="0"/>
          <w:i w:val="0"/>
        </w:rPr>
        <w:t>888</w:t>
      </w:r>
    </w:p>
    <w:p>
      <w:pPr>
        <w:spacing w:after="80"/>
        <w:ind w:left="360"/>
      </w:pPr>
      <w:r>
        <w:rPr>
          <w:b w:val="0"/>
          <w:i w:val="0"/>
        </w:rPr>
        <w:t>889</w:t>
      </w:r>
    </w:p>
    <w:p>
      <w:pPr>
        <w:spacing w:after="80"/>
        <w:ind w:left="360"/>
      </w:pPr>
      <w:r>
        <w:rPr>
          <w:b w:val="0"/>
          <w:i w:val="0"/>
        </w:rPr>
        <w:t>890</w:t>
      </w:r>
    </w:p>
    <w:p>
      <w:pPr>
        <w:spacing w:after="80"/>
        <w:ind w:left="360"/>
      </w:pPr>
      <w:r>
        <w:rPr>
          <w:b w:val="0"/>
          <w:i w:val="0"/>
        </w:rPr>
        <w:t>891</w:t>
      </w:r>
    </w:p>
    <w:p>
      <w:pPr>
        <w:spacing w:after="80"/>
        <w:ind w:left="360"/>
      </w:pPr>
      <w:r>
        <w:rPr>
          <w:b w:val="0"/>
          <w:i w:val="0"/>
        </w:rPr>
        <w:t>892</w:t>
      </w:r>
    </w:p>
    <w:p>
      <w:pPr>
        <w:spacing w:after="80"/>
        <w:ind w:left="360"/>
      </w:pPr>
      <w:r>
        <w:rPr>
          <w:b w:val="0"/>
          <w:i w:val="0"/>
        </w:rPr>
        <w:t>893</w:t>
      </w:r>
    </w:p>
    <w:p>
      <w:pPr>
        <w:spacing w:after="80"/>
        <w:ind w:left="360"/>
      </w:pPr>
      <w:r>
        <w:rPr>
          <w:b w:val="0"/>
          <w:i w:val="0"/>
        </w:rPr>
        <w:t>894</w:t>
      </w:r>
    </w:p>
    <w:p>
      <w:pPr>
        <w:spacing w:after="80"/>
        <w:ind w:left="360"/>
      </w:pPr>
      <w:r>
        <w:rPr>
          <w:b w:val="0"/>
          <w:i w:val="0"/>
        </w:rPr>
        <w:t>895</w:t>
      </w:r>
    </w:p>
    <w:p>
      <w:pPr>
        <w:spacing w:after="80"/>
        <w:ind w:left="360"/>
      </w:pPr>
      <w:r>
        <w:rPr>
          <w:b w:val="0"/>
          <w:i w:val="0"/>
        </w:rPr>
        <w:t>896</w:t>
      </w:r>
    </w:p>
    <w:p>
      <w:pPr>
        <w:spacing w:after="80"/>
        <w:ind w:left="360"/>
      </w:pPr>
      <w:r>
        <w:rPr>
          <w:b w:val="0"/>
          <w:i w:val="0"/>
        </w:rPr>
        <w:t>897</w:t>
      </w:r>
    </w:p>
    <w:p>
      <w:pPr>
        <w:spacing w:after="80"/>
        <w:ind w:left="360"/>
      </w:pPr>
      <w:r>
        <w:rPr>
          <w:b w:val="0"/>
          <w:i w:val="0"/>
        </w:rPr>
        <w:t>898</w:t>
      </w:r>
    </w:p>
    <w:p>
      <w:pPr>
        <w:spacing w:after="80"/>
        <w:ind w:left="360"/>
      </w:pPr>
      <w:r>
        <w:rPr>
          <w:b w:val="0"/>
          <w:i w:val="0"/>
        </w:rPr>
        <w:t>899</w:t>
      </w:r>
    </w:p>
    <w:p>
      <w:pPr>
        <w:spacing w:after="80"/>
        <w:ind w:left="360"/>
      </w:pPr>
      <w:r>
        <w:rPr>
          <w:b w:val="0"/>
          <w:i w:val="0"/>
        </w:rPr>
        <w:t>900</w:t>
      </w:r>
    </w:p>
    <w:p>
      <w:pPr>
        <w:spacing w:after="80"/>
        <w:ind w:left="360"/>
      </w:pPr>
      <w:r>
        <w:rPr>
          <w:b w:val="0"/>
          <w:i w:val="0"/>
        </w:rPr>
        <w:t>901</w:t>
      </w:r>
    </w:p>
    <w:p>
      <w:pPr>
        <w:spacing w:after="80"/>
        <w:ind w:left="360"/>
      </w:pPr>
      <w:r>
        <w:rPr>
          <w:b w:val="0"/>
          <w:i w:val="0"/>
        </w:rPr>
        <w:t>902</w:t>
      </w:r>
    </w:p>
    <w:p>
      <w:pPr>
        <w:spacing w:after="80"/>
        <w:ind w:left="360"/>
      </w:pPr>
      <w:r>
        <w:rPr>
          <w:b w:val="0"/>
          <w:i w:val="0"/>
        </w:rPr>
        <w:t>903</w:t>
      </w:r>
    </w:p>
    <w:p>
      <w:pPr>
        <w:spacing w:after="80"/>
        <w:ind w:left="360"/>
      </w:pPr>
      <w:r>
        <w:rPr>
          <w:b w:val="0"/>
          <w:i w:val="0"/>
        </w:rPr>
        <w:t>905</w:t>
      </w:r>
    </w:p>
    <w:p>
      <w:pPr>
        <w:spacing w:after="80"/>
        <w:ind w:left="360"/>
      </w:pPr>
      <w:r>
        <w:rPr>
          <w:b w:val="0"/>
          <w:i w:val="0"/>
        </w:rPr>
        <w:t>906</w:t>
      </w:r>
    </w:p>
    <w:p>
      <w:pPr>
        <w:spacing w:after="80"/>
        <w:ind w:left="360"/>
      </w:pPr>
      <w:r>
        <w:rPr>
          <w:b w:val="0"/>
          <w:i w:val="0"/>
        </w:rPr>
        <w:t>907</w:t>
      </w:r>
    </w:p>
    <w:p>
      <w:pPr>
        <w:spacing w:after="80"/>
        <w:ind w:left="360"/>
      </w:pPr>
      <w:r>
        <w:rPr>
          <w:b w:val="0"/>
          <w:i w:val="0"/>
        </w:rPr>
        <w:t>908</w:t>
      </w:r>
    </w:p>
    <w:p>
      <w:pPr>
        <w:spacing w:after="80"/>
        <w:ind w:left="360"/>
      </w:pPr>
      <w:r>
        <w:rPr>
          <w:b w:val="0"/>
          <w:i w:val="0"/>
        </w:rPr>
        <w:t>909</w:t>
      </w:r>
    </w:p>
    <w:p>
      <w:pPr>
        <w:spacing w:after="80"/>
        <w:ind w:left="360"/>
      </w:pPr>
      <w:r>
        <w:rPr>
          <w:b w:val="0"/>
          <w:i w:val="0"/>
        </w:rPr>
        <w:t>910</w:t>
      </w:r>
    </w:p>
    <w:p>
      <w:pPr>
        <w:spacing w:after="80"/>
        <w:ind w:left="360"/>
      </w:pPr>
      <w:r>
        <w:rPr>
          <w:b w:val="0"/>
          <w:i w:val="0"/>
        </w:rPr>
        <w:t>911</w:t>
      </w:r>
    </w:p>
    <w:p>
      <w:pPr>
        <w:spacing w:after="80"/>
        <w:ind w:left="360"/>
      </w:pPr>
      <w:r>
        <w:rPr>
          <w:b w:val="0"/>
          <w:i w:val="0"/>
        </w:rPr>
        <w:t>912</w:t>
      </w:r>
    </w:p>
    <w:p>
      <w:pPr>
        <w:spacing w:after="80"/>
        <w:ind w:left="360"/>
      </w:pPr>
      <w:r>
        <w:rPr>
          <w:b w:val="0"/>
          <w:i w:val="0"/>
        </w:rPr>
        <w:t>913</w:t>
      </w:r>
    </w:p>
    <w:p>
      <w:pPr>
        <w:spacing w:after="80"/>
        <w:ind w:left="360"/>
      </w:pPr>
      <w:r>
        <w:rPr>
          <w:b w:val="0"/>
          <w:i w:val="0"/>
        </w:rPr>
        <w:t>914</w:t>
      </w:r>
    </w:p>
    <w:p>
      <w:pPr>
        <w:spacing w:after="80"/>
        <w:ind w:left="360"/>
      </w:pPr>
      <w:r>
        <w:rPr>
          <w:b w:val="0"/>
          <w:i w:val="0"/>
        </w:rPr>
        <w:t>915</w:t>
      </w:r>
    </w:p>
    <w:p>
      <w:pPr>
        <w:spacing w:after="80"/>
        <w:ind w:left="360"/>
      </w:pPr>
      <w:r>
        <w:rPr>
          <w:b w:val="0"/>
          <w:i w:val="0"/>
        </w:rPr>
        <w:t>916</w:t>
      </w:r>
    </w:p>
    <w:p>
      <w:pPr>
        <w:spacing w:after="80"/>
        <w:ind w:left="360"/>
      </w:pPr>
      <w:r>
        <w:rPr>
          <w:b w:val="0"/>
          <w:i w:val="0"/>
        </w:rPr>
        <w:t>917</w:t>
      </w:r>
    </w:p>
    <w:p>
      <w:pPr>
        <w:spacing w:after="80"/>
        <w:ind w:left="360"/>
      </w:pPr>
      <w:r>
        <w:rPr>
          <w:b w:val="0"/>
          <w:i w:val="0"/>
        </w:rPr>
        <w:t>918</w:t>
      </w:r>
    </w:p>
    <w:p>
      <w:pPr>
        <w:spacing w:after="80"/>
        <w:ind w:left="360"/>
      </w:pPr>
      <w:r>
        <w:rPr>
          <w:b w:val="0"/>
          <w:i w:val="0"/>
        </w:rPr>
        <w:t>919</w:t>
      </w:r>
    </w:p>
    <w:p>
      <w:pPr>
        <w:spacing w:after="80"/>
        <w:ind w:left="360"/>
      </w:pPr>
      <w:r>
        <w:rPr>
          <w:b w:val="0"/>
          <w:i w:val="0"/>
        </w:rPr>
        <w:t>920</w:t>
      </w:r>
    </w:p>
    <w:p>
      <w:pPr>
        <w:spacing w:after="80"/>
        <w:ind w:left="360"/>
      </w:pPr>
      <w:r>
        <w:rPr>
          <w:b w:val="0"/>
          <w:i w:val="0"/>
        </w:rPr>
        <w:t>921</w:t>
      </w:r>
    </w:p>
    <w:p>
      <w:pPr>
        <w:spacing w:after="80"/>
        <w:ind w:left="360"/>
      </w:pPr>
      <w:r>
        <w:rPr>
          <w:b w:val="0"/>
          <w:i w:val="0"/>
        </w:rPr>
        <w:t>922</w:t>
      </w:r>
    </w:p>
    <w:p>
      <w:pPr>
        <w:spacing w:after="80"/>
        <w:ind w:left="360"/>
      </w:pPr>
      <w:r>
        <w:rPr>
          <w:b w:val="0"/>
          <w:i w:val="0"/>
        </w:rPr>
        <w:t>923</w:t>
      </w:r>
    </w:p>
    <w:p>
      <w:pPr>
        <w:spacing w:after="80"/>
        <w:ind w:left="360"/>
      </w:pPr>
      <w:r>
        <w:rPr>
          <w:b w:val="0"/>
          <w:i w:val="0"/>
        </w:rPr>
        <w:t>924</w:t>
      </w:r>
    </w:p>
    <w:p>
      <w:pPr>
        <w:spacing w:after="80"/>
        <w:ind w:left="360"/>
      </w:pPr>
      <w:r>
        <w:rPr>
          <w:b w:val="0"/>
          <w:i w:val="0"/>
        </w:rPr>
        <w:t>925</w:t>
      </w:r>
    </w:p>
    <w:p>
      <w:pPr>
        <w:spacing w:after="80"/>
        <w:ind w:left="360"/>
      </w:pPr>
      <w:r>
        <w:rPr>
          <w:b w:val="0"/>
          <w:i w:val="0"/>
        </w:rPr>
        <w:t>926</w:t>
      </w:r>
    </w:p>
    <w:p>
      <w:pPr>
        <w:spacing w:after="80"/>
        <w:ind w:left="360"/>
      </w:pPr>
      <w:r>
        <w:rPr>
          <w:b w:val="0"/>
          <w:i w:val="0"/>
        </w:rPr>
        <w:t>927</w:t>
      </w:r>
    </w:p>
    <w:p>
      <w:pPr>
        <w:spacing w:after="80"/>
        <w:ind w:left="360"/>
      </w:pPr>
      <w:r>
        <w:rPr>
          <w:b w:val="0"/>
          <w:i w:val="0"/>
        </w:rPr>
        <w:t>928</w:t>
      </w:r>
    </w:p>
    <w:p>
      <w:pPr>
        <w:spacing w:after="80"/>
        <w:ind w:left="360"/>
      </w:pPr>
      <w:r>
        <w:rPr>
          <w:b w:val="0"/>
          <w:i w:val="0"/>
        </w:rPr>
        <w:t>929</w:t>
      </w:r>
    </w:p>
    <w:p>
      <w:pPr>
        <w:spacing w:after="80"/>
        <w:ind w:left="360"/>
      </w:pPr>
      <w:r>
        <w:rPr>
          <w:b w:val="0"/>
          <w:i w:val="0"/>
        </w:rPr>
        <w:t>930</w:t>
      </w:r>
    </w:p>
    <w:p>
      <w:pPr>
        <w:spacing w:after="80"/>
        <w:ind w:left="360"/>
      </w:pPr>
      <w:r>
        <w:rPr>
          <w:b w:val="0"/>
          <w:i w:val="0"/>
        </w:rPr>
        <w:t>931</w:t>
      </w:r>
    </w:p>
    <w:p>
      <w:pPr>
        <w:spacing w:after="80"/>
        <w:ind w:left="360"/>
      </w:pPr>
      <w:r>
        <w:rPr>
          <w:b w:val="0"/>
          <w:i w:val="0"/>
        </w:rPr>
        <w:t>932</w:t>
      </w:r>
    </w:p>
    <w:p>
      <w:pPr>
        <w:spacing w:after="80"/>
        <w:ind w:left="360"/>
      </w:pPr>
      <w:r>
        <w:rPr>
          <w:b w:val="0"/>
          <w:i w:val="0"/>
        </w:rPr>
        <w:t>933</w:t>
      </w:r>
    </w:p>
    <w:p>
      <w:pPr>
        <w:spacing w:after="80"/>
        <w:ind w:left="360"/>
      </w:pPr>
      <w:r>
        <w:rPr>
          <w:b w:val="0"/>
          <w:i w:val="0"/>
        </w:rPr>
        <w:t>934</w:t>
      </w:r>
    </w:p>
    <w:p>
      <w:pPr>
        <w:spacing w:after="80"/>
        <w:ind w:left="360"/>
      </w:pPr>
      <w:r>
        <w:rPr>
          <w:b w:val="0"/>
          <w:i w:val="0"/>
        </w:rPr>
        <w:t>935</w:t>
      </w:r>
    </w:p>
    <w:p>
      <w:pPr>
        <w:spacing w:after="80"/>
        <w:ind w:left="360"/>
      </w:pPr>
      <w:r>
        <w:rPr>
          <w:b w:val="0"/>
          <w:i w:val="0"/>
        </w:rPr>
        <w:t>936</w:t>
      </w:r>
    </w:p>
    <w:p>
      <w:pPr>
        <w:spacing w:after="80"/>
        <w:ind w:left="360"/>
      </w:pPr>
      <w:r>
        <w:rPr>
          <w:b w:val="0"/>
          <w:i w:val="0"/>
        </w:rPr>
        <w:t>937</w:t>
      </w:r>
    </w:p>
    <w:p>
      <w:pPr>
        <w:spacing w:after="80"/>
        <w:ind w:left="360"/>
      </w:pPr>
      <w:r>
        <w:rPr>
          <w:b w:val="0"/>
          <w:i w:val="0"/>
        </w:rPr>
        <w:t>938</w:t>
      </w:r>
    </w:p>
    <w:p>
      <w:pPr>
        <w:spacing w:after="80"/>
        <w:ind w:left="360"/>
      </w:pPr>
      <w:r>
        <w:rPr>
          <w:b w:val="0"/>
          <w:i w:val="0"/>
        </w:rPr>
        <w:t>939</w:t>
      </w:r>
    </w:p>
    <w:p>
      <w:pPr>
        <w:spacing w:after="80"/>
        <w:ind w:left="360"/>
      </w:pPr>
      <w:r>
        <w:rPr>
          <w:b w:val="0"/>
          <w:i w:val="0"/>
        </w:rPr>
        <w:t>940</w:t>
      </w:r>
    </w:p>
    <w:p>
      <w:pPr>
        <w:spacing w:after="80"/>
        <w:ind w:left="360"/>
      </w:pPr>
      <w:r>
        <w:rPr>
          <w:b w:val="0"/>
          <w:i w:val="0"/>
        </w:rPr>
        <w:t>941</w:t>
      </w:r>
    </w:p>
    <w:p>
      <w:pPr>
        <w:spacing w:after="80"/>
        <w:ind w:left="360"/>
      </w:pPr>
      <w:r>
        <w:rPr>
          <w:b w:val="0"/>
          <w:i w:val="0"/>
        </w:rPr>
        <w:t>942</w:t>
      </w:r>
    </w:p>
    <w:p>
      <w:pPr>
        <w:spacing w:after="80"/>
        <w:ind w:left="360"/>
      </w:pPr>
      <w:r>
        <w:rPr>
          <w:b w:val="0"/>
          <w:i w:val="0"/>
        </w:rPr>
        <w:t>943</w:t>
      </w:r>
    </w:p>
    <w:p>
      <w:pPr>
        <w:spacing w:after="80"/>
        <w:ind w:left="360"/>
      </w:pPr>
      <w:r>
        <w:rPr>
          <w:b w:val="0"/>
          <w:i w:val="0"/>
        </w:rPr>
        <w:t>944</w:t>
      </w:r>
    </w:p>
    <w:p>
      <w:pPr>
        <w:spacing w:after="80"/>
        <w:ind w:left="360"/>
      </w:pPr>
      <w:r>
        <w:rPr>
          <w:b w:val="0"/>
          <w:i w:val="0"/>
        </w:rPr>
        <w:t>945</w:t>
      </w:r>
    </w:p>
    <w:p>
      <w:pPr>
        <w:spacing w:after="80"/>
        <w:ind w:left="360"/>
      </w:pPr>
      <w:r>
        <w:rPr>
          <w:b w:val="0"/>
          <w:i w:val="0"/>
        </w:rPr>
        <w:t>946</w:t>
      </w:r>
    </w:p>
    <w:p>
      <w:pPr>
        <w:spacing w:after="80"/>
        <w:ind w:left="360"/>
      </w:pPr>
      <w:r>
        <w:rPr>
          <w:b w:val="0"/>
          <w:i w:val="0"/>
        </w:rPr>
        <w:t>947</w:t>
      </w:r>
    </w:p>
    <w:p>
      <w:pPr>
        <w:spacing w:after="80"/>
        <w:ind w:left="360"/>
      </w:pPr>
      <w:r>
        <w:rPr>
          <w:b w:val="0"/>
          <w:i w:val="0"/>
        </w:rPr>
        <w:t>948</w:t>
      </w:r>
    </w:p>
    <w:p>
      <w:pPr>
        <w:spacing w:after="80"/>
        <w:ind w:left="360"/>
      </w:pPr>
      <w:r>
        <w:rPr>
          <w:b w:val="0"/>
          <w:i w:val="0"/>
        </w:rPr>
        <w:t>949</w:t>
      </w:r>
    </w:p>
    <w:p>
      <w:pPr>
        <w:spacing w:after="80"/>
        <w:ind w:left="360"/>
      </w:pPr>
      <w:r>
        <w:rPr>
          <w:b w:val="0"/>
          <w:i w:val="0"/>
        </w:rPr>
        <w:t>950</w:t>
      </w:r>
    </w:p>
    <w:p>
      <w:pPr>
        <w:spacing w:after="80"/>
        <w:ind w:left="360"/>
      </w:pPr>
      <w:r>
        <w:rPr>
          <w:b w:val="0"/>
          <w:i w:val="0"/>
        </w:rPr>
        <w:t>951</w:t>
      </w:r>
    </w:p>
    <w:p>
      <w:pPr>
        <w:spacing w:after="80"/>
        <w:ind w:left="360"/>
      </w:pPr>
      <w:r>
        <w:rPr>
          <w:b w:val="0"/>
          <w:i w:val="0"/>
        </w:rPr>
        <w:t>952</w:t>
      </w:r>
    </w:p>
    <w:p>
      <w:pPr>
        <w:spacing w:after="80"/>
        <w:ind w:left="360"/>
      </w:pPr>
      <w:r>
        <w:rPr>
          <w:b w:val="0"/>
          <w:i w:val="0"/>
        </w:rPr>
        <w:t>953</w:t>
      </w:r>
    </w:p>
    <w:p>
      <w:pPr>
        <w:spacing w:after="80"/>
        <w:ind w:left="360"/>
      </w:pPr>
      <w:r>
        <w:rPr>
          <w:b w:val="0"/>
          <w:i w:val="0"/>
        </w:rPr>
        <w:t>954</w:t>
      </w:r>
    </w:p>
    <w:p>
      <w:pPr>
        <w:spacing w:after="80"/>
        <w:ind w:left="360"/>
      </w:pPr>
      <w:r>
        <w:rPr>
          <w:b w:val="0"/>
          <w:i w:val="0"/>
        </w:rPr>
        <w:t>955</w:t>
      </w:r>
    </w:p>
    <w:p>
      <w:pPr>
        <w:spacing w:after="80"/>
        <w:ind w:left="360"/>
      </w:pPr>
      <w:r>
        <w:rPr>
          <w:b w:val="0"/>
          <w:i w:val="0"/>
        </w:rPr>
        <w:t>956</w:t>
      </w:r>
    </w:p>
    <w:p>
      <w:pPr>
        <w:spacing w:after="80"/>
        <w:ind w:left="360"/>
      </w:pPr>
      <w:r>
        <w:rPr>
          <w:b w:val="0"/>
          <w:i w:val="0"/>
        </w:rPr>
        <w:t>957</w:t>
      </w:r>
    </w:p>
    <w:p>
      <w:pPr>
        <w:spacing w:after="80"/>
        <w:ind w:left="360"/>
      </w:pPr>
      <w:r>
        <w:rPr>
          <w:b w:val="0"/>
          <w:i w:val="0"/>
        </w:rPr>
        <w:t>958</w:t>
      </w:r>
    </w:p>
    <w:p>
      <w:pPr>
        <w:spacing w:after="80"/>
        <w:ind w:left="360"/>
      </w:pPr>
      <w:r>
        <w:rPr>
          <w:b w:val="0"/>
          <w:i w:val="0"/>
        </w:rPr>
        <w:t>959</w:t>
      </w:r>
    </w:p>
    <w:p>
      <w:pPr>
        <w:spacing w:after="80"/>
        <w:ind w:left="360"/>
      </w:pPr>
      <w:r>
        <w:rPr>
          <w:b w:val="0"/>
          <w:i w:val="0"/>
        </w:rPr>
        <w:t>960</w:t>
      </w:r>
    </w:p>
    <w:p>
      <w:pPr>
        <w:spacing w:after="80"/>
        <w:ind w:left="360"/>
      </w:pPr>
      <w:r>
        <w:rPr>
          <w:b w:val="0"/>
          <w:i w:val="0"/>
        </w:rPr>
        <w:t>961</w:t>
      </w:r>
    </w:p>
    <w:p>
      <w:pPr>
        <w:spacing w:after="80"/>
        <w:ind w:left="360"/>
      </w:pPr>
      <w:r>
        <w:rPr>
          <w:b w:val="0"/>
          <w:i w:val="0"/>
        </w:rPr>
        <w:t>962</w:t>
      </w:r>
    </w:p>
    <w:p>
      <w:pPr>
        <w:spacing w:after="80"/>
        <w:ind w:left="360"/>
      </w:pPr>
      <w:r>
        <w:rPr>
          <w:b w:val="0"/>
          <w:i w:val="0"/>
        </w:rPr>
        <w:t>963</w:t>
      </w:r>
    </w:p>
    <w:p>
      <w:pPr>
        <w:spacing w:after="80"/>
        <w:ind w:left="360"/>
      </w:pPr>
      <w:r>
        <w:rPr>
          <w:b w:val="0"/>
          <w:i w:val="0"/>
        </w:rPr>
        <w:t>964</w:t>
      </w:r>
    </w:p>
    <w:p>
      <w:pPr>
        <w:spacing w:after="80"/>
        <w:ind w:left="360"/>
      </w:pPr>
      <w:r>
        <w:rPr>
          <w:b w:val="0"/>
          <w:i w:val="0"/>
        </w:rPr>
        <w:t>965</w:t>
      </w:r>
    </w:p>
    <w:p>
      <w:pPr>
        <w:spacing w:after="80"/>
        <w:ind w:left="360"/>
      </w:pPr>
      <w:r>
        <w:rPr>
          <w:b w:val="0"/>
          <w:i w:val="0"/>
        </w:rPr>
        <w:t>966</w:t>
      </w:r>
    </w:p>
    <w:p>
      <w:pPr>
        <w:spacing w:after="80"/>
        <w:ind w:left="360"/>
      </w:pPr>
      <w:r>
        <w:rPr>
          <w:b w:val="0"/>
          <w:i w:val="0"/>
        </w:rPr>
        <w:t>967</w:t>
      </w:r>
    </w:p>
    <w:p>
      <w:pPr>
        <w:spacing w:after="80"/>
        <w:ind w:left="360"/>
      </w:pPr>
      <w:r>
        <w:rPr>
          <w:b w:val="0"/>
          <w:i w:val="0"/>
        </w:rPr>
        <w:t>968</w:t>
      </w:r>
    </w:p>
    <w:p>
      <w:pPr>
        <w:spacing w:after="80"/>
        <w:ind w:left="360"/>
      </w:pPr>
      <w:r>
        <w:rPr>
          <w:b w:val="0"/>
          <w:i w:val="0"/>
        </w:rPr>
        <w:t>969</w:t>
      </w:r>
    </w:p>
    <w:p>
      <w:pPr>
        <w:spacing w:after="80"/>
        <w:ind w:left="360"/>
      </w:pPr>
      <w:r>
        <w:rPr>
          <w:b w:val="0"/>
          <w:i w:val="0"/>
        </w:rPr>
        <w:t>970</w:t>
      </w:r>
    </w:p>
    <w:p>
      <w:pPr>
        <w:spacing w:after="80"/>
        <w:ind w:left="360"/>
      </w:pPr>
      <w:r>
        <w:rPr>
          <w:b w:val="0"/>
          <w:i w:val="0"/>
        </w:rPr>
        <w:t>971</w:t>
      </w:r>
    </w:p>
    <w:p>
      <w:pPr>
        <w:spacing w:after="80"/>
        <w:ind w:left="360"/>
      </w:pPr>
      <w:r>
        <w:rPr>
          <w:b w:val="0"/>
          <w:i w:val="0"/>
        </w:rPr>
        <w:t>972</w:t>
      </w:r>
    </w:p>
    <w:p>
      <w:pPr>
        <w:spacing w:after="80"/>
        <w:ind w:left="360"/>
      </w:pPr>
      <w:r>
        <w:rPr>
          <w:b w:val="0"/>
          <w:i w:val="0"/>
        </w:rPr>
        <w:t>973</w:t>
      </w:r>
    </w:p>
    <w:p>
      <w:pPr>
        <w:spacing w:after="80"/>
        <w:ind w:left="360"/>
      </w:pPr>
      <w:r>
        <w:rPr>
          <w:b w:val="0"/>
          <w:i w:val="0"/>
        </w:rPr>
        <w:t>974</w:t>
      </w:r>
    </w:p>
    <w:p>
      <w:pPr>
        <w:spacing w:after="80"/>
        <w:ind w:left="360"/>
      </w:pPr>
      <w:r>
        <w:rPr>
          <w:b w:val="0"/>
          <w:i w:val="0"/>
        </w:rPr>
        <w:t>975</w:t>
      </w:r>
    </w:p>
    <w:p>
      <w:pPr>
        <w:spacing w:after="80"/>
        <w:ind w:left="360"/>
      </w:pPr>
      <w:r>
        <w:rPr>
          <w:b w:val="0"/>
          <w:i w:val="0"/>
        </w:rPr>
        <w:t>976</w:t>
      </w:r>
    </w:p>
    <w:p>
      <w:pPr>
        <w:spacing w:after="80"/>
        <w:ind w:left="360"/>
      </w:pPr>
      <w:r>
        <w:rPr>
          <w:b w:val="0"/>
          <w:i w:val="0"/>
        </w:rPr>
        <w:t>977</w:t>
      </w:r>
    </w:p>
    <w:p>
      <w:pPr>
        <w:spacing w:after="80"/>
        <w:ind w:left="360"/>
      </w:pPr>
      <w:r>
        <w:rPr>
          <w:b w:val="0"/>
          <w:i w:val="0"/>
        </w:rPr>
        <w:t>978</w:t>
      </w:r>
    </w:p>
    <w:p>
      <w:pPr>
        <w:spacing w:after="80"/>
        <w:ind w:left="360"/>
      </w:pPr>
      <w:r>
        <w:rPr>
          <w:b w:val="0"/>
          <w:i w:val="0"/>
        </w:rPr>
        <w:t>979</w:t>
      </w:r>
    </w:p>
    <w:p>
      <w:pPr>
        <w:spacing w:after="80"/>
        <w:ind w:left="360"/>
      </w:pPr>
      <w:r>
        <w:rPr>
          <w:b w:val="0"/>
          <w:i w:val="0"/>
        </w:rPr>
        <w:t>980</w:t>
      </w:r>
    </w:p>
    <w:p>
      <w:pPr>
        <w:spacing w:after="80"/>
        <w:ind w:left="360"/>
      </w:pPr>
      <w:r>
        <w:rPr>
          <w:b w:val="0"/>
          <w:i w:val="0"/>
        </w:rPr>
        <w:t>981</w:t>
      </w:r>
    </w:p>
    <w:p>
      <w:pPr>
        <w:spacing w:after="80"/>
        <w:ind w:left="360"/>
      </w:pPr>
      <w:r>
        <w:rPr>
          <w:b w:val="0"/>
          <w:i w:val="0"/>
        </w:rPr>
        <w:t>982</w:t>
      </w:r>
    </w:p>
    <w:p>
      <w:pPr>
        <w:spacing w:after="80"/>
        <w:ind w:left="360"/>
      </w:pPr>
      <w:r>
        <w:rPr>
          <w:b w:val="0"/>
          <w:i w:val="0"/>
        </w:rPr>
        <w:t>983</w:t>
      </w:r>
    </w:p>
    <w:p>
      <w:pPr>
        <w:spacing w:after="80"/>
        <w:ind w:left="360"/>
      </w:pPr>
      <w:r>
        <w:rPr>
          <w:b w:val="0"/>
          <w:i w:val="0"/>
        </w:rPr>
        <w:t>984</w:t>
      </w:r>
    </w:p>
    <w:p>
      <w:pPr>
        <w:spacing w:after="80"/>
        <w:ind w:left="360"/>
      </w:pPr>
      <w:r>
        <w:rPr>
          <w:b w:val="0"/>
          <w:i w:val="0"/>
        </w:rPr>
        <w:t>985</w:t>
      </w:r>
    </w:p>
    <w:p>
      <w:pPr>
        <w:spacing w:after="80"/>
        <w:ind w:left="360"/>
      </w:pPr>
      <w:r>
        <w:rPr>
          <w:b w:val="0"/>
          <w:i w:val="0"/>
        </w:rPr>
        <w:t>986</w:t>
      </w:r>
    </w:p>
    <w:p>
      <w:pPr>
        <w:spacing w:after="80"/>
        <w:ind w:left="360"/>
      </w:pPr>
      <w:r>
        <w:rPr>
          <w:b w:val="0"/>
          <w:i w:val="0"/>
        </w:rPr>
        <w:t>987</w:t>
      </w:r>
    </w:p>
    <w:p>
      <w:pPr>
        <w:spacing w:after="80"/>
        <w:ind w:left="360"/>
      </w:pPr>
      <w:r>
        <w:rPr>
          <w:b w:val="0"/>
          <w:i w:val="0"/>
        </w:rPr>
        <w:t>988</w:t>
      </w:r>
    </w:p>
    <w:p>
      <w:pPr>
        <w:spacing w:after="80"/>
        <w:ind w:left="360"/>
      </w:pPr>
      <w:r>
        <w:rPr>
          <w:b w:val="0"/>
          <w:i w:val="0"/>
        </w:rPr>
        <w:t>989</w:t>
      </w:r>
    </w:p>
    <w:p>
      <w:pPr>
        <w:spacing w:after="80"/>
        <w:ind w:left="360"/>
      </w:pPr>
      <w:r>
        <w:rPr>
          <w:b w:val="0"/>
          <w:i w:val="0"/>
        </w:rPr>
        <w:t>990</w:t>
      </w:r>
    </w:p>
    <w:p>
      <w:pPr>
        <w:spacing w:after="80"/>
        <w:ind w:left="360"/>
      </w:pPr>
      <w:r>
        <w:rPr>
          <w:b w:val="0"/>
          <w:i w:val="0"/>
        </w:rPr>
        <w:t>991</w:t>
      </w:r>
    </w:p>
    <w:p>
      <w:pPr>
        <w:spacing w:after="80"/>
        <w:ind w:left="360"/>
      </w:pPr>
      <w:r>
        <w:rPr>
          <w:b w:val="0"/>
          <w:i w:val="0"/>
        </w:rPr>
        <w:t>992</w:t>
      </w:r>
    </w:p>
    <w:p>
      <w:pPr>
        <w:spacing w:after="80"/>
        <w:ind w:left="360"/>
      </w:pPr>
      <w:r>
        <w:rPr>
          <w:b w:val="0"/>
          <w:i w:val="0"/>
        </w:rPr>
        <w:t>993</w:t>
      </w:r>
    </w:p>
    <w:p>
      <w:pPr>
        <w:spacing w:after="80"/>
        <w:ind w:left="360"/>
      </w:pPr>
      <w:r>
        <w:rPr>
          <w:b w:val="0"/>
          <w:i w:val="0"/>
        </w:rPr>
        <w:t>994</w:t>
      </w:r>
    </w:p>
    <w:p>
      <w:pPr>
        <w:spacing w:after="80"/>
        <w:ind w:left="360"/>
      </w:pPr>
      <w:r>
        <w:rPr>
          <w:b w:val="0"/>
          <w:i w:val="0"/>
        </w:rPr>
        <w:t>995</w:t>
      </w:r>
    </w:p>
    <w:p>
      <w:pPr>
        <w:spacing w:after="80"/>
        <w:ind w:left="360"/>
      </w:pPr>
      <w:r>
        <w:rPr>
          <w:b w:val="0"/>
          <w:i w:val="0"/>
        </w:rPr>
        <w:t>996</w:t>
      </w:r>
    </w:p>
    <w:p>
      <w:pPr>
        <w:spacing w:after="80"/>
        <w:ind w:left="360"/>
      </w:pPr>
      <w:r>
        <w:rPr>
          <w:b w:val="0"/>
          <w:i w:val="0"/>
        </w:rPr>
        <w:t>997</w:t>
      </w:r>
    </w:p>
    <w:p>
      <w:pPr>
        <w:spacing w:after="80"/>
        <w:ind w:left="360"/>
      </w:pPr>
      <w:r>
        <w:rPr>
          <w:b w:val="0"/>
          <w:i w:val="0"/>
        </w:rPr>
        <w:t>998</w:t>
      </w:r>
    </w:p>
    <w:p>
      <w:pPr>
        <w:spacing w:after="80"/>
        <w:ind w:left="360"/>
      </w:pPr>
      <w:r>
        <w:rPr>
          <w:b w:val="0"/>
          <w:i w:val="0"/>
        </w:rPr>
        <w:t>999</w:t>
      </w:r>
    </w:p>
    <w:p>
      <w:pPr>
        <w:spacing w:after="80"/>
        <w:ind w:left="360"/>
      </w:pPr>
      <w:r>
        <w:rPr>
          <w:b w:val="0"/>
          <w:i w:val="0"/>
        </w:rPr>
        <w:t>1000</w:t>
      </w:r>
    </w:p>
    <w:p>
      <w:pPr>
        <w:spacing w:after="80"/>
        <w:ind w:left="360"/>
      </w:pPr>
      <w:r>
        <w:rPr>
          <w:b w:val="0"/>
          <w:i w:val="0"/>
        </w:rPr>
        <w:t>1001</w:t>
      </w:r>
    </w:p>
    <w:p>
      <w:pPr>
        <w:spacing w:after="80"/>
        <w:ind w:left="360"/>
      </w:pPr>
      <w:r>
        <w:rPr>
          <w:b w:val="0"/>
          <w:i w:val="0"/>
        </w:rPr>
        <w:t>1002</w:t>
      </w:r>
    </w:p>
    <w:p>
      <w:pPr>
        <w:spacing w:after="80"/>
        <w:ind w:left="360"/>
      </w:pPr>
      <w:r>
        <w:rPr>
          <w:b w:val="0"/>
          <w:i w:val="0"/>
        </w:rPr>
        <w:t>1003</w:t>
      </w:r>
    </w:p>
    <w:p>
      <w:pPr>
        <w:spacing w:after="80"/>
        <w:ind w:left="360"/>
      </w:pPr>
      <w:r>
        <w:rPr>
          <w:b w:val="0"/>
          <w:i w:val="0"/>
        </w:rPr>
        <w:t>1004</w:t>
      </w:r>
    </w:p>
    <w:p>
      <w:pPr>
        <w:spacing w:after="80"/>
        <w:ind w:left="360"/>
      </w:pPr>
      <w:r>
        <w:rPr>
          <w:b w:val="0"/>
          <w:i w:val="0"/>
        </w:rPr>
        <w:t>1005</w:t>
      </w:r>
    </w:p>
    <w:p>
      <w:pPr>
        <w:spacing w:after="80"/>
        <w:ind w:left="360"/>
      </w:pPr>
      <w:r>
        <w:rPr>
          <w:b w:val="0"/>
          <w:i w:val="0"/>
        </w:rPr>
        <w:t>1006</w:t>
      </w:r>
    </w:p>
    <w:p>
      <w:pPr>
        <w:spacing w:after="80"/>
        <w:ind w:left="360"/>
      </w:pPr>
      <w:r>
        <w:rPr>
          <w:b w:val="0"/>
          <w:i w:val="0"/>
        </w:rPr>
        <w:t>1007</w:t>
      </w:r>
    </w:p>
    <w:p>
      <w:pPr>
        <w:spacing w:after="80"/>
        <w:ind w:left="360"/>
      </w:pPr>
      <w:r>
        <w:rPr>
          <w:b w:val="0"/>
          <w:i w:val="0"/>
        </w:rPr>
        <w:t>1008</w:t>
      </w:r>
    </w:p>
    <w:p>
      <w:pPr>
        <w:spacing w:after="80"/>
        <w:ind w:left="360"/>
      </w:pPr>
      <w:r>
        <w:rPr>
          <w:b w:val="0"/>
          <w:i w:val="0"/>
        </w:rPr>
        <w:t>1009</w:t>
      </w:r>
    </w:p>
    <w:p>
      <w:pPr>
        <w:spacing w:after="80"/>
        <w:ind w:left="360"/>
      </w:pPr>
      <w:r>
        <w:rPr>
          <w:b w:val="0"/>
          <w:i w:val="0"/>
        </w:rPr>
        <w:t>1010</w:t>
      </w:r>
    </w:p>
    <w:p>
      <w:pPr>
        <w:spacing w:after="80"/>
        <w:ind w:left="360"/>
      </w:pPr>
      <w:r>
        <w:rPr>
          <w:b w:val="0"/>
          <w:i w:val="0"/>
        </w:rPr>
        <w:t>1011</w:t>
      </w:r>
    </w:p>
    <w:p>
      <w:pPr>
        <w:spacing w:after="80"/>
        <w:ind w:left="360"/>
      </w:pPr>
      <w:r>
        <w:rPr>
          <w:b w:val="0"/>
          <w:i w:val="0"/>
        </w:rPr>
        <w:t>1012</w:t>
      </w:r>
    </w:p>
    <w:p>
      <w:pPr>
        <w:spacing w:after="80"/>
        <w:ind w:left="360"/>
      </w:pPr>
      <w:r>
        <w:rPr>
          <w:b w:val="0"/>
          <w:i w:val="0"/>
        </w:rPr>
        <w:t>1013</w:t>
      </w:r>
    </w:p>
    <w:p>
      <w:pPr>
        <w:spacing w:after="80"/>
        <w:ind w:left="360"/>
      </w:pPr>
      <w:r>
        <w:rPr>
          <w:b w:val="0"/>
          <w:i w:val="0"/>
        </w:rPr>
        <w:t>1014</w:t>
      </w:r>
    </w:p>
    <w:p>
      <w:pPr>
        <w:spacing w:after="80"/>
        <w:ind w:left="360"/>
      </w:pPr>
      <w:r>
        <w:rPr>
          <w:b w:val="0"/>
          <w:i w:val="0"/>
        </w:rPr>
        <w:t>1015</w:t>
      </w:r>
    </w:p>
    <w:p>
      <w:pPr>
        <w:spacing w:after="80"/>
        <w:ind w:left="360"/>
      </w:pPr>
      <w:r>
        <w:rPr>
          <w:b w:val="0"/>
          <w:i w:val="0"/>
        </w:rPr>
        <w:t>1016</w:t>
      </w:r>
    </w:p>
    <w:p>
      <w:pPr>
        <w:spacing w:after="80"/>
        <w:ind w:left="360"/>
      </w:pPr>
      <w:r>
        <w:rPr>
          <w:b w:val="0"/>
          <w:i w:val="0"/>
        </w:rPr>
        <w:t>1017</w:t>
      </w:r>
    </w:p>
    <w:p>
      <w:pPr>
        <w:spacing w:after="80"/>
        <w:ind w:left="360"/>
      </w:pPr>
      <w:r>
        <w:rPr>
          <w:b w:val="0"/>
          <w:i w:val="0"/>
        </w:rPr>
        <w:t>1018</w:t>
      </w:r>
    </w:p>
    <w:p>
      <w:pPr>
        <w:spacing w:after="80"/>
        <w:ind w:left="360"/>
      </w:pPr>
      <w:r>
        <w:rPr>
          <w:b w:val="0"/>
          <w:i w:val="0"/>
        </w:rPr>
        <w:t>1019</w:t>
      </w:r>
    </w:p>
    <w:p>
      <w:pPr>
        <w:spacing w:after="80"/>
        <w:ind w:left="360"/>
      </w:pPr>
      <w:r>
        <w:rPr>
          <w:b w:val="0"/>
          <w:i w:val="0"/>
        </w:rPr>
        <w:t>1020</w:t>
      </w:r>
    </w:p>
    <w:p>
      <w:pPr>
        <w:spacing w:after="80"/>
        <w:ind w:left="360"/>
      </w:pPr>
      <w:r>
        <w:rPr>
          <w:b w:val="0"/>
          <w:i w:val="0"/>
        </w:rPr>
        <w:t>1021</w:t>
      </w:r>
    </w:p>
    <w:p>
      <w:pPr>
        <w:spacing w:after="80"/>
        <w:ind w:left="360"/>
      </w:pPr>
      <w:r>
        <w:rPr>
          <w:b w:val="0"/>
          <w:i w:val="0"/>
        </w:rPr>
        <w:t>1022</w:t>
      </w:r>
    </w:p>
    <w:p>
      <w:pPr>
        <w:spacing w:after="80"/>
        <w:ind w:left="360"/>
      </w:pPr>
      <w:r>
        <w:rPr>
          <w:b w:val="0"/>
          <w:i w:val="0"/>
        </w:rPr>
        <w:t>1023</w:t>
      </w:r>
    </w:p>
    <w:p>
      <w:pPr>
        <w:spacing w:after="80"/>
        <w:ind w:left="360"/>
      </w:pPr>
      <w:r>
        <w:rPr>
          <w:b w:val="0"/>
          <w:i w:val="0"/>
        </w:rPr>
        <w:t>1024</w:t>
      </w:r>
    </w:p>
    <w:p>
      <w:pPr>
        <w:spacing w:after="80"/>
        <w:ind w:left="360"/>
      </w:pPr>
      <w:r>
        <w:rPr>
          <w:b w:val="0"/>
          <w:i w:val="0"/>
        </w:rPr>
        <w:t>1025</w:t>
      </w:r>
    </w:p>
    <w:p>
      <w:pPr>
        <w:spacing w:after="80"/>
        <w:ind w:left="360"/>
      </w:pPr>
      <w:r>
        <w:rPr>
          <w:b w:val="0"/>
          <w:i w:val="0"/>
        </w:rPr>
        <w:t>1026</w:t>
      </w:r>
    </w:p>
    <w:p>
      <w:pPr>
        <w:spacing w:after="80"/>
        <w:ind w:left="360"/>
      </w:pPr>
      <w:r>
        <w:rPr>
          <w:b w:val="0"/>
          <w:i w:val="0"/>
        </w:rPr>
        <w:t>1027</w:t>
      </w:r>
    </w:p>
    <w:p>
      <w:pPr>
        <w:spacing w:after="80"/>
        <w:ind w:left="360"/>
      </w:pPr>
      <w:r>
        <w:rPr>
          <w:b w:val="0"/>
          <w:i w:val="0"/>
        </w:rPr>
        <w:t>1028</w:t>
      </w:r>
    </w:p>
    <w:p>
      <w:pPr>
        <w:spacing w:after="80"/>
        <w:ind w:left="360"/>
      </w:pPr>
      <w:r>
        <w:rPr>
          <w:b w:val="0"/>
          <w:i w:val="0"/>
        </w:rPr>
        <w:t>1029</w:t>
      </w:r>
    </w:p>
    <w:p>
      <w:pPr>
        <w:spacing w:after="80"/>
        <w:ind w:left="360"/>
      </w:pPr>
      <w:r>
        <w:rPr>
          <w:b w:val="0"/>
          <w:i w:val="0"/>
        </w:rPr>
        <w:t>1030</w:t>
      </w:r>
    </w:p>
    <w:p>
      <w:pPr>
        <w:spacing w:after="80"/>
        <w:ind w:left="360"/>
      </w:pPr>
      <w:r>
        <w:rPr>
          <w:b w:val="0"/>
          <w:i w:val="0"/>
        </w:rPr>
        <w:t>1031</w:t>
      </w:r>
    </w:p>
    <w:p>
      <w:pPr>
        <w:spacing w:after="80"/>
        <w:ind w:left="360"/>
      </w:pPr>
      <w:r>
        <w:rPr>
          <w:b w:val="0"/>
          <w:i w:val="0"/>
        </w:rPr>
        <w:t>1032</w:t>
      </w:r>
    </w:p>
    <w:p>
      <w:pPr>
        <w:spacing w:after="80"/>
        <w:ind w:left="360"/>
      </w:pPr>
      <w:r>
        <w:rPr>
          <w:b w:val="0"/>
          <w:i w:val="0"/>
        </w:rPr>
        <w:t>1033</w:t>
      </w:r>
    </w:p>
    <w:p>
      <w:pPr>
        <w:spacing w:after="80"/>
        <w:ind w:left="360"/>
      </w:pPr>
      <w:r>
        <w:rPr>
          <w:b w:val="0"/>
          <w:i w:val="0"/>
        </w:rPr>
        <w:t>1034</w:t>
      </w:r>
    </w:p>
    <w:p>
      <w:pPr>
        <w:spacing w:after="80"/>
        <w:ind w:left="360"/>
      </w:pPr>
      <w:r>
        <w:rPr>
          <w:b w:val="0"/>
          <w:i w:val="0"/>
        </w:rPr>
        <w:t>1035</w:t>
      </w:r>
    </w:p>
    <w:p>
      <w:pPr>
        <w:spacing w:after="80"/>
        <w:ind w:left="360"/>
      </w:pPr>
      <w:r>
        <w:rPr>
          <w:b w:val="0"/>
          <w:i w:val="0"/>
        </w:rPr>
        <w:t>1036</w:t>
      </w:r>
    </w:p>
    <w:p>
      <w:pPr>
        <w:spacing w:after="80"/>
        <w:ind w:left="360"/>
      </w:pPr>
      <w:r>
        <w:rPr>
          <w:b w:val="0"/>
          <w:i w:val="0"/>
        </w:rPr>
        <w:t>1037</w:t>
      </w:r>
    </w:p>
    <w:p>
      <w:pPr>
        <w:spacing w:after="80"/>
        <w:ind w:left="360"/>
      </w:pPr>
      <w:r>
        <w:rPr>
          <w:b w:val="0"/>
          <w:i w:val="0"/>
        </w:rPr>
        <w:t>1038</w:t>
      </w:r>
    </w:p>
    <w:p>
      <w:pPr>
        <w:spacing w:after="80"/>
        <w:ind w:left="360"/>
      </w:pPr>
      <w:r>
        <w:rPr>
          <w:b w:val="0"/>
          <w:i w:val="0"/>
        </w:rPr>
        <w:t>1039</w:t>
      </w:r>
    </w:p>
    <w:p>
      <w:pPr>
        <w:spacing w:after="80"/>
        <w:ind w:left="360"/>
      </w:pPr>
      <w:r>
        <w:rPr>
          <w:b w:val="0"/>
          <w:i w:val="0"/>
        </w:rPr>
        <w:t>1040</w:t>
      </w:r>
    </w:p>
    <w:p>
      <w:pPr>
        <w:spacing w:after="80"/>
        <w:ind w:left="360"/>
      </w:pPr>
      <w:r>
        <w:rPr>
          <w:b w:val="0"/>
          <w:i w:val="0"/>
        </w:rPr>
        <w:t>1041</w:t>
      </w:r>
    </w:p>
    <w:p>
      <w:pPr>
        <w:spacing w:after="80"/>
        <w:ind w:left="360"/>
      </w:pPr>
      <w:r>
        <w:rPr>
          <w:b w:val="0"/>
          <w:i w:val="0"/>
        </w:rPr>
        <w:t>1042</w:t>
      </w:r>
    </w:p>
    <w:p>
      <w:pPr>
        <w:spacing w:after="80"/>
        <w:ind w:left="360"/>
      </w:pPr>
      <w:r>
        <w:rPr>
          <w:b w:val="0"/>
          <w:i w:val="0"/>
        </w:rPr>
        <w:t>1043</w:t>
      </w:r>
    </w:p>
    <w:p>
      <w:pPr>
        <w:spacing w:after="80"/>
        <w:ind w:left="360"/>
      </w:pPr>
      <w:r>
        <w:rPr>
          <w:b w:val="0"/>
          <w:i w:val="0"/>
        </w:rPr>
        <w:t>1044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